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4755" w:type="dxa"/>
        <w:jc w:val="center"/>
        <w:tblLayout w:type="fixed"/>
        <w:tblCellMar>
          <w:top w:w="0" w:type="dxa"/>
          <w:left w:w="0" w:type="dxa"/>
          <w:bottom w:w="0" w:type="dxa"/>
          <w:right w:w="0" w:type="dxa"/>
        </w:tblCellMar>
      </w:tblPr>
      <w:tblGrid>
        <w:gridCol w:w="619"/>
        <w:gridCol w:w="846"/>
        <w:gridCol w:w="4504"/>
        <w:gridCol w:w="7654"/>
        <w:gridCol w:w="1106"/>
        <w:gridCol w:w="26"/>
      </w:tblGrid>
      <w:tr>
        <w:tblPrEx>
          <w:tblCellMar>
            <w:top w:w="0" w:type="dxa"/>
            <w:left w:w="0" w:type="dxa"/>
            <w:bottom w:w="0" w:type="dxa"/>
            <w:right w:w="0" w:type="dxa"/>
          </w:tblCellMar>
        </w:tblPrEx>
        <w:trPr>
          <w:trHeight w:val="1038" w:hRule="atLeast"/>
          <w:tblHeader/>
          <w:jc w:val="center"/>
        </w:trPr>
        <w:tc>
          <w:tcPr>
            <w:tcW w:w="14755" w:type="dxa"/>
            <w:gridSpan w:val="6"/>
            <w:tcBorders>
              <w:top w:val="nil"/>
              <w:left w:val="nil"/>
              <w:bottom w:val="nil"/>
              <w:right w:val="nil"/>
            </w:tcBorders>
            <w:noWrap/>
            <w:tcMar>
              <w:top w:w="15" w:type="dxa"/>
              <w:left w:w="15" w:type="dxa"/>
              <w:right w:w="15" w:type="dxa"/>
            </w:tcMar>
            <w:vAlign w:val="center"/>
          </w:tcPr>
          <w:p>
            <w:pPr>
              <w:widowControl/>
              <w:spacing w:line="600" w:lineRule="exact"/>
              <w:jc w:val="center"/>
              <w:textAlignment w:val="center"/>
              <w:rPr>
                <w:rFonts w:ascii="华文中宋" w:hAnsi="华文中宋" w:eastAsia="华文中宋" w:cs="华文中宋"/>
                <w:color w:val="000000"/>
                <w:sz w:val="44"/>
                <w:szCs w:val="44"/>
              </w:rPr>
            </w:pPr>
            <w:bookmarkStart w:id="0" w:name="_GoBack"/>
            <w:bookmarkEnd w:id="0"/>
            <w:r>
              <w:rPr>
                <w:rFonts w:hint="eastAsia" w:ascii="华文中宋" w:hAnsi="华文中宋" w:eastAsia="华文中宋" w:cs="华文中宋"/>
                <w:color w:val="000000"/>
                <w:kern w:val="0"/>
                <w:sz w:val="44"/>
                <w:szCs w:val="44"/>
                <w:lang w:bidi="ar"/>
              </w:rPr>
              <w:t>随县财政局</w:t>
            </w:r>
            <w:r>
              <w:rPr>
                <w:rFonts w:hint="eastAsia" w:ascii="宋体" w:hAnsi="宋体" w:cs="华文中宋"/>
                <w:color w:val="000000"/>
                <w:kern w:val="0"/>
                <w:sz w:val="44"/>
                <w:szCs w:val="44"/>
                <w:lang w:bidi="ar"/>
              </w:rPr>
              <w:t>2023</w:t>
            </w:r>
            <w:r>
              <w:rPr>
                <w:rFonts w:hint="eastAsia" w:ascii="华文中宋" w:hAnsi="华文中宋" w:eastAsia="华文中宋" w:cs="华文中宋"/>
                <w:color w:val="000000"/>
                <w:kern w:val="0"/>
                <w:sz w:val="44"/>
                <w:szCs w:val="44"/>
                <w:lang w:bidi="ar"/>
              </w:rPr>
              <w:t>年重点工作任务清单</w:t>
            </w:r>
          </w:p>
        </w:tc>
      </w:tr>
      <w:tr>
        <w:tblPrEx>
          <w:tblCellMar>
            <w:top w:w="0" w:type="dxa"/>
            <w:left w:w="0" w:type="dxa"/>
            <w:bottom w:w="0" w:type="dxa"/>
            <w:right w:w="0" w:type="dxa"/>
          </w:tblCellMar>
        </w:tblPrEx>
        <w:trPr>
          <w:gridAfter w:val="1"/>
          <w:wAfter w:w="26" w:type="dxa"/>
          <w:trHeight w:val="632" w:hRule="atLeast"/>
          <w:tblHeader/>
          <w:jc w:val="center"/>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黑体" w:eastAsia="黑体" w:cs="仿宋"/>
                <w:color w:val="000000"/>
                <w:sz w:val="24"/>
              </w:rPr>
            </w:pPr>
            <w:r>
              <w:rPr>
                <w:rFonts w:hint="eastAsia" w:ascii="黑体" w:hAnsi="黑体" w:eastAsia="黑体" w:cs="仿宋"/>
                <w:color w:val="000000"/>
                <w:kern w:val="0"/>
                <w:sz w:val="24"/>
                <w:lang w:bidi="ar"/>
              </w:rPr>
              <w:t>序号</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黑体" w:eastAsia="黑体" w:cs="仿宋"/>
                <w:color w:val="000000"/>
                <w:kern w:val="0"/>
                <w:sz w:val="24"/>
                <w:lang w:bidi="ar"/>
              </w:rPr>
            </w:pPr>
            <w:r>
              <w:rPr>
                <w:rFonts w:hint="eastAsia" w:ascii="黑体" w:hAnsi="黑体" w:eastAsia="黑体" w:cs="仿宋"/>
                <w:color w:val="000000"/>
                <w:kern w:val="0"/>
                <w:sz w:val="24"/>
                <w:lang w:bidi="ar"/>
              </w:rPr>
              <w:t>单位</w:t>
            </w:r>
          </w:p>
          <w:p>
            <w:pPr>
              <w:widowControl/>
              <w:jc w:val="center"/>
              <w:textAlignment w:val="center"/>
              <w:rPr>
                <w:rFonts w:ascii="黑体" w:hAnsi="黑体" w:eastAsia="黑体" w:cs="仿宋"/>
                <w:color w:val="000000"/>
                <w:sz w:val="24"/>
              </w:rPr>
            </w:pPr>
            <w:r>
              <w:rPr>
                <w:rFonts w:hint="eastAsia" w:ascii="黑体" w:hAnsi="黑体" w:eastAsia="黑体" w:cs="仿宋"/>
                <w:color w:val="000000"/>
                <w:kern w:val="0"/>
                <w:sz w:val="18"/>
                <w:szCs w:val="18"/>
                <w:lang w:bidi="ar"/>
              </w:rPr>
              <w:t>（股室）</w:t>
            </w:r>
          </w:p>
        </w:tc>
        <w:tc>
          <w:tcPr>
            <w:tcW w:w="4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仿宋"/>
                <w:color w:val="000000"/>
                <w:kern w:val="0"/>
                <w:sz w:val="24"/>
                <w:lang w:bidi="ar"/>
              </w:rPr>
            </w:pPr>
            <w:r>
              <w:rPr>
                <w:rFonts w:hint="eastAsia" w:ascii="黑体" w:hAnsi="黑体" w:eastAsia="黑体" w:cs="仿宋"/>
                <w:color w:val="000000"/>
                <w:kern w:val="0"/>
                <w:sz w:val="24"/>
                <w:lang w:bidi="ar"/>
              </w:rPr>
              <w:t>重点工作任务</w:t>
            </w:r>
          </w:p>
        </w:tc>
        <w:tc>
          <w:tcPr>
            <w:tcW w:w="7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仿宋"/>
                <w:color w:val="000000"/>
                <w:kern w:val="0"/>
                <w:sz w:val="24"/>
                <w:lang w:bidi="ar"/>
              </w:rPr>
            </w:pPr>
            <w:r>
              <w:rPr>
                <w:rFonts w:hint="eastAsia" w:ascii="黑体" w:hAnsi="黑体" w:eastAsia="黑体" w:cs="仿宋"/>
                <w:color w:val="000000"/>
                <w:kern w:val="0"/>
                <w:sz w:val="24"/>
                <w:lang w:bidi="ar"/>
              </w:rPr>
              <w:t>具体落实措施</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黑体" w:eastAsia="黑体" w:cs="仿宋"/>
                <w:color w:val="000000"/>
                <w:sz w:val="24"/>
              </w:rPr>
            </w:pPr>
            <w:r>
              <w:rPr>
                <w:rFonts w:hint="eastAsia" w:ascii="黑体" w:hAnsi="黑体" w:eastAsia="黑体" w:cs="仿宋"/>
                <w:color w:val="000000"/>
                <w:kern w:val="0"/>
                <w:sz w:val="24"/>
                <w:lang w:bidi="ar"/>
              </w:rPr>
              <w:t>责任领导</w:t>
            </w:r>
          </w:p>
        </w:tc>
      </w:tr>
      <w:tr>
        <w:tblPrEx>
          <w:tblCellMar>
            <w:top w:w="0" w:type="dxa"/>
            <w:left w:w="0" w:type="dxa"/>
            <w:bottom w:w="0" w:type="dxa"/>
            <w:right w:w="0" w:type="dxa"/>
          </w:tblCellMar>
        </w:tblPrEx>
        <w:trPr>
          <w:gridAfter w:val="1"/>
          <w:wAfter w:w="26" w:type="dxa"/>
          <w:trHeight w:val="2090" w:hRule="atLeast"/>
          <w:jc w:val="center"/>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办公室（法规税政股）</w:t>
            </w:r>
          </w:p>
        </w:tc>
        <w:tc>
          <w:tcPr>
            <w:tcW w:w="4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textAlignment w:val="center"/>
              <w:rPr>
                <w:rFonts w:ascii="仿宋" w:hAnsi="仿宋" w:eastAsia="仿宋" w:cs="仿宋"/>
                <w:color w:val="000000"/>
                <w:sz w:val="24"/>
              </w:rPr>
            </w:pPr>
            <w:r>
              <w:rPr>
                <w:rFonts w:hint="eastAsia" w:ascii="仿宋" w:hAnsi="仿宋" w:eastAsia="仿宋" w:cs="仿宋"/>
                <w:color w:val="000000"/>
                <w:sz w:val="24"/>
              </w:rPr>
              <w:t>1、做好上传下达,加大工作任务督办力度。</w:t>
            </w:r>
          </w:p>
          <w:p>
            <w:pPr>
              <w:widowControl/>
              <w:spacing w:line="400" w:lineRule="exact"/>
              <w:jc w:val="left"/>
              <w:textAlignment w:val="center"/>
              <w:rPr>
                <w:rFonts w:ascii="仿宋" w:hAnsi="仿宋" w:eastAsia="仿宋" w:cs="仿宋"/>
                <w:color w:val="000000"/>
                <w:sz w:val="24"/>
              </w:rPr>
            </w:pPr>
            <w:r>
              <w:rPr>
                <w:rFonts w:hint="eastAsia" w:ascii="仿宋" w:hAnsi="仿宋" w:eastAsia="仿宋" w:cs="仿宋"/>
                <w:color w:val="000000"/>
                <w:sz w:val="24"/>
              </w:rPr>
              <w:t>2、完善公文传递制度,规范文件审、印、发流程。</w:t>
            </w:r>
          </w:p>
          <w:p>
            <w:pPr>
              <w:widowControl/>
              <w:spacing w:line="400" w:lineRule="exact"/>
              <w:jc w:val="left"/>
              <w:textAlignment w:val="center"/>
              <w:rPr>
                <w:rFonts w:ascii="仿宋" w:hAnsi="仿宋" w:eastAsia="仿宋" w:cs="仿宋"/>
                <w:color w:val="000000"/>
                <w:sz w:val="24"/>
              </w:rPr>
            </w:pPr>
            <w:r>
              <w:rPr>
                <w:rFonts w:hint="eastAsia" w:ascii="仿宋" w:hAnsi="仿宋" w:eastAsia="仿宋" w:cs="仿宋"/>
                <w:color w:val="000000"/>
                <w:sz w:val="24"/>
              </w:rPr>
              <w:t>3、加强机关管理，做好安全生产和值班值守等工作。</w:t>
            </w:r>
          </w:p>
          <w:p>
            <w:pPr>
              <w:widowControl/>
              <w:spacing w:line="400" w:lineRule="exact"/>
              <w:jc w:val="left"/>
              <w:textAlignment w:val="center"/>
              <w:rPr>
                <w:rFonts w:eastAsia="仿宋"/>
              </w:rPr>
            </w:pPr>
            <w:r>
              <w:rPr>
                <w:rFonts w:hint="eastAsia" w:ascii="仿宋" w:hAnsi="仿宋" w:eastAsia="仿宋" w:cs="仿宋"/>
                <w:color w:val="000000"/>
                <w:sz w:val="24"/>
              </w:rPr>
              <w:t>4、强化信息服务，积极完成信息报送工作。</w:t>
            </w:r>
          </w:p>
        </w:tc>
        <w:tc>
          <w:tcPr>
            <w:tcW w:w="7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textAlignment w:val="center"/>
              <w:rPr>
                <w:rFonts w:ascii="仿宋" w:hAnsi="仿宋" w:eastAsia="仿宋" w:cs="仿宋"/>
                <w:color w:val="000000"/>
                <w:sz w:val="24"/>
              </w:rPr>
            </w:pPr>
            <w:r>
              <w:rPr>
                <w:rFonts w:hint="eastAsia" w:ascii="仿宋" w:hAnsi="仿宋" w:eastAsia="仿宋" w:cs="仿宋"/>
                <w:color w:val="000000"/>
                <w:sz w:val="24"/>
              </w:rPr>
              <w:t>1、对通过政务信息平台传达的工作任务，安排专人实行台账登记、销号管理，同时，加大工作督办落实力度，确保工作落实到位。</w:t>
            </w:r>
          </w:p>
          <w:p>
            <w:pPr>
              <w:widowControl/>
              <w:spacing w:line="400" w:lineRule="exact"/>
              <w:jc w:val="left"/>
              <w:textAlignment w:val="center"/>
              <w:rPr>
                <w:rFonts w:ascii="仿宋" w:hAnsi="仿宋" w:eastAsia="仿宋" w:cs="仿宋"/>
                <w:color w:val="000000"/>
                <w:sz w:val="24"/>
              </w:rPr>
            </w:pPr>
            <w:r>
              <w:rPr>
                <w:rFonts w:hint="eastAsia" w:ascii="仿宋" w:hAnsi="仿宋" w:eastAsia="仿宋" w:cs="仿宋"/>
                <w:color w:val="000000"/>
                <w:sz w:val="24"/>
              </w:rPr>
              <w:t>2、严格公文传递手续，完善文件发行程序，局内文件实行单位负责人把关、分管领导审核、局长审批、办公室复核，文印室统一印发。</w:t>
            </w:r>
          </w:p>
          <w:p>
            <w:pPr>
              <w:widowControl/>
              <w:spacing w:line="400" w:lineRule="exact"/>
              <w:jc w:val="left"/>
              <w:textAlignment w:val="center"/>
              <w:rPr>
                <w:rFonts w:ascii="仿宋" w:hAnsi="仿宋" w:eastAsia="仿宋" w:cs="仿宋"/>
                <w:color w:val="000000"/>
                <w:sz w:val="24"/>
              </w:rPr>
            </w:pPr>
            <w:r>
              <w:rPr>
                <w:rFonts w:hint="eastAsia" w:ascii="仿宋" w:hAnsi="仿宋" w:eastAsia="仿宋" w:cs="仿宋"/>
                <w:color w:val="000000"/>
                <w:sz w:val="24"/>
              </w:rPr>
              <w:t>3、加强财务管理，规范财务支出，做好会议服务工作，不定期开展安全检查，强化值班值守，做好值班带班人员安排，加强随县财政微信公众号、水电气和内部食堂管理。</w:t>
            </w:r>
          </w:p>
          <w:p>
            <w:pPr>
              <w:pStyle w:val="2"/>
              <w:spacing w:after="0" w:line="400" w:lineRule="exact"/>
              <w:ind w:left="0" w:leftChars="0" w:firstLine="0" w:firstLineChars="0"/>
              <w:rPr>
                <w:rFonts w:eastAsia="仿宋"/>
              </w:rPr>
            </w:pPr>
            <w:r>
              <w:rPr>
                <w:rFonts w:hint="eastAsia" w:ascii="仿宋" w:hAnsi="仿宋" w:eastAsia="仿宋" w:cs="仿宋"/>
                <w:color w:val="000000"/>
                <w:sz w:val="24"/>
              </w:rPr>
              <w:t>4、紧扣财政工作重点，充分挖掘各股室（单位）、财政所（分局）亮点工作，及时准确向省、市、县报送信息，按时完成各级信息约稿。</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赵铭</w:t>
            </w:r>
          </w:p>
        </w:tc>
      </w:tr>
      <w:tr>
        <w:tblPrEx>
          <w:tblCellMar>
            <w:top w:w="0" w:type="dxa"/>
            <w:left w:w="0" w:type="dxa"/>
            <w:bottom w:w="0" w:type="dxa"/>
            <w:right w:w="0" w:type="dxa"/>
          </w:tblCellMar>
        </w:tblPrEx>
        <w:trPr>
          <w:gridAfter w:val="1"/>
          <w:wAfter w:w="26" w:type="dxa"/>
          <w:trHeight w:val="1700" w:hRule="atLeast"/>
          <w:jc w:val="center"/>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综合股</w:t>
            </w:r>
          </w:p>
        </w:tc>
        <w:tc>
          <w:tcPr>
            <w:tcW w:w="4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1"/>
              </w:numPr>
              <w:spacing w:line="400" w:lineRule="exact"/>
              <w:jc w:val="left"/>
              <w:textAlignment w:val="center"/>
              <w:rPr>
                <w:rFonts w:ascii="仿宋" w:hAnsi="仿宋" w:eastAsia="仿宋" w:cs="仿宋"/>
                <w:color w:val="000000"/>
                <w:sz w:val="24"/>
              </w:rPr>
            </w:pPr>
            <w:r>
              <w:rPr>
                <w:rFonts w:hint="eastAsia" w:ascii="仿宋" w:hAnsi="仿宋" w:eastAsia="仿宋" w:cs="仿宋"/>
                <w:color w:val="000000"/>
                <w:sz w:val="24"/>
              </w:rPr>
              <w:t>根据2023年政府基金预算计划安排，依照土地出让收支管理规定，完成2023年土地出让收入征缴和支出目标任务。</w:t>
            </w:r>
          </w:p>
          <w:p>
            <w:pPr>
              <w:widowControl/>
              <w:spacing w:line="400" w:lineRule="exact"/>
              <w:jc w:val="left"/>
              <w:textAlignment w:val="center"/>
              <w:rPr>
                <w:rFonts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pacing w:val="-8"/>
                <w:kern w:val="0"/>
                <w:sz w:val="24"/>
                <w:lang w:bidi="ar"/>
              </w:rPr>
              <w:t>为提升县城首位度，配合住建部门做好2023 年随县住房保障安居工程租赁住房的建设和县城城区商品房住房补贴、外来务工人员住房补贴及房屋征收补偿房票资金的拨付工作。</w:t>
            </w:r>
          </w:p>
        </w:tc>
        <w:tc>
          <w:tcPr>
            <w:tcW w:w="7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textAlignment w:val="center"/>
              <w:rPr>
                <w:rFonts w:ascii="仿宋" w:hAnsi="仿宋" w:eastAsia="仿宋" w:cs="仿宋"/>
                <w:color w:val="000000"/>
                <w:sz w:val="24"/>
              </w:rPr>
            </w:pPr>
            <w:r>
              <w:rPr>
                <w:rFonts w:hint="eastAsia" w:ascii="仿宋" w:hAnsi="仿宋" w:eastAsia="仿宋" w:cs="仿宋"/>
                <w:color w:val="000000"/>
                <w:sz w:val="24"/>
              </w:rPr>
              <w:t>1、按月核对金库报表中入库的土地出让收入金额，做好明细台账登记;做好收入的成本分解和政策性计提账务；按照《随县新增建设用地使用费的资金管理办法》流程及时拨付相关征地成本费用和收益分配。</w:t>
            </w:r>
          </w:p>
          <w:p>
            <w:pPr>
              <w:widowControl/>
              <w:spacing w:line="400" w:lineRule="exact"/>
              <w:jc w:val="left"/>
              <w:textAlignment w:val="center"/>
              <w:rPr>
                <w:rFonts w:ascii="仿宋" w:hAnsi="仿宋" w:eastAsia="仿宋" w:cs="仿宋"/>
                <w:color w:val="000000"/>
                <w:kern w:val="0"/>
                <w:sz w:val="28"/>
                <w:szCs w:val="28"/>
                <w:lang w:bidi="ar"/>
              </w:rPr>
            </w:pPr>
            <w:r>
              <w:rPr>
                <w:rFonts w:hint="eastAsia" w:ascii="仿宋" w:hAnsi="仿宋" w:eastAsia="仿宋" w:cs="仿宋"/>
                <w:color w:val="000000"/>
                <w:sz w:val="24"/>
              </w:rPr>
              <w:t>2、配合住建部门做好随县住房保障租赁住房的需求计划统计工作；根据测算所需资金，争取省、市专项资金和本级资金的统筹工作；按季度根据住建部门报送的各项补贴资金发放资料进行抽查审核后将资金拨付到位。</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刘朝辉</w:t>
            </w:r>
          </w:p>
        </w:tc>
      </w:tr>
      <w:tr>
        <w:tblPrEx>
          <w:tblCellMar>
            <w:top w:w="0" w:type="dxa"/>
            <w:left w:w="0" w:type="dxa"/>
            <w:bottom w:w="0" w:type="dxa"/>
            <w:right w:w="0" w:type="dxa"/>
          </w:tblCellMar>
        </w:tblPrEx>
        <w:trPr>
          <w:gridAfter w:val="1"/>
          <w:wAfter w:w="26" w:type="dxa"/>
          <w:trHeight w:val="339" w:hRule="atLeast"/>
          <w:jc w:val="center"/>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3</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预算股</w:t>
            </w:r>
          </w:p>
        </w:tc>
        <w:tc>
          <w:tcPr>
            <w:tcW w:w="4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textAlignment w:val="center"/>
              <w:rPr>
                <w:rFonts w:ascii="仿宋" w:hAnsi="仿宋" w:eastAsia="仿宋" w:cs="仿宋"/>
                <w:color w:val="000000"/>
                <w:sz w:val="24"/>
              </w:rPr>
            </w:pPr>
            <w:r>
              <w:rPr>
                <w:rFonts w:hint="eastAsia" w:ascii="仿宋" w:hAnsi="仿宋" w:eastAsia="仿宋" w:cs="仿宋"/>
                <w:color w:val="000000"/>
                <w:sz w:val="24"/>
              </w:rPr>
              <w:t>1、2023年预算内项目经费审批程序。</w:t>
            </w:r>
          </w:p>
          <w:p>
            <w:pPr>
              <w:widowControl/>
              <w:spacing w:line="400" w:lineRule="exact"/>
              <w:jc w:val="left"/>
              <w:textAlignment w:val="center"/>
              <w:rPr>
                <w:rFonts w:ascii="仿宋" w:hAnsi="仿宋" w:eastAsia="仿宋" w:cs="仿宋"/>
                <w:color w:val="000000"/>
                <w:sz w:val="24"/>
              </w:rPr>
            </w:pPr>
            <w:r>
              <w:rPr>
                <w:rFonts w:hint="eastAsia" w:ascii="仿宋" w:hAnsi="仿宋" w:eastAsia="仿宋" w:cs="仿宋"/>
                <w:color w:val="000000"/>
                <w:sz w:val="24"/>
              </w:rPr>
              <w:t>2、2023年财政预算计划。</w:t>
            </w:r>
          </w:p>
          <w:p>
            <w:pPr>
              <w:widowControl/>
              <w:numPr>
                <w:ilvl w:val="0"/>
                <w:numId w:val="2"/>
              </w:numPr>
              <w:spacing w:line="400" w:lineRule="exact"/>
              <w:jc w:val="left"/>
              <w:textAlignment w:val="center"/>
              <w:rPr>
                <w:rFonts w:ascii="仿宋" w:hAnsi="仿宋" w:eastAsia="仿宋" w:cs="仿宋"/>
                <w:color w:val="000000"/>
                <w:spacing w:val="-8"/>
                <w:kern w:val="0"/>
                <w:sz w:val="24"/>
                <w:lang w:bidi="ar"/>
              </w:rPr>
            </w:pPr>
            <w:r>
              <w:rPr>
                <w:rFonts w:hint="eastAsia" w:ascii="仿宋" w:hAnsi="仿宋" w:eastAsia="仿宋" w:cs="仿宋"/>
                <w:color w:val="000000"/>
                <w:spacing w:val="-8"/>
                <w:kern w:val="0"/>
                <w:sz w:val="24"/>
                <w:lang w:bidi="ar"/>
              </w:rPr>
              <w:t>事业单位单列核定绩效工资的测算下达。</w:t>
            </w:r>
          </w:p>
          <w:p>
            <w:pPr>
              <w:widowControl/>
              <w:numPr>
                <w:ilvl w:val="0"/>
                <w:numId w:val="2"/>
              </w:numPr>
              <w:spacing w:line="400" w:lineRule="exact"/>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2023年预算公开。</w:t>
            </w:r>
          </w:p>
          <w:p>
            <w:pPr>
              <w:widowControl/>
              <w:numPr>
                <w:ilvl w:val="0"/>
                <w:numId w:val="2"/>
              </w:numPr>
              <w:spacing w:line="400" w:lineRule="exact"/>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2023年体制结算。</w:t>
            </w:r>
          </w:p>
          <w:p>
            <w:pPr>
              <w:pStyle w:val="7"/>
              <w:widowControl/>
              <w:shd w:val="clear" w:color="auto" w:fill="FFFFFF"/>
              <w:spacing w:before="0" w:beforeAutospacing="0" w:after="0" w:afterAutospacing="0" w:line="400" w:lineRule="exact"/>
              <w:jc w:val="both"/>
              <w:rPr>
                <w:rFonts w:ascii="仿宋" w:hAnsi="仿宋" w:eastAsia="仿宋" w:cs="仿宋"/>
                <w:color w:val="000000"/>
              </w:rPr>
            </w:pPr>
            <w:r>
              <w:rPr>
                <w:rFonts w:hint="eastAsia" w:ascii="仿宋" w:hAnsi="仿宋" w:eastAsia="仿宋" w:cs="仿宋"/>
                <w:color w:val="000000"/>
                <w:lang w:bidi="ar"/>
              </w:rPr>
              <w:t>6、抓好对上立项争资。</w:t>
            </w:r>
          </w:p>
          <w:p>
            <w:pPr>
              <w:widowControl/>
              <w:spacing w:line="400" w:lineRule="exact"/>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7、完成2022年度财政决算和2023年元至6月财政预算执行情况的编报工作。</w:t>
            </w:r>
          </w:p>
          <w:p>
            <w:pPr>
              <w:pStyle w:val="4"/>
              <w:spacing w:line="400" w:lineRule="exact"/>
              <w:ind w:firstLine="0" w:firstLineChars="0"/>
              <w:jc w:val="left"/>
            </w:pPr>
            <w:r>
              <w:rPr>
                <w:rFonts w:hint="eastAsia" w:ascii="仿宋" w:hAnsi="仿宋" w:eastAsia="仿宋" w:cs="仿宋"/>
                <w:color w:val="000000"/>
                <w:kern w:val="0"/>
                <w:sz w:val="24"/>
                <w:lang w:bidi="ar"/>
              </w:rPr>
              <w:t>8、编制2024年部门预算。</w:t>
            </w:r>
          </w:p>
          <w:p>
            <w:pPr>
              <w:widowControl/>
              <w:spacing w:line="400" w:lineRule="exact"/>
              <w:jc w:val="left"/>
              <w:textAlignment w:val="center"/>
              <w:rPr>
                <w:rFonts w:ascii="仿宋" w:hAnsi="仿宋" w:eastAsia="仿宋" w:cs="仿宋"/>
                <w:color w:val="000000"/>
                <w:sz w:val="24"/>
              </w:rPr>
            </w:pPr>
          </w:p>
        </w:tc>
        <w:tc>
          <w:tcPr>
            <w:tcW w:w="7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3"/>
              </w:numPr>
              <w:spacing w:line="400" w:lineRule="exact"/>
              <w:jc w:val="left"/>
              <w:textAlignment w:val="center"/>
              <w:rPr>
                <w:rFonts w:ascii="仿宋" w:hAnsi="仿宋" w:eastAsia="仿宋" w:cs="仿宋"/>
                <w:sz w:val="24"/>
              </w:rPr>
            </w:pPr>
            <w:r>
              <w:rPr>
                <w:rFonts w:hint="eastAsia" w:ascii="仿宋" w:hAnsi="仿宋" w:eastAsia="仿宋" w:cs="仿宋"/>
                <w:sz w:val="24"/>
              </w:rPr>
              <w:t>预算内项目经费审批程序已拟定初步意见，按《资金审批管理制度》拟定后报县政府审签执行。</w:t>
            </w:r>
          </w:p>
          <w:p>
            <w:pPr>
              <w:widowControl/>
              <w:numPr>
                <w:ilvl w:val="0"/>
                <w:numId w:val="3"/>
              </w:numPr>
              <w:spacing w:line="400" w:lineRule="exact"/>
              <w:jc w:val="left"/>
              <w:textAlignment w:val="center"/>
              <w:rPr>
                <w:rFonts w:ascii="仿宋" w:hAnsi="仿宋" w:eastAsia="仿宋" w:cs="仿宋"/>
                <w:sz w:val="24"/>
              </w:rPr>
            </w:pPr>
            <w:r>
              <w:rPr>
                <w:rFonts w:hint="eastAsia" w:ascii="仿宋" w:hAnsi="仿宋" w:eastAsia="仿宋" w:cs="仿宋"/>
                <w:sz w:val="24"/>
              </w:rPr>
              <w:t>根据人代会通过的预算草案，编制2023年财政预算白皮书，印刷成册并发至各预算单位。</w:t>
            </w:r>
          </w:p>
          <w:p>
            <w:pPr>
              <w:widowControl/>
              <w:numPr>
                <w:ilvl w:val="0"/>
                <w:numId w:val="3"/>
              </w:numPr>
              <w:spacing w:line="400" w:lineRule="exact"/>
              <w:jc w:val="left"/>
              <w:textAlignment w:val="center"/>
              <w:rPr>
                <w:rFonts w:ascii="仿宋" w:hAnsi="仿宋" w:eastAsia="仿宋" w:cs="仿宋"/>
                <w:color w:val="000000"/>
                <w:spacing w:val="-8"/>
                <w:kern w:val="0"/>
                <w:sz w:val="24"/>
                <w:lang w:bidi="ar"/>
              </w:rPr>
            </w:pPr>
            <w:r>
              <w:rPr>
                <w:rFonts w:hint="eastAsia" w:ascii="仿宋" w:hAnsi="仿宋" w:eastAsia="仿宋" w:cs="仿宋"/>
                <w:color w:val="000000"/>
                <w:spacing w:val="-8"/>
                <w:kern w:val="0"/>
                <w:sz w:val="24"/>
                <w:lang w:bidi="ar"/>
              </w:rPr>
              <w:t>按照县委、县政府审批事业单位单列核定绩效工资、机关工人绩效奖金和机关事业单位退休人员统筹待遇财政负担口径测算并下达至各预算单位。</w:t>
            </w:r>
          </w:p>
          <w:p>
            <w:pPr>
              <w:widowControl/>
              <w:numPr>
                <w:ilvl w:val="0"/>
                <w:numId w:val="3"/>
              </w:numPr>
              <w:spacing w:line="400" w:lineRule="exact"/>
              <w:jc w:val="left"/>
              <w:textAlignment w:val="center"/>
              <w:rPr>
                <w:rFonts w:ascii="仿宋" w:hAnsi="仿宋" w:eastAsia="仿宋" w:cs="仿宋"/>
                <w:color w:val="000000"/>
                <w:spacing w:val="-8"/>
                <w:kern w:val="0"/>
                <w:sz w:val="24"/>
                <w:lang w:bidi="ar"/>
              </w:rPr>
            </w:pPr>
            <w:r>
              <w:rPr>
                <w:rFonts w:hint="eastAsia" w:ascii="仿宋" w:hAnsi="仿宋" w:eastAsia="仿宋" w:cs="仿宋"/>
                <w:color w:val="000000"/>
                <w:spacing w:val="-8"/>
                <w:kern w:val="0"/>
                <w:sz w:val="24"/>
                <w:lang w:bidi="ar"/>
              </w:rPr>
              <w:t>按照上年公开要求统一预算公开模式和内容，督导预算单位依法做好预算信息公开工作，对各部门预算单位完成情况实时通报，自觉接受各方监督。</w:t>
            </w:r>
          </w:p>
          <w:p>
            <w:pPr>
              <w:widowControl/>
              <w:numPr>
                <w:ilvl w:val="0"/>
                <w:numId w:val="3"/>
              </w:numPr>
              <w:spacing w:line="400" w:lineRule="exact"/>
              <w:jc w:val="left"/>
              <w:textAlignment w:val="center"/>
              <w:rPr>
                <w:rFonts w:ascii="仿宋" w:hAnsi="仿宋" w:eastAsia="仿宋" w:cs="仿宋"/>
                <w:sz w:val="24"/>
              </w:rPr>
            </w:pPr>
            <w:r>
              <w:rPr>
                <w:rFonts w:hint="eastAsia" w:ascii="仿宋" w:hAnsi="仿宋" w:eastAsia="仿宋" w:cs="仿宋"/>
                <w:sz w:val="24"/>
              </w:rPr>
              <w:t>按照“划分收支、核定基数、超收全返、短收扣减”的办法进行乡镇财政体制结算。</w:t>
            </w:r>
          </w:p>
          <w:p>
            <w:pPr>
              <w:widowControl/>
              <w:numPr>
                <w:ilvl w:val="0"/>
                <w:numId w:val="3"/>
              </w:numPr>
              <w:spacing w:line="400" w:lineRule="exact"/>
              <w:jc w:val="left"/>
              <w:textAlignment w:val="center"/>
              <w:rPr>
                <w:rFonts w:ascii="仿宋" w:hAnsi="仿宋" w:eastAsia="仿宋" w:cs="仿宋"/>
                <w:sz w:val="24"/>
              </w:rPr>
            </w:pPr>
            <w:r>
              <w:rPr>
                <w:rFonts w:hint="eastAsia" w:ascii="仿宋" w:hAnsi="仿宋" w:eastAsia="仿宋" w:cs="仿宋"/>
                <w:sz w:val="24"/>
              </w:rPr>
              <w:t>聚焦中央、省级转移支付和政府债券资金两大重点，主动谋划对接，全力立项争资。</w:t>
            </w:r>
          </w:p>
          <w:p>
            <w:pPr>
              <w:widowControl/>
              <w:numPr>
                <w:ilvl w:val="0"/>
                <w:numId w:val="3"/>
              </w:numPr>
              <w:spacing w:line="400" w:lineRule="exact"/>
              <w:jc w:val="left"/>
              <w:textAlignment w:val="center"/>
              <w:rPr>
                <w:rFonts w:ascii="仿宋" w:hAnsi="仿宋" w:eastAsia="仿宋" w:cs="仿宋"/>
                <w:spacing w:val="-8"/>
                <w:sz w:val="24"/>
              </w:rPr>
            </w:pPr>
            <w:r>
              <w:rPr>
                <w:rFonts w:hint="eastAsia" w:ascii="仿宋" w:hAnsi="仿宋" w:eastAsia="仿宋" w:cs="仿宋"/>
                <w:spacing w:val="-8"/>
                <w:sz w:val="24"/>
              </w:rPr>
              <w:t>按照省财政厅下达结算单,与各股室核对决算数据，完成随县2022年度财政决算和2023年元至6月财政预算执行情况的报告。</w:t>
            </w:r>
          </w:p>
          <w:p>
            <w:pPr>
              <w:widowControl/>
              <w:spacing w:line="400" w:lineRule="exact"/>
              <w:jc w:val="left"/>
              <w:textAlignment w:val="center"/>
              <w:rPr>
                <w:rFonts w:ascii="仿宋" w:hAnsi="仿宋" w:eastAsia="仿宋" w:cs="仿宋"/>
                <w:color w:val="000000"/>
                <w:kern w:val="0"/>
                <w:sz w:val="28"/>
                <w:szCs w:val="28"/>
                <w:lang w:bidi="ar"/>
              </w:rPr>
            </w:pPr>
            <w:r>
              <w:rPr>
                <w:rFonts w:hint="eastAsia" w:ascii="仿宋" w:hAnsi="仿宋" w:eastAsia="仿宋" w:cs="仿宋"/>
                <w:sz w:val="24"/>
              </w:rPr>
              <w:t>8、按照《预算法》的规定结合省、市相关要求，形成随县部门预算编制指南并对各预算单位进行培训，做好2024年部门预算编制工作。</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谢力</w:t>
            </w:r>
          </w:p>
        </w:tc>
      </w:tr>
      <w:tr>
        <w:tblPrEx>
          <w:tblCellMar>
            <w:top w:w="0" w:type="dxa"/>
            <w:left w:w="0" w:type="dxa"/>
            <w:bottom w:w="0" w:type="dxa"/>
            <w:right w:w="0" w:type="dxa"/>
          </w:tblCellMar>
        </w:tblPrEx>
        <w:trPr>
          <w:gridAfter w:val="1"/>
          <w:wAfter w:w="26" w:type="dxa"/>
          <w:trHeight w:val="4506" w:hRule="atLeast"/>
          <w:jc w:val="center"/>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abs>
                <w:tab w:val="left" w:pos="275"/>
              </w:tabs>
              <w:spacing w:line="400" w:lineRule="exact"/>
              <w:jc w:val="left"/>
              <w:textAlignment w:val="center"/>
              <w:rPr>
                <w:rFonts w:ascii="仿宋" w:hAnsi="仿宋" w:eastAsia="仿宋" w:cs="仿宋"/>
                <w:color w:val="000000"/>
                <w:sz w:val="24"/>
              </w:rPr>
            </w:pPr>
            <w:r>
              <w:rPr>
                <w:rFonts w:hint="eastAsia" w:ascii="仿宋" w:hAnsi="仿宋" w:eastAsia="仿宋" w:cs="仿宋"/>
                <w:color w:val="000000"/>
                <w:sz w:val="24"/>
              </w:rPr>
              <w:tab/>
            </w:r>
            <w:r>
              <w:rPr>
                <w:rFonts w:hint="eastAsia" w:ascii="仿宋" w:hAnsi="仿宋" w:eastAsia="仿宋" w:cs="仿宋"/>
                <w:color w:val="000000"/>
                <w:sz w:val="24"/>
              </w:rPr>
              <w:t>4</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政府债务管理股</w:t>
            </w:r>
          </w:p>
        </w:tc>
        <w:tc>
          <w:tcPr>
            <w:tcW w:w="4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textAlignment w:val="center"/>
              <w:rPr>
                <w:rFonts w:ascii="仿宋" w:hAnsi="仿宋" w:eastAsia="仿宋" w:cs="仿宋"/>
                <w:sz w:val="24"/>
              </w:rPr>
            </w:pPr>
            <w:r>
              <w:rPr>
                <w:rFonts w:hint="eastAsia" w:ascii="仿宋" w:hAnsi="仿宋" w:eastAsia="仿宋" w:cs="仿宋"/>
                <w:sz w:val="24"/>
              </w:rPr>
              <w:t>1、谋划好2023年专项债券项目。</w:t>
            </w:r>
          </w:p>
          <w:p>
            <w:pPr>
              <w:widowControl/>
              <w:spacing w:line="400" w:lineRule="exact"/>
              <w:jc w:val="left"/>
              <w:textAlignment w:val="center"/>
              <w:rPr>
                <w:rFonts w:ascii="仿宋" w:hAnsi="仿宋" w:eastAsia="仿宋" w:cs="仿宋"/>
                <w:sz w:val="24"/>
              </w:rPr>
            </w:pPr>
            <w:r>
              <w:rPr>
                <w:rFonts w:hint="eastAsia" w:ascii="仿宋" w:hAnsi="仿宋" w:eastAsia="仿宋" w:cs="仿宋"/>
                <w:sz w:val="24"/>
              </w:rPr>
              <w:t>2、探索建立地方隐性债务管理制度。</w:t>
            </w:r>
          </w:p>
          <w:p>
            <w:pPr>
              <w:widowControl/>
              <w:spacing w:line="400" w:lineRule="exact"/>
              <w:jc w:val="left"/>
              <w:textAlignment w:val="center"/>
              <w:rPr>
                <w:rFonts w:ascii="仿宋" w:hAnsi="仿宋" w:eastAsia="仿宋" w:cs="仿宋"/>
                <w:sz w:val="24"/>
              </w:rPr>
            </w:pPr>
            <w:r>
              <w:rPr>
                <w:rFonts w:hint="eastAsia" w:ascii="仿宋" w:hAnsi="仿宋" w:eastAsia="仿宋" w:cs="仿宋"/>
                <w:sz w:val="24"/>
              </w:rPr>
              <w:t>3、加强债券资金管理使用。</w:t>
            </w:r>
          </w:p>
          <w:p>
            <w:pPr>
              <w:widowControl/>
              <w:spacing w:line="400" w:lineRule="exact"/>
              <w:jc w:val="left"/>
              <w:textAlignment w:val="center"/>
              <w:rPr>
                <w:rFonts w:ascii="仿宋" w:hAnsi="仿宋" w:eastAsia="仿宋" w:cs="仿宋"/>
                <w:color w:val="000000"/>
                <w:sz w:val="24"/>
              </w:rPr>
            </w:pPr>
            <w:r>
              <w:rPr>
                <w:rFonts w:hint="eastAsia" w:ascii="仿宋" w:hAnsi="仿宋" w:eastAsia="仿宋" w:cs="仿宋"/>
                <w:sz w:val="24"/>
              </w:rPr>
              <w:t>4、加强风险预警管理。</w:t>
            </w:r>
          </w:p>
        </w:tc>
        <w:tc>
          <w:tcPr>
            <w:tcW w:w="7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left"/>
              <w:rPr>
                <w:rFonts w:ascii="仿宋" w:hAnsi="仿宋" w:eastAsia="仿宋" w:cs="仿宋"/>
                <w:sz w:val="24"/>
              </w:rPr>
            </w:pPr>
            <w:r>
              <w:rPr>
                <w:rFonts w:hint="eastAsia" w:ascii="仿宋" w:hAnsi="仿宋" w:eastAsia="仿宋" w:cs="仿宋"/>
                <w:color w:val="000000"/>
                <w:kern w:val="0"/>
                <w:sz w:val="24"/>
                <w:lang w:bidi="ar"/>
              </w:rPr>
              <w:t>1、对专</w:t>
            </w:r>
            <w:r>
              <w:rPr>
                <w:rFonts w:hint="eastAsia" w:ascii="仿宋" w:hAnsi="仿宋" w:eastAsia="仿宋" w:cs="仿宋"/>
                <w:sz w:val="24"/>
              </w:rPr>
              <w:t>项债券项目前期准备情况进行督办，协同发改局做好项目入库、对接省、市做好资料评审和最终的发行工作。</w:t>
            </w:r>
          </w:p>
          <w:p>
            <w:pPr>
              <w:spacing w:line="400" w:lineRule="exact"/>
              <w:rPr>
                <w:rFonts w:ascii="仿宋" w:hAnsi="仿宋" w:eastAsia="仿宋" w:cs="仿宋"/>
                <w:sz w:val="24"/>
              </w:rPr>
            </w:pPr>
            <w:r>
              <w:rPr>
                <w:rFonts w:hint="eastAsia" w:ascii="仿宋" w:hAnsi="仿宋" w:eastAsia="仿宋" w:cs="仿宋"/>
                <w:sz w:val="24"/>
              </w:rPr>
              <w:t>2、全面摸排平台公司资产、负债、投资、融资情况，推进融资平台债务的甄别与化解工作，规范融资平台公司公益性项目建设、财政资金拨付决策程序，坚决遏制新增隐性债务。</w:t>
            </w:r>
          </w:p>
          <w:p>
            <w:pPr>
              <w:spacing w:line="400" w:lineRule="exact"/>
              <w:jc w:val="left"/>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建立</w:t>
            </w:r>
            <w:r>
              <w:rPr>
                <w:rFonts w:hint="eastAsia" w:ascii="仿宋" w:hAnsi="仿宋" w:eastAsia="仿宋" w:cs="仿宋"/>
                <w:sz w:val="24"/>
              </w:rPr>
              <w:t>债券</w:t>
            </w:r>
            <w:r>
              <w:rPr>
                <w:rFonts w:ascii="仿宋" w:hAnsi="仿宋" w:eastAsia="仿宋" w:cs="仿宋"/>
                <w:sz w:val="24"/>
              </w:rPr>
              <w:t>资金使用台账，逐个项目跟踪督办，及时协调解决项目实施中存在的困难和问题，推动尽快形成实物工作量，发挥扩投资稳增长作用</w:t>
            </w:r>
            <w:r>
              <w:rPr>
                <w:rFonts w:hint="eastAsia" w:ascii="仿宋" w:hAnsi="仿宋" w:eastAsia="仿宋" w:cs="仿宋"/>
                <w:sz w:val="24"/>
              </w:rPr>
              <w:t>；建立债券资金使用进度月通报、季调度机制，对债券资金使用缓慢的项目，适时进行调整，切实提高债券资金使用效益。</w:t>
            </w:r>
          </w:p>
          <w:p>
            <w:pPr>
              <w:spacing w:line="400" w:lineRule="exact"/>
              <w:rPr>
                <w:rFonts w:ascii="仿宋" w:hAnsi="仿宋" w:eastAsia="仿宋" w:cs="仿宋"/>
                <w:sz w:val="24"/>
              </w:rPr>
            </w:pPr>
            <w:r>
              <w:rPr>
                <w:rFonts w:hint="eastAsia" w:ascii="仿宋" w:hAnsi="仿宋" w:eastAsia="仿宋" w:cs="仿宋"/>
                <w:sz w:val="24"/>
              </w:rPr>
              <w:t>4、进一步加强限额管理、风险评级管理、专项债券支出进度管理和债券还本付息兑付管理，严格控制在政府债务限额内举借债务；将政府债券还本付息资金纳入年初预算管理，按时足额还本付息，严控兑付风险。按照《政府债务风险管理工作提示》，对债务率、债券利息支出率等主要风险指标加强监管，切实防范政府债务风险。</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谢力</w:t>
            </w:r>
          </w:p>
        </w:tc>
      </w:tr>
      <w:tr>
        <w:tblPrEx>
          <w:tblCellMar>
            <w:top w:w="0" w:type="dxa"/>
            <w:left w:w="0" w:type="dxa"/>
            <w:bottom w:w="0" w:type="dxa"/>
            <w:right w:w="0" w:type="dxa"/>
          </w:tblCellMar>
        </w:tblPrEx>
        <w:trPr>
          <w:gridAfter w:val="1"/>
          <w:wAfter w:w="26" w:type="dxa"/>
          <w:trHeight w:val="2017" w:hRule="atLeast"/>
          <w:jc w:val="center"/>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5</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国库股（信息股）</w:t>
            </w:r>
          </w:p>
        </w:tc>
        <w:tc>
          <w:tcPr>
            <w:tcW w:w="4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4"/>
              </w:numPr>
              <w:jc w:val="left"/>
              <w:textAlignment w:val="center"/>
              <w:rPr>
                <w:rFonts w:ascii="仿宋" w:hAnsi="仿宋" w:eastAsia="仿宋" w:cs="仿宋"/>
                <w:color w:val="000000"/>
                <w:sz w:val="24"/>
              </w:rPr>
            </w:pPr>
            <w:r>
              <w:rPr>
                <w:rFonts w:hint="eastAsia" w:ascii="仿宋" w:hAnsi="仿宋" w:eastAsia="仿宋" w:cs="仿宋"/>
                <w:color w:val="000000"/>
                <w:sz w:val="24"/>
              </w:rPr>
              <w:t>完成2023年随县一般公共预算收入。</w:t>
            </w:r>
          </w:p>
          <w:p>
            <w:pPr>
              <w:widowControl/>
              <w:numPr>
                <w:ilvl w:val="0"/>
                <w:numId w:val="4"/>
              </w:numPr>
              <w:jc w:val="left"/>
              <w:textAlignment w:val="center"/>
              <w:rPr>
                <w:rFonts w:ascii="仿宋" w:hAnsi="仿宋" w:eastAsia="仿宋" w:cs="仿宋"/>
                <w:color w:val="000000"/>
                <w:sz w:val="24"/>
              </w:rPr>
            </w:pPr>
            <w:r>
              <w:rPr>
                <w:rFonts w:ascii="仿宋" w:hAnsi="仿宋" w:eastAsia="仿宋" w:cs="仿宋"/>
                <w:color w:val="000000"/>
                <w:sz w:val="24"/>
              </w:rPr>
              <w:t>做好202</w:t>
            </w:r>
            <w:r>
              <w:rPr>
                <w:rFonts w:hint="eastAsia" w:ascii="仿宋" w:hAnsi="仿宋" w:eastAsia="仿宋" w:cs="仿宋"/>
                <w:color w:val="000000"/>
                <w:sz w:val="24"/>
              </w:rPr>
              <w:t>2</w:t>
            </w:r>
            <w:r>
              <w:rPr>
                <w:rFonts w:ascii="仿宋" w:hAnsi="仿宋" w:eastAsia="仿宋" w:cs="仿宋"/>
                <w:color w:val="000000"/>
                <w:sz w:val="24"/>
              </w:rPr>
              <w:t>年度财政总决算、权责发生制政府财报、部门决算报表编制工作</w:t>
            </w:r>
            <w:r>
              <w:rPr>
                <w:rFonts w:hint="eastAsia" w:ascii="仿宋" w:hAnsi="仿宋" w:eastAsia="仿宋" w:cs="仿宋"/>
                <w:color w:val="000000"/>
                <w:sz w:val="24"/>
              </w:rPr>
              <w:t>。</w:t>
            </w:r>
          </w:p>
          <w:p>
            <w:pPr>
              <w:widowControl/>
              <w:numPr>
                <w:ilvl w:val="0"/>
                <w:numId w:val="4"/>
              </w:numPr>
              <w:jc w:val="left"/>
              <w:textAlignment w:val="center"/>
              <w:rPr>
                <w:rFonts w:ascii="仿宋" w:hAnsi="仿宋" w:eastAsia="仿宋" w:cs="仿宋"/>
                <w:color w:val="000000"/>
                <w:sz w:val="24"/>
              </w:rPr>
            </w:pPr>
            <w:r>
              <w:rPr>
                <w:rFonts w:ascii="仿宋" w:hAnsi="仿宋" w:eastAsia="仿宋" w:cs="仿宋"/>
                <w:color w:val="000000"/>
                <w:sz w:val="24"/>
              </w:rPr>
              <w:t>认真落实财政直达资金政策</w:t>
            </w:r>
            <w:r>
              <w:rPr>
                <w:rFonts w:hint="eastAsia" w:ascii="仿宋" w:hAnsi="仿宋" w:eastAsia="仿宋" w:cs="仿宋"/>
                <w:color w:val="000000"/>
                <w:sz w:val="24"/>
              </w:rPr>
              <w:t>，按照要求完成2023年支付进度。</w:t>
            </w:r>
          </w:p>
        </w:tc>
        <w:tc>
          <w:tcPr>
            <w:tcW w:w="7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20" w:lineRule="exact"/>
              <w:jc w:val="left"/>
              <w:textAlignment w:val="center"/>
              <w:rPr>
                <w:rFonts w:ascii="仿宋" w:hAnsi="仿宋" w:eastAsia="仿宋" w:cs="仿宋"/>
                <w:color w:val="000000"/>
                <w:kern w:val="0"/>
                <w:sz w:val="24"/>
                <w:lang w:bidi="ar"/>
              </w:rPr>
            </w:pPr>
          </w:p>
          <w:p>
            <w:pPr>
              <w:widowControl/>
              <w:numPr>
                <w:ilvl w:val="0"/>
                <w:numId w:val="5"/>
              </w:numPr>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切实做好2023年随县一般公共预算收入测算和任务分解工作，落实高质量发展要求，提高县域经济收入。</w:t>
            </w:r>
          </w:p>
          <w:p>
            <w:pPr>
              <w:widowControl/>
              <w:numPr>
                <w:ilvl w:val="0"/>
                <w:numId w:val="5"/>
              </w:numPr>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狠抓时效性工作任务，细化工作计划，明确关键节点，督促各部门按时完成2022年度部门决算编制、真实性核查及批复公开工作。</w:t>
            </w:r>
          </w:p>
          <w:p>
            <w:pPr>
              <w:widowControl/>
              <w:numPr>
                <w:ilvl w:val="0"/>
                <w:numId w:val="5"/>
              </w:numPr>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严格执行直达资金相关政策，重点监督资金使用“最后一公里”，督促减税降费、援企稳岗、低保和社会救助扩围等政策落实，确保直达资金精准用于保障困难群众基本生活和帮助解决企业、</w:t>
            </w:r>
            <w:r>
              <w:rPr>
                <w:rFonts w:hint="eastAsia" w:ascii="仿宋" w:hAnsi="仿宋" w:eastAsia="仿宋" w:cs="仿宋"/>
                <w:color w:val="000000"/>
                <w:kern w:val="0"/>
                <w:sz w:val="24"/>
                <w:lang w:eastAsia="zh-CN" w:bidi="ar"/>
              </w:rPr>
              <w:t>个体工商户</w:t>
            </w:r>
            <w:r>
              <w:rPr>
                <w:rFonts w:hint="eastAsia" w:ascii="仿宋" w:hAnsi="仿宋" w:eastAsia="仿宋" w:cs="仿宋"/>
                <w:color w:val="000000"/>
                <w:kern w:val="0"/>
                <w:sz w:val="24"/>
                <w:lang w:bidi="ar"/>
              </w:rPr>
              <w:t>实际困难。</w:t>
            </w:r>
          </w:p>
          <w:p>
            <w:pPr>
              <w:pStyle w:val="2"/>
              <w:spacing w:line="40" w:lineRule="exact"/>
              <w:rPr>
                <w:lang w:bidi="ar"/>
              </w:rPr>
            </w:pP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谢力</w:t>
            </w:r>
          </w:p>
        </w:tc>
      </w:tr>
      <w:tr>
        <w:tblPrEx>
          <w:tblCellMar>
            <w:top w:w="0" w:type="dxa"/>
            <w:left w:w="0" w:type="dxa"/>
            <w:bottom w:w="0" w:type="dxa"/>
            <w:right w:w="0" w:type="dxa"/>
          </w:tblCellMar>
        </w:tblPrEx>
        <w:trPr>
          <w:gridAfter w:val="1"/>
          <w:wAfter w:w="26" w:type="dxa"/>
          <w:trHeight w:val="1725" w:hRule="atLeast"/>
          <w:jc w:val="center"/>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6</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经济建设股</w:t>
            </w:r>
          </w:p>
        </w:tc>
        <w:tc>
          <w:tcPr>
            <w:tcW w:w="4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 w:hAnsi="仿宋" w:eastAsia="仿宋" w:cs="仿宋"/>
                <w:sz w:val="24"/>
              </w:rPr>
            </w:pPr>
            <w:r>
              <w:rPr>
                <w:rFonts w:hint="eastAsia" w:ascii="仿宋" w:hAnsi="仿宋" w:eastAsia="仿宋" w:cs="仿宋"/>
                <w:sz w:val="24"/>
              </w:rPr>
              <w:t>1、大力推进农村危房改造。</w:t>
            </w:r>
          </w:p>
          <w:p>
            <w:pPr>
              <w:jc w:val="left"/>
              <w:rPr>
                <w:rFonts w:ascii="仿宋" w:hAnsi="仿宋" w:eastAsia="仿宋" w:cs="仿宋"/>
                <w:sz w:val="24"/>
              </w:rPr>
            </w:pPr>
            <w:r>
              <w:rPr>
                <w:rFonts w:hint="eastAsia" w:ascii="仿宋" w:hAnsi="仿宋" w:eastAsia="仿宋" w:cs="仿宋"/>
                <w:sz w:val="24"/>
              </w:rPr>
              <w:t>2、助推美好环境与幸福生活共同缔造活动。</w:t>
            </w:r>
          </w:p>
          <w:p>
            <w:pPr>
              <w:jc w:val="left"/>
              <w:rPr>
                <w:rFonts w:ascii="仿宋" w:hAnsi="仿宋" w:eastAsia="仿宋" w:cs="仿宋"/>
                <w:sz w:val="24"/>
              </w:rPr>
            </w:pPr>
            <w:r>
              <w:rPr>
                <w:rFonts w:hint="eastAsia" w:ascii="仿宋" w:hAnsi="仿宋" w:eastAsia="仿宋" w:cs="仿宋"/>
                <w:sz w:val="24"/>
              </w:rPr>
              <w:t>3、积极配合相关单位及镇村向上争资立项。</w:t>
            </w:r>
          </w:p>
          <w:p>
            <w:pPr>
              <w:jc w:val="left"/>
              <w:rPr>
                <w:rFonts w:ascii="仿宋" w:hAnsi="仿宋" w:eastAsia="仿宋" w:cs="仿宋"/>
                <w:color w:val="000000"/>
                <w:sz w:val="24"/>
              </w:rPr>
            </w:pPr>
            <w:r>
              <w:rPr>
                <w:rFonts w:hint="eastAsia" w:ascii="仿宋" w:hAnsi="仿宋" w:eastAsia="仿宋" w:cs="仿宋"/>
                <w:sz w:val="24"/>
              </w:rPr>
              <w:t>4、加快预算执行进度。</w:t>
            </w:r>
          </w:p>
        </w:tc>
        <w:tc>
          <w:tcPr>
            <w:tcW w:w="7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 w:hAnsi="仿宋" w:eastAsia="仿宋" w:cs="仿宋"/>
                <w:sz w:val="24"/>
              </w:rPr>
            </w:pPr>
            <w:r>
              <w:rPr>
                <w:rFonts w:hint="eastAsia" w:ascii="仿宋" w:hAnsi="仿宋" w:eastAsia="仿宋" w:cs="仿宋"/>
                <w:sz w:val="24"/>
              </w:rPr>
              <w:t>1、落实符合政策规定的农村困难群众基本住房安全保障。</w:t>
            </w:r>
          </w:p>
          <w:p>
            <w:pPr>
              <w:jc w:val="left"/>
              <w:rPr>
                <w:rFonts w:ascii="仿宋" w:hAnsi="仿宋" w:eastAsia="仿宋" w:cs="仿宋"/>
                <w:sz w:val="24"/>
              </w:rPr>
            </w:pPr>
            <w:r>
              <w:rPr>
                <w:rFonts w:hint="eastAsia" w:ascii="仿宋" w:hAnsi="仿宋" w:eastAsia="仿宋" w:cs="仿宋"/>
                <w:sz w:val="24"/>
              </w:rPr>
              <w:t>2、向上争取专项资金及筹措资金加快推进城镇化建设。</w:t>
            </w:r>
          </w:p>
          <w:p>
            <w:pPr>
              <w:jc w:val="left"/>
              <w:rPr>
                <w:rFonts w:ascii="仿宋" w:hAnsi="仿宋" w:eastAsia="仿宋" w:cs="仿宋"/>
                <w:sz w:val="24"/>
              </w:rPr>
            </w:pPr>
            <w:r>
              <w:rPr>
                <w:rFonts w:hint="eastAsia" w:ascii="仿宋" w:hAnsi="仿宋" w:eastAsia="仿宋" w:cs="仿宋"/>
                <w:sz w:val="24"/>
              </w:rPr>
              <w:t>3、尽最大努力争取中央和省级预算资金。</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sz w:val="24"/>
              </w:rPr>
              <w:t>4、做好项目资金的及时、安全拨付，不滞后工程进度。</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陶立兵</w:t>
            </w:r>
          </w:p>
        </w:tc>
      </w:tr>
      <w:tr>
        <w:tblPrEx>
          <w:tblCellMar>
            <w:top w:w="0" w:type="dxa"/>
            <w:left w:w="0" w:type="dxa"/>
            <w:bottom w:w="0" w:type="dxa"/>
            <w:right w:w="0" w:type="dxa"/>
          </w:tblCellMar>
        </w:tblPrEx>
        <w:trPr>
          <w:gridAfter w:val="1"/>
          <w:wAfter w:w="26" w:type="dxa"/>
          <w:trHeight w:val="2136" w:hRule="atLeast"/>
          <w:jc w:val="center"/>
        </w:trPr>
        <w:tc>
          <w:tcPr>
            <w:tcW w:w="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7</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行政政法股</w:t>
            </w:r>
          </w:p>
        </w:tc>
        <w:tc>
          <w:tcPr>
            <w:tcW w:w="4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6"/>
              </w:numPr>
              <w:jc w:val="left"/>
              <w:textAlignment w:val="center"/>
              <w:rPr>
                <w:rFonts w:ascii="仿宋" w:hAnsi="仿宋" w:eastAsia="仿宋" w:cs="仿宋"/>
                <w:color w:val="000000"/>
                <w:sz w:val="24"/>
              </w:rPr>
            </w:pPr>
            <w:r>
              <w:rPr>
                <w:rFonts w:hint="eastAsia" w:ascii="仿宋" w:hAnsi="仿宋" w:eastAsia="仿宋" w:cs="仿宋"/>
                <w:color w:val="000000"/>
                <w:sz w:val="24"/>
              </w:rPr>
              <w:t>按时报送</w:t>
            </w:r>
            <w:r>
              <w:rPr>
                <w:rFonts w:hint="eastAsia" w:ascii="仿宋" w:hAnsi="仿宋" w:eastAsia="仿宋" w:cs="仿宋"/>
                <w:color w:val="000000"/>
                <w:sz w:val="24"/>
                <w:lang w:eastAsia="zh-CN"/>
              </w:rPr>
              <w:t>“三公”经费</w:t>
            </w:r>
            <w:r>
              <w:rPr>
                <w:rFonts w:hint="eastAsia" w:ascii="仿宋" w:hAnsi="仿宋" w:eastAsia="仿宋" w:cs="仿宋"/>
                <w:color w:val="000000"/>
                <w:sz w:val="24"/>
              </w:rPr>
              <w:t>“政法报表”“综治平安建设”填报工作。</w:t>
            </w:r>
          </w:p>
          <w:p>
            <w:pPr>
              <w:widowControl/>
              <w:numPr>
                <w:ilvl w:val="0"/>
                <w:numId w:val="6"/>
              </w:numPr>
              <w:jc w:val="left"/>
              <w:textAlignment w:val="center"/>
              <w:rPr>
                <w:rFonts w:ascii="仿宋" w:hAnsi="仿宋" w:eastAsia="仿宋" w:cs="仿宋"/>
                <w:color w:val="000000"/>
                <w:sz w:val="24"/>
              </w:rPr>
            </w:pPr>
            <w:r>
              <w:rPr>
                <w:rFonts w:hint="eastAsia" w:ascii="仿宋" w:hAnsi="仿宋" w:eastAsia="仿宋" w:cs="仿宋"/>
                <w:color w:val="000000"/>
                <w:sz w:val="24"/>
              </w:rPr>
              <w:t>协助服务单位做好年初预算、年底决算。</w:t>
            </w:r>
          </w:p>
          <w:p>
            <w:pPr>
              <w:widowControl/>
              <w:numPr>
                <w:ilvl w:val="0"/>
                <w:numId w:val="6"/>
              </w:numPr>
              <w:jc w:val="left"/>
              <w:textAlignment w:val="center"/>
              <w:rPr>
                <w:rFonts w:ascii="仿宋" w:hAnsi="仿宋" w:eastAsia="仿宋" w:cs="仿宋"/>
                <w:color w:val="000000"/>
                <w:sz w:val="24"/>
              </w:rPr>
            </w:pPr>
            <w:r>
              <w:rPr>
                <w:rFonts w:hint="eastAsia" w:ascii="仿宋" w:hAnsi="仿宋" w:eastAsia="仿宋" w:cs="仿宋"/>
                <w:color w:val="000000"/>
                <w:sz w:val="24"/>
              </w:rPr>
              <w:t>严格按资金管理制度审核各类资金。</w:t>
            </w:r>
          </w:p>
          <w:p>
            <w:pPr>
              <w:widowControl/>
              <w:numPr>
                <w:ilvl w:val="0"/>
                <w:numId w:val="6"/>
              </w:numPr>
              <w:jc w:val="left"/>
              <w:textAlignment w:val="center"/>
              <w:rPr>
                <w:rFonts w:ascii="仿宋" w:hAnsi="仿宋" w:eastAsia="仿宋" w:cs="仿宋"/>
                <w:color w:val="000000"/>
                <w:sz w:val="24"/>
              </w:rPr>
            </w:pPr>
            <w:r>
              <w:rPr>
                <w:rFonts w:hint="eastAsia" w:ascii="仿宋" w:hAnsi="仿宋" w:eastAsia="仿宋" w:cs="仿宋"/>
                <w:color w:val="000000"/>
                <w:sz w:val="24"/>
              </w:rPr>
              <w:t>对项目资金进行严格监管。</w:t>
            </w:r>
          </w:p>
          <w:p>
            <w:pPr>
              <w:widowControl/>
              <w:jc w:val="left"/>
              <w:textAlignment w:val="center"/>
              <w:rPr>
                <w:rFonts w:ascii="仿宋" w:hAnsi="仿宋" w:eastAsia="仿宋" w:cs="仿宋"/>
                <w:color w:val="000000"/>
                <w:sz w:val="24"/>
              </w:rPr>
            </w:pPr>
          </w:p>
        </w:tc>
        <w:tc>
          <w:tcPr>
            <w:tcW w:w="7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1、按照报表要求，及时完成，做到数据真实有效，填报内容准确无误，文字说明逻辑清晰。     </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2、督促服务单位做好本单位基础信息、人员信息、项目申报工作和年终决算的填报。</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3、按照资金管理制度，严格审批程序，控制使用进度，加强资金监管。  </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赵铭</w:t>
            </w:r>
          </w:p>
        </w:tc>
      </w:tr>
      <w:tr>
        <w:tblPrEx>
          <w:tblCellMar>
            <w:top w:w="0" w:type="dxa"/>
            <w:left w:w="0" w:type="dxa"/>
            <w:bottom w:w="0" w:type="dxa"/>
            <w:right w:w="0" w:type="dxa"/>
          </w:tblCellMar>
        </w:tblPrEx>
        <w:trPr>
          <w:gridAfter w:val="1"/>
          <w:wAfter w:w="26" w:type="dxa"/>
          <w:trHeight w:val="2087" w:hRule="atLeast"/>
          <w:jc w:val="center"/>
        </w:trPr>
        <w:tc>
          <w:tcPr>
            <w:tcW w:w="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8</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科教与文化股</w:t>
            </w:r>
          </w:p>
        </w:tc>
        <w:tc>
          <w:tcPr>
            <w:tcW w:w="4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7"/>
              </w:numPr>
              <w:jc w:val="left"/>
              <w:textAlignment w:val="center"/>
              <w:rPr>
                <w:rFonts w:ascii="仿宋" w:hAnsi="仿宋" w:eastAsia="仿宋" w:cs="仿宋"/>
                <w:color w:val="000000"/>
                <w:sz w:val="24"/>
              </w:rPr>
            </w:pPr>
            <w:r>
              <w:rPr>
                <w:rFonts w:hint="eastAsia" w:ascii="仿宋" w:hAnsi="仿宋" w:eastAsia="仿宋" w:cs="仿宋"/>
                <w:color w:val="000000"/>
                <w:sz w:val="24"/>
              </w:rPr>
              <w:t>制定文旅系统全年资金使用计划方案。</w:t>
            </w:r>
          </w:p>
          <w:p>
            <w:pPr>
              <w:widowControl/>
              <w:numPr>
                <w:ilvl w:val="0"/>
                <w:numId w:val="7"/>
              </w:numPr>
              <w:jc w:val="left"/>
              <w:textAlignment w:val="center"/>
              <w:rPr>
                <w:rFonts w:ascii="仿宋" w:hAnsi="仿宋" w:eastAsia="仿宋" w:cs="仿宋"/>
                <w:color w:val="000000"/>
                <w:sz w:val="24"/>
              </w:rPr>
            </w:pPr>
            <w:r>
              <w:rPr>
                <w:rFonts w:hint="eastAsia" w:ascii="仿宋" w:hAnsi="仿宋" w:eastAsia="仿宋" w:cs="仿宋"/>
                <w:color w:val="000000"/>
                <w:sz w:val="24"/>
              </w:rPr>
              <w:t>加大资金监管力度，核查教育系统公用经费。</w:t>
            </w:r>
          </w:p>
          <w:p>
            <w:pPr>
              <w:widowControl/>
              <w:numPr>
                <w:ilvl w:val="0"/>
                <w:numId w:val="7"/>
              </w:numPr>
              <w:jc w:val="left"/>
              <w:textAlignment w:val="center"/>
              <w:rPr>
                <w:rFonts w:ascii="仿宋" w:hAnsi="仿宋" w:eastAsia="仿宋" w:cs="仿宋"/>
                <w:color w:val="000000"/>
                <w:sz w:val="24"/>
              </w:rPr>
            </w:pPr>
            <w:r>
              <w:rPr>
                <w:rFonts w:hint="eastAsia" w:ascii="仿宋" w:hAnsi="仿宋" w:eastAsia="仿宋" w:cs="仿宋"/>
                <w:color w:val="000000"/>
                <w:sz w:val="24"/>
              </w:rPr>
              <w:t>切实落实直达资金监管，及时做好直达资金数据关联。</w:t>
            </w:r>
          </w:p>
        </w:tc>
        <w:tc>
          <w:tcPr>
            <w:tcW w:w="7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8"/>
              </w:numPr>
              <w:spacing w:line="260" w:lineRule="exact"/>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与文旅局协调沟通，参照往年文旅资金使用情况，适当调整文旅局全年资金使用计划方案。</w:t>
            </w:r>
          </w:p>
          <w:p>
            <w:pPr>
              <w:widowControl/>
              <w:numPr>
                <w:ilvl w:val="0"/>
                <w:numId w:val="8"/>
              </w:numPr>
              <w:spacing w:line="260" w:lineRule="exact"/>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核查学校学生人数，核实公用经费拨付额度准确性；足额拨付教育经费；按要求拨付项目资金，采取实地查看及审阅工程施工手续等方式做好资金监管；配合教育部门争取教育资金。</w:t>
            </w:r>
          </w:p>
          <w:p>
            <w:pPr>
              <w:widowControl/>
              <w:numPr>
                <w:ilvl w:val="0"/>
                <w:numId w:val="8"/>
              </w:numPr>
              <w:spacing w:line="260" w:lineRule="exact"/>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严格按照中央与省对直达资金管理的有关规定，及时分配资金，加快支出进度；并确保直达资金指标信息、支付信息、台账信息录入准确无误。</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赵铭</w:t>
            </w:r>
          </w:p>
        </w:tc>
      </w:tr>
      <w:tr>
        <w:tblPrEx>
          <w:tblCellMar>
            <w:top w:w="0" w:type="dxa"/>
            <w:left w:w="0" w:type="dxa"/>
            <w:bottom w:w="0" w:type="dxa"/>
            <w:right w:w="0" w:type="dxa"/>
          </w:tblCellMar>
        </w:tblPrEx>
        <w:trPr>
          <w:gridAfter w:val="1"/>
          <w:wAfter w:w="26" w:type="dxa"/>
          <w:trHeight w:val="1739" w:hRule="atLeast"/>
          <w:jc w:val="center"/>
        </w:trPr>
        <w:tc>
          <w:tcPr>
            <w:tcW w:w="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9</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社会保障股</w:t>
            </w:r>
          </w:p>
        </w:tc>
        <w:tc>
          <w:tcPr>
            <w:tcW w:w="4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1、做好发放困难群体社会保障兜底资金。</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2、做好对口服务单位资金收支预算。</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3、落实直达资金管理机制。</w:t>
            </w:r>
          </w:p>
        </w:tc>
        <w:tc>
          <w:tcPr>
            <w:tcW w:w="7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ascii="仿宋" w:hAnsi="仿宋" w:eastAsia="仿宋" w:cs="仿宋"/>
                <w:color w:val="000000"/>
                <w:w w:val="95"/>
                <w:kern w:val="0"/>
                <w:sz w:val="24"/>
                <w:lang w:bidi="ar"/>
              </w:rPr>
            </w:pPr>
            <w:r>
              <w:rPr>
                <w:rFonts w:hint="eastAsia" w:ascii="仿宋" w:hAnsi="仿宋" w:eastAsia="仿宋" w:cs="仿宋"/>
                <w:color w:val="000000"/>
                <w:w w:val="95"/>
                <w:kern w:val="0"/>
                <w:sz w:val="24"/>
                <w:lang w:bidi="ar"/>
              </w:rPr>
              <w:t>1、每月按照时间要求及进度在每月月底前拨付资金，做好财政资金对困难群众的社保兜底工作。</w:t>
            </w:r>
          </w:p>
          <w:p>
            <w:pPr>
              <w:widowControl/>
              <w:spacing w:line="260" w:lineRule="exact"/>
              <w:jc w:val="left"/>
              <w:textAlignment w:val="center"/>
              <w:rPr>
                <w:rFonts w:ascii="仿宋" w:hAnsi="仿宋" w:eastAsia="仿宋" w:cs="仿宋"/>
                <w:color w:val="000000"/>
                <w:w w:val="95"/>
                <w:kern w:val="0"/>
                <w:sz w:val="24"/>
                <w:lang w:bidi="ar"/>
              </w:rPr>
            </w:pPr>
            <w:r>
              <w:rPr>
                <w:rFonts w:hint="eastAsia" w:ascii="仿宋" w:hAnsi="仿宋" w:eastAsia="仿宋" w:cs="仿宋"/>
                <w:color w:val="000000"/>
                <w:w w:val="95"/>
                <w:kern w:val="0"/>
                <w:sz w:val="24"/>
                <w:lang w:bidi="ar"/>
              </w:rPr>
              <w:t>2、与民政局、残联、人社局、退役军人事务局、卫健局、医保局沟通协调，在1月底前拟定资金收支计划表初稿，在5月底前完成定稿。</w:t>
            </w:r>
          </w:p>
          <w:p>
            <w:pPr>
              <w:widowControl/>
              <w:spacing w:line="260" w:lineRule="exact"/>
              <w:jc w:val="left"/>
              <w:textAlignment w:val="center"/>
              <w:rPr>
                <w:rFonts w:ascii="仿宋" w:hAnsi="仿宋" w:eastAsia="仿宋" w:cs="仿宋"/>
                <w:color w:val="000000"/>
                <w:w w:val="95"/>
                <w:kern w:val="0"/>
                <w:sz w:val="24"/>
                <w:lang w:bidi="ar"/>
              </w:rPr>
            </w:pPr>
            <w:r>
              <w:rPr>
                <w:rFonts w:hint="eastAsia" w:ascii="仿宋" w:hAnsi="仿宋" w:eastAsia="仿宋" w:cs="仿宋"/>
                <w:color w:val="000000"/>
                <w:w w:val="95"/>
                <w:kern w:val="0"/>
                <w:sz w:val="24"/>
                <w:lang w:bidi="ar"/>
              </w:rPr>
              <w:t>3、建立健全沟通机制，协调资金使用主管部门，加快预算指标分配进度，督促直达资金拨付到具体项目和社保对象。</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陶立兵</w:t>
            </w:r>
          </w:p>
        </w:tc>
      </w:tr>
      <w:tr>
        <w:tblPrEx>
          <w:tblCellMar>
            <w:top w:w="0" w:type="dxa"/>
            <w:left w:w="0" w:type="dxa"/>
            <w:bottom w:w="0" w:type="dxa"/>
            <w:right w:w="0" w:type="dxa"/>
          </w:tblCellMar>
        </w:tblPrEx>
        <w:trPr>
          <w:gridAfter w:val="1"/>
          <w:wAfter w:w="26" w:type="dxa"/>
          <w:trHeight w:val="2481" w:hRule="atLeast"/>
          <w:jc w:val="center"/>
        </w:trPr>
        <w:tc>
          <w:tcPr>
            <w:tcW w:w="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10</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自然资源与</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生态环境股</w:t>
            </w:r>
          </w:p>
        </w:tc>
        <w:tc>
          <w:tcPr>
            <w:tcW w:w="4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1、兑现随县油茶低产低效林改造补助资金。</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2、保障</w:t>
            </w:r>
            <w:r>
              <w:rPr>
                <w:rFonts w:hint="eastAsia" w:ascii="仿宋" w:hAnsi="仿宋" w:eastAsia="仿宋" w:cs="仿宋"/>
                <w:bCs/>
                <w:sz w:val="24"/>
              </w:rPr>
              <w:t>随县陈家湾矿区建筑石料用灰岩矿勘探工作经费</w:t>
            </w:r>
            <w:r>
              <w:rPr>
                <w:rFonts w:hint="eastAsia" w:ascii="仿宋" w:hAnsi="仿宋" w:eastAsia="仿宋" w:cs="仿宋"/>
                <w:color w:val="000000"/>
                <w:kern w:val="0"/>
                <w:sz w:val="24"/>
                <w:lang w:bidi="ar"/>
              </w:rPr>
              <w:t>。</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3、落实2022年度省级生态环境保护以奖代补资金到具体项目。</w:t>
            </w:r>
          </w:p>
        </w:tc>
        <w:tc>
          <w:tcPr>
            <w:tcW w:w="7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ascii="仿宋" w:hAnsi="仿宋" w:eastAsia="仿宋" w:cs="仿宋"/>
                <w:color w:val="000000"/>
                <w:w w:val="95"/>
                <w:kern w:val="0"/>
                <w:sz w:val="24"/>
                <w:lang w:bidi="ar"/>
              </w:rPr>
            </w:pPr>
            <w:r>
              <w:rPr>
                <w:rFonts w:hint="eastAsia" w:ascii="仿宋" w:hAnsi="仿宋" w:eastAsia="仿宋" w:cs="仿宋"/>
                <w:color w:val="000000"/>
                <w:w w:val="95"/>
                <w:kern w:val="0"/>
                <w:sz w:val="24"/>
                <w:lang w:bidi="ar"/>
              </w:rPr>
              <w:t>1、与县林业局</w:t>
            </w:r>
            <w:r>
              <w:rPr>
                <w:rFonts w:hint="eastAsia" w:ascii="仿宋" w:hAnsi="仿宋" w:eastAsia="仿宋" w:cs="仿宋"/>
                <w:color w:val="000000"/>
                <w:kern w:val="0"/>
                <w:sz w:val="24"/>
                <w:lang w:bidi="ar"/>
              </w:rPr>
              <w:t>开展油茶低产低效林改造项目清查，并聘请第三方与项目相关林管站人员组成专班进行摸底排查；</w:t>
            </w:r>
            <w:r>
              <w:rPr>
                <w:rFonts w:hint="eastAsia" w:ascii="仿宋" w:hAnsi="仿宋" w:eastAsia="仿宋" w:cs="仿宋"/>
                <w:color w:val="000000"/>
                <w:w w:val="95"/>
                <w:kern w:val="0"/>
                <w:sz w:val="24"/>
                <w:lang w:bidi="ar"/>
              </w:rPr>
              <w:t>省级复核验收后，一周内拿出意见方案并上报县政府；及时拨付油茶低产低效林改造补助资金。</w:t>
            </w:r>
          </w:p>
          <w:p>
            <w:pPr>
              <w:widowControl/>
              <w:spacing w:line="260" w:lineRule="exact"/>
              <w:jc w:val="left"/>
              <w:textAlignment w:val="center"/>
              <w:rPr>
                <w:rFonts w:ascii="仿宋" w:hAnsi="仿宋" w:eastAsia="仿宋" w:cs="仿宋"/>
                <w:color w:val="000000"/>
                <w:w w:val="95"/>
                <w:kern w:val="0"/>
                <w:sz w:val="24"/>
                <w:lang w:bidi="ar"/>
              </w:rPr>
            </w:pPr>
            <w:r>
              <w:rPr>
                <w:rFonts w:hint="eastAsia" w:ascii="仿宋" w:hAnsi="仿宋" w:eastAsia="仿宋" w:cs="仿宋"/>
                <w:color w:val="000000"/>
                <w:w w:val="95"/>
                <w:kern w:val="0"/>
                <w:sz w:val="24"/>
                <w:lang w:bidi="ar"/>
              </w:rPr>
              <w:t>2</w:t>
            </w:r>
            <w:r>
              <w:rPr>
                <w:rFonts w:hint="eastAsia" w:ascii="仿宋" w:hAnsi="仿宋" w:eastAsia="仿宋" w:cs="仿宋"/>
                <w:color w:val="000000"/>
                <w:spacing w:val="-6"/>
                <w:w w:val="95"/>
                <w:kern w:val="0"/>
                <w:sz w:val="24"/>
                <w:lang w:bidi="ar"/>
              </w:rPr>
              <w:t>、与县自然资源和规划局对接，对该项目进行核定；严格按照该项目实施进度提出拟办意见；拨付工程款时加强资金监管，严格审核支付手续。</w:t>
            </w:r>
            <w:r>
              <w:rPr>
                <w:rFonts w:hint="eastAsia" w:ascii="仿宋" w:hAnsi="仿宋" w:eastAsia="仿宋" w:cs="仿宋"/>
                <w:color w:val="000000"/>
                <w:w w:val="95"/>
                <w:kern w:val="0"/>
                <w:sz w:val="24"/>
                <w:lang w:bidi="ar"/>
              </w:rPr>
              <w:t xml:space="preserve"> </w:t>
            </w:r>
          </w:p>
          <w:p>
            <w:pPr>
              <w:widowControl/>
              <w:spacing w:line="260" w:lineRule="exact"/>
              <w:jc w:val="left"/>
              <w:textAlignment w:val="center"/>
              <w:rPr>
                <w:rFonts w:ascii="仿宋" w:hAnsi="仿宋" w:eastAsia="仿宋" w:cs="仿宋"/>
                <w:color w:val="000000"/>
                <w:w w:val="95"/>
                <w:kern w:val="0"/>
                <w:sz w:val="24"/>
                <w:lang w:bidi="ar"/>
              </w:rPr>
            </w:pPr>
            <w:r>
              <w:rPr>
                <w:rFonts w:hint="eastAsia" w:ascii="仿宋" w:hAnsi="仿宋" w:eastAsia="仿宋" w:cs="仿宋"/>
                <w:color w:val="000000"/>
                <w:w w:val="95"/>
                <w:kern w:val="0"/>
                <w:sz w:val="24"/>
                <w:lang w:bidi="ar"/>
              </w:rPr>
              <w:t xml:space="preserve">3、及时与县环保局联系，督促其制定分配方案，抓紧组织实施项目；对照绩效目标做好绩效监控，切实加强资金监督管理，确保资金安全，提高资金使用效率；资金分配方案经县政府领导审批后，加快资金支付进度，确保资金拨付到位。                                 </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刘朝辉</w:t>
            </w:r>
          </w:p>
        </w:tc>
      </w:tr>
      <w:tr>
        <w:tblPrEx>
          <w:tblCellMar>
            <w:top w:w="0" w:type="dxa"/>
            <w:left w:w="0" w:type="dxa"/>
            <w:bottom w:w="0" w:type="dxa"/>
            <w:right w:w="0" w:type="dxa"/>
          </w:tblCellMar>
        </w:tblPrEx>
        <w:trPr>
          <w:gridAfter w:val="1"/>
          <w:wAfter w:w="26" w:type="dxa"/>
          <w:trHeight w:val="4638" w:hRule="atLeast"/>
          <w:jc w:val="center"/>
        </w:trPr>
        <w:tc>
          <w:tcPr>
            <w:tcW w:w="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11</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产业发展股</w:t>
            </w:r>
          </w:p>
        </w:tc>
        <w:tc>
          <w:tcPr>
            <w:tcW w:w="4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1、持续优化营商环境。</w:t>
            </w:r>
          </w:p>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2、加大招商引资企业政策兑现，理顺与乡镇的负担界限。</w:t>
            </w:r>
          </w:p>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3、配合相关部门，加大涉企项目申报力度。</w:t>
            </w:r>
          </w:p>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4、加大县域经济发展资金的清收力度。</w:t>
            </w:r>
          </w:p>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5、推动我县电子商务服务体系建设项目进度，做好该项目的验收工作</w:t>
            </w:r>
          </w:p>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6、对相关行业的重点项目进行梳理测算，加大本级预算内安排涉企政策类奖补项目资金投入。</w:t>
            </w:r>
          </w:p>
        </w:tc>
        <w:tc>
          <w:tcPr>
            <w:tcW w:w="7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ascii="仿宋" w:hAnsi="仿宋" w:eastAsia="仿宋" w:cs="仿宋"/>
                <w:color w:val="000000"/>
                <w:kern w:val="0"/>
                <w:sz w:val="24"/>
                <w:lang w:bidi="ar"/>
              </w:rPr>
            </w:pPr>
            <w:r>
              <w:rPr>
                <w:rFonts w:hint="eastAsia" w:ascii="仿宋" w:hAnsi="仿宋" w:eastAsia="仿宋" w:cs="仿宋"/>
                <w:color w:val="000000"/>
                <w:w w:val="95"/>
                <w:kern w:val="0"/>
                <w:sz w:val="24"/>
                <w:lang w:bidi="ar"/>
              </w:rPr>
              <w:t>1</w:t>
            </w:r>
            <w:r>
              <w:rPr>
                <w:rFonts w:hint="eastAsia" w:ascii="仿宋" w:hAnsi="仿宋" w:eastAsia="仿宋" w:cs="仿宋"/>
                <w:color w:val="000000"/>
                <w:kern w:val="0"/>
                <w:sz w:val="24"/>
                <w:lang w:bidi="ar"/>
              </w:rPr>
              <w:t>、继续探索完善“免申即享”惠企政策清单内容能上能下机制，为进一步制定“2023版”政策清单早做谋划，进一步做好涉企事项应上尽上。简化审批流程，使惠企资金高效快速到达受惠企业。对包保企业建立定期走访机制，将“下基层、察民情、解民忧、暖民心实践活动”落到实处，加大惠企政策宣传力度。</w:t>
            </w:r>
          </w:p>
          <w:p>
            <w:pPr>
              <w:widowControl/>
              <w:spacing w:line="260" w:lineRule="exact"/>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2、弄懂吃透文件精神，进一步加大招商引资兑现力度，提升兑现效率，提高入驻企业的认知度。</w:t>
            </w:r>
          </w:p>
          <w:p>
            <w:pPr>
              <w:widowControl/>
              <w:spacing w:line="260" w:lineRule="exact"/>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3、配合商务、经信、科技对上级政策筛选申报，探索审核前置机制，积极争取一批大的精准特新项目落地。</w:t>
            </w:r>
          </w:p>
          <w:p>
            <w:pPr>
              <w:widowControl/>
              <w:spacing w:line="260" w:lineRule="exact"/>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4、对两家负担保责任的担保单位将提请法院依法追缴，严格按照签订的延期还款协议进度进行清收，尽快完成随州鑫昌源皮革制品有限公司债务资产置换。</w:t>
            </w:r>
          </w:p>
          <w:p>
            <w:pPr>
              <w:widowControl/>
              <w:spacing w:line="260" w:lineRule="exact"/>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5、2023年初对建设项目进行验收，配合科经局做好项目单位的项目绩效评价，确保项目达到绩效目标。</w:t>
            </w:r>
          </w:p>
          <w:p>
            <w:pPr>
              <w:widowControl/>
              <w:spacing w:line="260" w:lineRule="exact"/>
              <w:jc w:val="left"/>
              <w:textAlignment w:val="center"/>
              <w:rPr>
                <w:rFonts w:ascii="仿宋" w:hAnsi="仿宋" w:eastAsia="仿宋" w:cs="仿宋"/>
                <w:color w:val="000000"/>
                <w:w w:val="95"/>
                <w:kern w:val="0"/>
                <w:sz w:val="24"/>
                <w:lang w:bidi="ar"/>
              </w:rPr>
            </w:pPr>
            <w:r>
              <w:rPr>
                <w:rFonts w:hint="eastAsia" w:ascii="仿宋" w:hAnsi="仿宋" w:eastAsia="仿宋" w:cs="仿宋"/>
                <w:color w:val="000000"/>
                <w:kern w:val="0"/>
                <w:sz w:val="24"/>
                <w:lang w:bidi="ar"/>
              </w:rPr>
              <w:t>6、预计2023年本级预算内安排涉企政策类奖补项目资金8000余万元，比去年同期增加5000余万。努力打造全省特色增长极，助推乡村产业振兴，力争实现“九个突破”。</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蔡洪光</w:t>
            </w:r>
          </w:p>
        </w:tc>
      </w:tr>
      <w:tr>
        <w:tblPrEx>
          <w:tblCellMar>
            <w:top w:w="0" w:type="dxa"/>
            <w:left w:w="0" w:type="dxa"/>
            <w:bottom w:w="0" w:type="dxa"/>
            <w:right w:w="0" w:type="dxa"/>
          </w:tblCellMar>
        </w:tblPrEx>
        <w:trPr>
          <w:gridAfter w:val="1"/>
          <w:wAfter w:w="26" w:type="dxa"/>
          <w:trHeight w:val="90" w:hRule="atLeast"/>
          <w:jc w:val="center"/>
        </w:trPr>
        <w:tc>
          <w:tcPr>
            <w:tcW w:w="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金融与国际财经合作股</w:t>
            </w:r>
          </w:p>
        </w:tc>
        <w:tc>
          <w:tcPr>
            <w:tcW w:w="4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9"/>
              </w:numPr>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做好农业保险相关工作。</w:t>
            </w:r>
          </w:p>
          <w:p>
            <w:pPr>
              <w:widowControl/>
              <w:numPr>
                <w:ilvl w:val="0"/>
                <w:numId w:val="9"/>
              </w:numPr>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做好个人创业贷款及小微企业贷款贴息工作。</w:t>
            </w:r>
          </w:p>
          <w:p>
            <w:pPr>
              <w:widowControl/>
              <w:numPr>
                <w:ilvl w:val="0"/>
                <w:numId w:val="9"/>
              </w:numPr>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做好银润担保公司欠款回收工作。</w:t>
            </w:r>
          </w:p>
        </w:tc>
        <w:tc>
          <w:tcPr>
            <w:tcW w:w="7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10"/>
              </w:numPr>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加强农业保险参保资料审核、及时拨付资金、搞好农业保险绩效考评和年终申报工作。</w:t>
            </w:r>
          </w:p>
          <w:p>
            <w:pPr>
              <w:widowControl/>
              <w:numPr>
                <w:ilvl w:val="0"/>
                <w:numId w:val="10"/>
              </w:numPr>
              <w:jc w:val="left"/>
              <w:textAlignment w:val="center"/>
              <w:rPr>
                <w:rFonts w:ascii="仿宋" w:hAnsi="仿宋" w:eastAsia="仿宋" w:cs="仿宋"/>
                <w:color w:val="000000"/>
                <w:spacing w:val="-6"/>
                <w:kern w:val="0"/>
                <w:sz w:val="24"/>
                <w:lang w:bidi="ar"/>
              </w:rPr>
            </w:pPr>
            <w:r>
              <w:rPr>
                <w:rFonts w:hint="eastAsia" w:ascii="仿宋" w:hAnsi="仿宋" w:eastAsia="仿宋" w:cs="仿宋"/>
                <w:color w:val="000000"/>
                <w:spacing w:val="-6"/>
                <w:kern w:val="0"/>
                <w:sz w:val="24"/>
                <w:lang w:bidi="ar"/>
              </w:rPr>
              <w:t>新增农商行作为创业担保贷款合作行，争取扩大个人和小微企业贷款规模。</w:t>
            </w:r>
          </w:p>
          <w:p>
            <w:pPr>
              <w:widowControl/>
              <w:numPr>
                <w:ilvl w:val="0"/>
                <w:numId w:val="10"/>
              </w:numPr>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采取上门催款、电话催款、提请法院依法追缴等形式回收银润担保公司借款。</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蔡洪光</w:t>
            </w:r>
          </w:p>
        </w:tc>
      </w:tr>
      <w:tr>
        <w:tblPrEx>
          <w:tblCellMar>
            <w:top w:w="0" w:type="dxa"/>
            <w:left w:w="0" w:type="dxa"/>
            <w:bottom w:w="0" w:type="dxa"/>
            <w:right w:w="0" w:type="dxa"/>
          </w:tblCellMar>
        </w:tblPrEx>
        <w:trPr>
          <w:gridAfter w:val="1"/>
          <w:wAfter w:w="26" w:type="dxa"/>
          <w:trHeight w:val="1945" w:hRule="atLeast"/>
          <w:jc w:val="center"/>
        </w:trPr>
        <w:tc>
          <w:tcPr>
            <w:tcW w:w="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农业股</w:t>
            </w:r>
          </w:p>
        </w:tc>
        <w:tc>
          <w:tcPr>
            <w:tcW w:w="4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11"/>
              </w:numPr>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组织农业、水利、乡村振兴等各级专项资金、保障财政支农工作重点。</w:t>
            </w:r>
          </w:p>
          <w:p>
            <w:pPr>
              <w:widowControl/>
              <w:numPr>
                <w:ilvl w:val="0"/>
                <w:numId w:val="11"/>
              </w:numP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落实各项惠民补贴政策。</w:t>
            </w:r>
          </w:p>
        </w:tc>
        <w:tc>
          <w:tcPr>
            <w:tcW w:w="7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1、支持农业（香菇）高质量发展。</w:t>
            </w:r>
          </w:p>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2、积极筹措资金，支持改善农村人居环境、衔接推进乡村振兴、美好环境与幸福生活共同缔造。</w:t>
            </w:r>
          </w:p>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3、开展小型水利设施维修养护、水土保持、山洪灾害治理等。</w:t>
            </w:r>
          </w:p>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4、</w:t>
            </w:r>
            <w:r>
              <w:rPr>
                <w:rFonts w:hint="eastAsia" w:ascii="仿宋" w:hAnsi="仿宋" w:eastAsia="仿宋" w:cs="仿宋"/>
                <w:color w:val="000000"/>
                <w:spacing w:val="-6"/>
                <w:kern w:val="0"/>
                <w:sz w:val="24"/>
                <w:lang w:bidi="ar"/>
              </w:rPr>
              <w:t>做好耕地地力保护补贴、稻谷补贴、农机购置补贴等资金发放相关工作。</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刘朝辉</w:t>
            </w:r>
          </w:p>
        </w:tc>
      </w:tr>
      <w:tr>
        <w:tblPrEx>
          <w:tblCellMar>
            <w:top w:w="0" w:type="dxa"/>
            <w:left w:w="0" w:type="dxa"/>
            <w:bottom w:w="0" w:type="dxa"/>
            <w:right w:w="0" w:type="dxa"/>
          </w:tblCellMar>
        </w:tblPrEx>
        <w:trPr>
          <w:gridAfter w:val="1"/>
          <w:wAfter w:w="26" w:type="dxa"/>
          <w:trHeight w:val="1461" w:hRule="atLeast"/>
          <w:jc w:val="center"/>
        </w:trPr>
        <w:tc>
          <w:tcPr>
            <w:tcW w:w="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监督股（会计股）</w:t>
            </w:r>
          </w:p>
        </w:tc>
        <w:tc>
          <w:tcPr>
            <w:tcW w:w="4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numPr>
                <w:ilvl w:val="0"/>
                <w:numId w:val="12"/>
              </w:num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开展2022年度会计和评估监督检查“回头看”及部分问题处理整改工作。</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2、按照省厅统一部署开展随县2023年会计和评估监督检查工作。</w:t>
            </w:r>
          </w:p>
        </w:tc>
        <w:tc>
          <w:tcPr>
            <w:tcW w:w="7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1、按照相关要求，督促各被检查单位进行查后整改并提供整改相关的佐证资料，做好整改资料的回收和存档。</w:t>
            </w:r>
          </w:p>
          <w:p>
            <w:pPr>
              <w:widowControl/>
              <w:textAlignment w:val="center"/>
              <w:rPr>
                <w:rFonts w:ascii="仿宋" w:hAnsi="仿宋" w:eastAsia="仿宋" w:cs="仿宋"/>
                <w:color w:val="000000"/>
                <w:kern w:val="0"/>
                <w:sz w:val="24"/>
                <w:lang w:bidi="ar"/>
              </w:rPr>
            </w:pPr>
            <w:r>
              <w:rPr>
                <w:rFonts w:hint="eastAsia" w:ascii="仿宋" w:hAnsi="仿宋" w:eastAsia="仿宋"/>
                <w:color w:val="000000" w:themeColor="text1"/>
                <w:sz w:val="24"/>
                <w14:textFill>
                  <w14:solidFill>
                    <w14:schemeClr w14:val="tx1"/>
                  </w14:solidFill>
                </w14:textFill>
              </w:rPr>
              <w:t>2、按照省厅要求，认真组织开展随县2023年会计和评估监督检查工作。</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刘朝辉</w:t>
            </w:r>
          </w:p>
        </w:tc>
      </w:tr>
      <w:tr>
        <w:tblPrEx>
          <w:tblCellMar>
            <w:top w:w="0" w:type="dxa"/>
            <w:left w:w="0" w:type="dxa"/>
            <w:bottom w:w="0" w:type="dxa"/>
            <w:right w:w="0" w:type="dxa"/>
          </w:tblCellMar>
        </w:tblPrEx>
        <w:trPr>
          <w:gridAfter w:val="1"/>
          <w:wAfter w:w="26" w:type="dxa"/>
          <w:trHeight w:val="478" w:hRule="atLeast"/>
          <w:jc w:val="center"/>
        </w:trPr>
        <w:tc>
          <w:tcPr>
            <w:tcW w:w="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资产管理股（征管办）</w:t>
            </w:r>
          </w:p>
        </w:tc>
        <w:tc>
          <w:tcPr>
            <w:tcW w:w="4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13"/>
              </w:numPr>
              <w:jc w:val="left"/>
              <w:textAlignment w:val="center"/>
              <w:rPr>
                <w:rFonts w:ascii="仿宋" w:hAnsi="仿宋" w:eastAsia="仿宋" w:cs="仿宋"/>
                <w:color w:val="000000"/>
                <w:sz w:val="24"/>
              </w:rPr>
            </w:pPr>
            <w:r>
              <w:rPr>
                <w:rFonts w:hint="eastAsia" w:ascii="仿宋" w:hAnsi="仿宋" w:eastAsia="仿宋" w:cs="仿宋"/>
                <w:color w:val="000000"/>
                <w:sz w:val="24"/>
              </w:rPr>
              <w:t>行政事业单位国有资产年报会审工作。</w:t>
            </w:r>
          </w:p>
          <w:p>
            <w:pPr>
              <w:widowControl/>
              <w:numPr>
                <w:ilvl w:val="0"/>
                <w:numId w:val="13"/>
              </w:numPr>
              <w:jc w:val="left"/>
              <w:textAlignment w:val="center"/>
              <w:rPr>
                <w:rFonts w:ascii="仿宋" w:hAnsi="仿宋" w:eastAsia="仿宋" w:cs="仿宋"/>
                <w:color w:val="000000"/>
                <w:sz w:val="24"/>
              </w:rPr>
            </w:pPr>
            <w:r>
              <w:rPr>
                <w:rFonts w:hint="eastAsia" w:ascii="仿宋" w:hAnsi="仿宋" w:eastAsia="仿宋" w:cs="仿宋"/>
                <w:color w:val="000000"/>
                <w:sz w:val="24"/>
              </w:rPr>
              <w:t>推进全县公路资产专项清查。</w:t>
            </w:r>
          </w:p>
          <w:p>
            <w:pPr>
              <w:widowControl/>
              <w:numPr>
                <w:ilvl w:val="0"/>
                <w:numId w:val="13"/>
              </w:numPr>
              <w:jc w:val="left"/>
              <w:textAlignment w:val="center"/>
              <w:rPr>
                <w:rFonts w:ascii="仿宋" w:hAnsi="仿宋" w:eastAsia="仿宋" w:cs="仿宋"/>
                <w:color w:val="000000"/>
                <w:sz w:val="24"/>
              </w:rPr>
            </w:pPr>
            <w:r>
              <w:rPr>
                <w:rFonts w:hint="eastAsia" w:ascii="仿宋" w:hAnsi="仿宋" w:eastAsia="仿宋" w:cs="仿宋"/>
                <w:color w:val="000000"/>
                <w:sz w:val="24"/>
              </w:rPr>
              <w:t>行政事业单位国有资产月报。</w:t>
            </w:r>
          </w:p>
          <w:p>
            <w:pPr>
              <w:widowControl/>
              <w:numPr>
                <w:ilvl w:val="0"/>
                <w:numId w:val="13"/>
              </w:numPr>
              <w:jc w:val="left"/>
              <w:textAlignment w:val="center"/>
              <w:rPr>
                <w:rFonts w:ascii="仿宋" w:hAnsi="仿宋" w:eastAsia="仿宋" w:cs="仿宋"/>
                <w:color w:val="000000"/>
                <w:sz w:val="24"/>
              </w:rPr>
            </w:pPr>
            <w:r>
              <w:rPr>
                <w:rFonts w:hint="eastAsia" w:ascii="仿宋" w:hAnsi="仿宋" w:eastAsia="仿宋" w:cs="仿宋"/>
                <w:color w:val="000000"/>
                <w:sz w:val="24"/>
              </w:rPr>
              <w:t>规范行政事业单位国有资产出租、出借及资产处置。</w:t>
            </w:r>
          </w:p>
          <w:p>
            <w:pPr>
              <w:widowControl/>
              <w:numPr>
                <w:ilvl w:val="0"/>
                <w:numId w:val="13"/>
              </w:numPr>
              <w:jc w:val="left"/>
              <w:textAlignment w:val="center"/>
              <w:rPr>
                <w:rFonts w:ascii="仿宋" w:hAnsi="仿宋" w:eastAsia="仿宋" w:cs="仿宋"/>
                <w:color w:val="000000"/>
                <w:sz w:val="24"/>
              </w:rPr>
            </w:pPr>
            <w:r>
              <w:rPr>
                <w:rFonts w:hint="eastAsia" w:ascii="仿宋" w:hAnsi="仿宋" w:eastAsia="仿宋" w:cs="仿宋"/>
                <w:color w:val="000000"/>
                <w:sz w:val="24"/>
              </w:rPr>
              <w:t>向人大提交2022年行政事业单位国有资产报告。</w:t>
            </w:r>
          </w:p>
          <w:p>
            <w:pPr>
              <w:widowControl/>
              <w:numPr>
                <w:ilvl w:val="0"/>
                <w:numId w:val="13"/>
              </w:numPr>
              <w:jc w:val="left"/>
              <w:textAlignment w:val="center"/>
              <w:rPr>
                <w:rFonts w:ascii="仿宋" w:hAnsi="仿宋" w:eastAsia="仿宋" w:cs="仿宋"/>
                <w:color w:val="000000"/>
                <w:sz w:val="24"/>
              </w:rPr>
            </w:pPr>
            <w:r>
              <w:rPr>
                <w:rFonts w:hint="eastAsia" w:ascii="仿宋" w:hAnsi="仿宋" w:eastAsia="仿宋" w:cs="仿宋"/>
                <w:color w:val="000000"/>
                <w:sz w:val="24"/>
              </w:rPr>
              <w:t>乡镇粮站资产由镇政府接管工作。</w:t>
            </w:r>
          </w:p>
        </w:tc>
        <w:tc>
          <w:tcPr>
            <w:tcW w:w="7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spacing w:line="100" w:lineRule="exact"/>
              <w:ind w:left="0" w:leftChars="0" w:firstLine="0" w:firstLineChars="0"/>
              <w:rPr>
                <w:lang w:bidi="ar"/>
              </w:rPr>
            </w:pPr>
          </w:p>
          <w:p>
            <w:pPr>
              <w:widowControl/>
              <w:numPr>
                <w:ilvl w:val="0"/>
                <w:numId w:val="14"/>
              </w:numPr>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认真填报2022年全县行政事业单位国有资产年报编制工作及指导和培训，并形成资产分析报告和填报说明，按时上报省财政厅。</w:t>
            </w:r>
          </w:p>
          <w:p>
            <w:pPr>
              <w:widowControl/>
              <w:numPr>
                <w:ilvl w:val="0"/>
                <w:numId w:val="14"/>
              </w:numPr>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督办全县公路的村道、乡道资产纳入行政事业国有资产管理信息系统建档立卡统一管理。</w:t>
            </w:r>
          </w:p>
          <w:p>
            <w:pPr>
              <w:widowControl/>
              <w:numPr>
                <w:ilvl w:val="0"/>
                <w:numId w:val="14"/>
              </w:numPr>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督促各单位按时按质完成每月资产月报报送任务。</w:t>
            </w:r>
          </w:p>
          <w:p>
            <w:pPr>
              <w:widowControl/>
              <w:numPr>
                <w:ilvl w:val="0"/>
                <w:numId w:val="14"/>
              </w:numPr>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严把资产使用及处置关，对存在的问题督促整改落实。</w:t>
            </w:r>
          </w:p>
          <w:p>
            <w:pPr>
              <w:widowControl/>
              <w:numPr>
                <w:ilvl w:val="0"/>
                <w:numId w:val="14"/>
              </w:numPr>
              <w:jc w:val="left"/>
              <w:textAlignment w:val="center"/>
              <w:rPr>
                <w:rFonts w:ascii="仿宋" w:hAnsi="仿宋" w:eastAsia="仿宋" w:cs="仿宋"/>
                <w:color w:val="000000"/>
                <w:spacing w:val="-6"/>
                <w:kern w:val="0"/>
                <w:sz w:val="24"/>
                <w:lang w:bidi="ar"/>
              </w:rPr>
            </w:pPr>
            <w:r>
              <w:rPr>
                <w:rFonts w:hint="eastAsia" w:ascii="仿宋" w:hAnsi="仿宋" w:eastAsia="仿宋" w:cs="仿宋"/>
                <w:color w:val="000000"/>
                <w:spacing w:val="-6"/>
                <w:kern w:val="0"/>
                <w:sz w:val="24"/>
                <w:lang w:bidi="ar"/>
              </w:rPr>
              <w:t>做好行政事业单位国有资产数据汇总，形成材料呈报人大常委会审议。</w:t>
            </w:r>
          </w:p>
          <w:p>
            <w:pPr>
              <w:widowControl/>
              <w:numPr>
                <w:ilvl w:val="0"/>
                <w:numId w:val="14"/>
              </w:numPr>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督促各乡镇政府按照“三年行动”方案，将资产按时按质纳入行政事业单位国有资产信息系统管理。</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陶立兵</w:t>
            </w:r>
          </w:p>
        </w:tc>
      </w:tr>
      <w:tr>
        <w:tblPrEx>
          <w:tblCellMar>
            <w:top w:w="0" w:type="dxa"/>
            <w:left w:w="0" w:type="dxa"/>
            <w:bottom w:w="0" w:type="dxa"/>
            <w:right w:w="0" w:type="dxa"/>
          </w:tblCellMar>
        </w:tblPrEx>
        <w:trPr>
          <w:gridAfter w:val="1"/>
          <w:wAfter w:w="26" w:type="dxa"/>
          <w:trHeight w:val="1674" w:hRule="atLeast"/>
          <w:jc w:val="center"/>
        </w:trPr>
        <w:tc>
          <w:tcPr>
            <w:tcW w:w="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16</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国有资产服务中心</w:t>
            </w:r>
          </w:p>
        </w:tc>
        <w:tc>
          <w:tcPr>
            <w:tcW w:w="4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left"/>
              <w:textAlignment w:val="center"/>
              <w:rPr>
                <w:rFonts w:ascii="仿宋" w:hAnsi="仿宋" w:eastAsia="仿宋" w:cs="仿宋"/>
                <w:sz w:val="24"/>
              </w:rPr>
            </w:pPr>
            <w:r>
              <w:rPr>
                <w:rFonts w:hint="eastAsia" w:ascii="仿宋" w:hAnsi="仿宋" w:eastAsia="仿宋" w:cs="仿宋"/>
                <w:sz w:val="24"/>
              </w:rPr>
              <w:t>1、落实好国有企业改革“三年行动”收尾工作，扫清解决未完善遗留问题。</w:t>
            </w:r>
          </w:p>
          <w:p>
            <w:pPr>
              <w:widowControl/>
              <w:spacing w:line="380" w:lineRule="exact"/>
              <w:jc w:val="left"/>
              <w:textAlignment w:val="center"/>
              <w:rPr>
                <w:rFonts w:ascii="仿宋" w:hAnsi="仿宋" w:eastAsia="仿宋" w:cs="仿宋"/>
                <w:sz w:val="24"/>
              </w:rPr>
            </w:pPr>
            <w:r>
              <w:rPr>
                <w:rFonts w:hint="eastAsia" w:ascii="仿宋" w:hAnsi="仿宋" w:eastAsia="仿宋" w:cs="仿宋"/>
                <w:sz w:val="24"/>
              </w:rPr>
              <w:t>2、进一步理清出资人监管权责清单，加快形成科学有效的权责体系和监管机制。</w:t>
            </w:r>
          </w:p>
          <w:p>
            <w:pPr>
              <w:widowControl/>
              <w:spacing w:line="380" w:lineRule="exact"/>
              <w:jc w:val="left"/>
              <w:textAlignment w:val="center"/>
              <w:rPr>
                <w:rFonts w:ascii="仿宋" w:hAnsi="仿宋" w:eastAsia="仿宋" w:cs="仿宋"/>
                <w:sz w:val="24"/>
              </w:rPr>
            </w:pPr>
            <w:r>
              <w:rPr>
                <w:rFonts w:hint="eastAsia" w:ascii="仿宋" w:hAnsi="仿宋" w:eastAsia="仿宋" w:cs="仿宋"/>
                <w:sz w:val="24"/>
              </w:rPr>
              <w:t>3、认真贯彻落实好清廉国企实施方案，加大清廉国企建设宣传力度。</w:t>
            </w:r>
          </w:p>
          <w:p>
            <w:pPr>
              <w:widowControl/>
              <w:spacing w:line="380" w:lineRule="exact"/>
              <w:jc w:val="left"/>
              <w:textAlignment w:val="center"/>
              <w:rPr>
                <w:rFonts w:ascii="仿宋" w:hAnsi="仿宋" w:eastAsia="仿宋" w:cs="仿宋"/>
                <w:sz w:val="24"/>
              </w:rPr>
            </w:pPr>
            <w:r>
              <w:rPr>
                <w:rFonts w:hint="eastAsia" w:ascii="仿宋" w:hAnsi="仿宋" w:eastAsia="仿宋" w:cs="仿宋"/>
                <w:sz w:val="24"/>
              </w:rPr>
              <w:t>4、督促国有企业推进红十字会建设。</w:t>
            </w:r>
          </w:p>
          <w:p>
            <w:pPr>
              <w:pStyle w:val="2"/>
              <w:spacing w:after="0" w:line="380" w:lineRule="exact"/>
              <w:ind w:left="0" w:leftChars="0" w:firstLine="0" w:firstLineChars="0"/>
              <w:jc w:val="left"/>
            </w:pPr>
            <w:r>
              <w:rPr>
                <w:rFonts w:hint="eastAsia" w:ascii="仿宋" w:hAnsi="仿宋" w:eastAsia="仿宋" w:cs="仿宋"/>
                <w:sz w:val="24"/>
              </w:rPr>
              <w:t>5、抓好国有企业违规吃喝清查工作</w:t>
            </w:r>
          </w:p>
        </w:tc>
        <w:tc>
          <w:tcPr>
            <w:tcW w:w="7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left"/>
              <w:textAlignment w:val="center"/>
              <w:rPr>
                <w:rFonts w:ascii="仿宋" w:hAnsi="仿宋" w:eastAsia="仿宋" w:cs="仿宋"/>
                <w:sz w:val="24"/>
              </w:rPr>
            </w:pPr>
            <w:r>
              <w:rPr>
                <w:rFonts w:hint="eastAsia" w:ascii="仿宋" w:hAnsi="仿宋" w:eastAsia="仿宋" w:cs="仿宋"/>
                <w:sz w:val="24"/>
              </w:rPr>
              <w:t>1、紧密联系县发改局相关领导，督导完成粮食企业未完善遗留问题。</w:t>
            </w:r>
          </w:p>
          <w:p>
            <w:pPr>
              <w:widowControl/>
              <w:spacing w:line="380" w:lineRule="exact"/>
              <w:jc w:val="left"/>
              <w:textAlignment w:val="center"/>
              <w:rPr>
                <w:rFonts w:ascii="仿宋" w:hAnsi="仿宋" w:eastAsia="仿宋" w:cs="仿宋"/>
                <w:sz w:val="24"/>
              </w:rPr>
            </w:pPr>
            <w:r>
              <w:rPr>
                <w:rFonts w:hint="eastAsia" w:ascii="仿宋" w:hAnsi="仿宋" w:eastAsia="仿宋" w:cs="仿宋"/>
                <w:sz w:val="24"/>
              </w:rPr>
              <w:t>2、与县建发集团等出资人企业加强沟通，结合随县实际，形成既符合政策又符合随县实情的出资人监管权责清单。</w:t>
            </w:r>
          </w:p>
          <w:p>
            <w:pPr>
              <w:widowControl/>
              <w:spacing w:line="380" w:lineRule="exact"/>
              <w:jc w:val="left"/>
              <w:textAlignment w:val="center"/>
              <w:rPr>
                <w:rFonts w:ascii="仿宋" w:hAnsi="仿宋" w:eastAsia="仿宋" w:cs="仿宋"/>
                <w:sz w:val="24"/>
              </w:rPr>
            </w:pPr>
            <w:r>
              <w:rPr>
                <w:rFonts w:hint="eastAsia" w:ascii="仿宋" w:hAnsi="仿宋" w:eastAsia="仿宋" w:cs="仿宋"/>
                <w:sz w:val="24"/>
              </w:rPr>
              <w:t>3、督导各出资企业继续落实好清廉国企实施方案，加大先进经验的学习与推广。</w:t>
            </w:r>
          </w:p>
          <w:p>
            <w:pPr>
              <w:widowControl/>
              <w:spacing w:line="380" w:lineRule="exact"/>
              <w:jc w:val="left"/>
              <w:textAlignment w:val="center"/>
              <w:rPr>
                <w:rFonts w:ascii="仿宋" w:hAnsi="仿宋" w:eastAsia="仿宋" w:cs="仿宋"/>
                <w:sz w:val="24"/>
              </w:rPr>
            </w:pPr>
            <w:r>
              <w:rPr>
                <w:rFonts w:hint="eastAsia" w:ascii="仿宋" w:hAnsi="仿宋" w:eastAsia="仿宋" w:cs="仿宋"/>
                <w:sz w:val="24"/>
              </w:rPr>
              <w:t>4、督促建发集团落实红十字会建设任务。</w:t>
            </w:r>
          </w:p>
          <w:p>
            <w:pPr>
              <w:widowControl/>
              <w:spacing w:line="380" w:lineRule="exact"/>
              <w:jc w:val="left"/>
              <w:textAlignment w:val="center"/>
            </w:pPr>
            <w:r>
              <w:rPr>
                <w:rFonts w:hint="eastAsia" w:ascii="仿宋" w:hAnsi="仿宋" w:eastAsia="仿宋" w:cs="仿宋"/>
                <w:sz w:val="24"/>
              </w:rPr>
              <w:t>5、做好建发集团及下属企业违规吃喝自查清理整顿工作。</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谢力</w:t>
            </w:r>
          </w:p>
        </w:tc>
      </w:tr>
      <w:tr>
        <w:tblPrEx>
          <w:tblCellMar>
            <w:top w:w="0" w:type="dxa"/>
            <w:left w:w="0" w:type="dxa"/>
            <w:bottom w:w="0" w:type="dxa"/>
            <w:right w:w="0" w:type="dxa"/>
          </w:tblCellMar>
        </w:tblPrEx>
        <w:trPr>
          <w:gridAfter w:val="1"/>
          <w:wAfter w:w="26" w:type="dxa"/>
          <w:trHeight w:val="3172" w:hRule="atLeast"/>
          <w:jc w:val="center"/>
        </w:trPr>
        <w:tc>
          <w:tcPr>
            <w:tcW w:w="61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w:t>
            </w:r>
          </w:p>
        </w:tc>
        <w:tc>
          <w:tcPr>
            <w:tcW w:w="8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预算绩效管理股（投资评审股）</w:t>
            </w:r>
          </w:p>
        </w:tc>
        <w:tc>
          <w:tcPr>
            <w:tcW w:w="450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80" w:lineRule="exact"/>
              <w:jc w:val="left"/>
              <w:textAlignment w:val="center"/>
              <w:rPr>
                <w:rFonts w:ascii="仿宋" w:hAnsi="仿宋" w:eastAsia="仿宋" w:cs="仿宋"/>
                <w:kern w:val="0"/>
                <w:sz w:val="24"/>
                <w:lang w:bidi="ar"/>
              </w:rPr>
            </w:pPr>
            <w:r>
              <w:rPr>
                <w:rFonts w:hint="eastAsia" w:ascii="仿宋" w:hAnsi="仿宋" w:eastAsia="仿宋" w:cs="仿宋"/>
                <w:kern w:val="0"/>
                <w:sz w:val="24"/>
                <w:lang w:bidi="ar"/>
              </w:rPr>
              <w:t>1、强化全面绩效管理，提升部门预算绩效目标编报质量，科学全面开展部门预算绩效评价工作。</w:t>
            </w:r>
          </w:p>
          <w:p>
            <w:pPr>
              <w:widowControl/>
              <w:spacing w:line="380" w:lineRule="exact"/>
              <w:jc w:val="left"/>
              <w:textAlignment w:val="center"/>
              <w:rPr>
                <w:rFonts w:ascii="仿宋" w:hAnsi="仿宋" w:eastAsia="仿宋" w:cs="仿宋"/>
                <w:kern w:val="0"/>
                <w:sz w:val="24"/>
                <w:lang w:bidi="ar"/>
              </w:rPr>
            </w:pPr>
            <w:r>
              <w:rPr>
                <w:rFonts w:hint="eastAsia" w:ascii="仿宋" w:hAnsi="仿宋" w:eastAsia="仿宋" w:cs="仿宋"/>
                <w:kern w:val="0"/>
                <w:sz w:val="24"/>
                <w:lang w:bidi="ar"/>
              </w:rPr>
              <w:t>2、努力实现财政投资评审质量和工作效率“双提高”，不断提升财政投资评审工作的层次。</w:t>
            </w:r>
          </w:p>
        </w:tc>
        <w:tc>
          <w:tcPr>
            <w:tcW w:w="765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80" w:lineRule="exact"/>
              <w:jc w:val="left"/>
              <w:textAlignment w:val="center"/>
              <w:rPr>
                <w:rFonts w:ascii="仿宋" w:hAnsi="仿宋" w:eastAsia="仿宋" w:cs="仿宋"/>
                <w:kern w:val="0"/>
                <w:sz w:val="24"/>
              </w:rPr>
            </w:pPr>
            <w:r>
              <w:rPr>
                <w:rFonts w:hint="eastAsia" w:ascii="仿宋" w:hAnsi="仿宋" w:eastAsia="仿宋" w:cs="仿宋"/>
                <w:kern w:val="0"/>
                <w:sz w:val="24"/>
              </w:rPr>
              <w:t>1、建立以绩效目标为基础、以绩效评价为手段、以结果应用为保障的预算绩效管理体系，督办各预算单位将2023年度预算绩效目标的编报与部门预算编制同步，确保编报材料格式、内容和质量等符合要求，对重点项目和部门整体支出开展绩效评价工作，实现绩效评价滚动覆盖，不断优化评价指标设置、创新评价方式方法、提高评价质量。</w:t>
            </w:r>
          </w:p>
          <w:p>
            <w:pPr>
              <w:widowControl/>
              <w:spacing w:line="380" w:lineRule="exact"/>
              <w:jc w:val="left"/>
              <w:textAlignment w:val="center"/>
              <w:rPr>
                <w:rFonts w:ascii="仿宋" w:hAnsi="仿宋" w:eastAsia="仿宋" w:cs="仿宋"/>
                <w:kern w:val="0"/>
                <w:sz w:val="24"/>
                <w:lang w:bidi="ar"/>
              </w:rPr>
            </w:pPr>
            <w:r>
              <w:rPr>
                <w:rFonts w:hint="eastAsia" w:ascii="仿宋" w:hAnsi="仿宋" w:eastAsia="仿宋" w:cs="仿宋"/>
                <w:kern w:val="0"/>
                <w:sz w:val="24"/>
              </w:rPr>
              <w:t>2、严格落实《在全县开展财政性资金投资项目评审的通知》要求，规范相关工作流程，不断提高工作效率。积极发挥财政投资评审在节约财政资金和优化支出结构方面的作用，强化财政投资评审职能，不断健全评审机制。</w:t>
            </w:r>
          </w:p>
        </w:tc>
        <w:tc>
          <w:tcPr>
            <w:tcW w:w="110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谢力</w:t>
            </w:r>
          </w:p>
        </w:tc>
      </w:tr>
      <w:tr>
        <w:tblPrEx>
          <w:tblCellMar>
            <w:top w:w="0" w:type="dxa"/>
            <w:left w:w="0" w:type="dxa"/>
            <w:bottom w:w="0" w:type="dxa"/>
            <w:right w:w="0" w:type="dxa"/>
          </w:tblCellMar>
        </w:tblPrEx>
        <w:trPr>
          <w:gridAfter w:val="1"/>
          <w:wAfter w:w="26" w:type="dxa"/>
          <w:trHeight w:val="960" w:hRule="atLeast"/>
          <w:jc w:val="center"/>
        </w:trPr>
        <w:tc>
          <w:tcPr>
            <w:tcW w:w="6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w:t>
            </w:r>
          </w:p>
        </w:tc>
        <w:tc>
          <w:tcPr>
            <w:tcW w:w="8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政府采购管理股</w:t>
            </w:r>
          </w:p>
        </w:tc>
        <w:tc>
          <w:tcPr>
            <w:tcW w:w="450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numPr>
                <w:ilvl w:val="0"/>
                <w:numId w:val="15"/>
              </w:numPr>
              <w:textAlignment w:val="center"/>
              <w:rPr>
                <w:rFonts w:ascii="仿宋" w:hAnsi="仿宋" w:eastAsia="仿宋" w:cs="仿宋"/>
                <w:color w:val="000000"/>
                <w:sz w:val="24"/>
              </w:rPr>
            </w:pPr>
            <w:r>
              <w:rPr>
                <w:rFonts w:hint="eastAsia" w:ascii="仿宋" w:hAnsi="仿宋" w:eastAsia="仿宋" w:cs="仿宋"/>
                <w:color w:val="000000"/>
                <w:sz w:val="24"/>
              </w:rPr>
              <w:t>优化营商环境填报补短板。</w:t>
            </w:r>
          </w:p>
          <w:p>
            <w:pPr>
              <w:widowControl/>
              <w:numPr>
                <w:ilvl w:val="0"/>
                <w:numId w:val="15"/>
              </w:numPr>
              <w:textAlignment w:val="center"/>
              <w:rPr>
                <w:rFonts w:ascii="仿宋" w:hAnsi="仿宋" w:eastAsia="仿宋" w:cs="仿宋"/>
                <w:color w:val="000000"/>
                <w:sz w:val="24"/>
              </w:rPr>
            </w:pPr>
            <w:r>
              <w:rPr>
                <w:rFonts w:hint="eastAsia" w:ascii="仿宋" w:hAnsi="仿宋" w:eastAsia="仿宋" w:cs="仿宋"/>
                <w:color w:val="000000"/>
                <w:sz w:val="24"/>
              </w:rPr>
              <w:t>落实框架协议采购。</w:t>
            </w:r>
          </w:p>
          <w:p>
            <w:pPr>
              <w:widowControl/>
              <w:numPr>
                <w:ilvl w:val="0"/>
                <w:numId w:val="15"/>
              </w:numPr>
              <w:textAlignment w:val="center"/>
              <w:rPr>
                <w:rFonts w:ascii="仿宋" w:hAnsi="仿宋" w:eastAsia="仿宋" w:cs="仿宋"/>
                <w:color w:val="000000"/>
                <w:sz w:val="24"/>
              </w:rPr>
            </w:pPr>
            <w:r>
              <w:rPr>
                <w:rFonts w:hint="eastAsia" w:ascii="仿宋" w:hAnsi="仿宋" w:eastAsia="仿宋" w:cs="仿宋"/>
                <w:color w:val="000000"/>
                <w:sz w:val="24"/>
              </w:rPr>
              <w:t>进一步加强政府采购监督检查和宣传力度。</w:t>
            </w:r>
          </w:p>
        </w:tc>
        <w:tc>
          <w:tcPr>
            <w:tcW w:w="765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exac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1、2023年6月底前将电子化采购平台由集中采购目录项目扩展到分散采购目录项目，实现电子化采购全覆盖。</w:t>
            </w:r>
          </w:p>
          <w:p>
            <w:pPr>
              <w:widowControl/>
              <w:spacing w:line="360" w:lineRule="exac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2、进一步推进“政采贷”工作，加强宣传力度，扩大知晓面，力争将“政采贷”业务量再翻一番。</w:t>
            </w:r>
          </w:p>
          <w:p>
            <w:pPr>
              <w:widowControl/>
              <w:spacing w:line="360" w:lineRule="exac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3、向省及周边先行县市学习，力争在上半年完成市区县框架协议采购工作。</w:t>
            </w:r>
          </w:p>
          <w:p>
            <w:pPr>
              <w:widowControl/>
              <w:spacing w:line="360" w:lineRule="exac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4、加强对采购人、专家评委和代理机构的监督检查，确保各项政策的落实，同时采取多种方式，对各采购当事人进行业务和政策培训。</w:t>
            </w:r>
          </w:p>
          <w:p>
            <w:pPr>
              <w:pStyle w:val="2"/>
              <w:spacing w:after="0" w:line="360" w:lineRule="exact"/>
              <w:rPr>
                <w:lang w:bidi="ar"/>
              </w:rPr>
            </w:pPr>
          </w:p>
        </w:tc>
        <w:tc>
          <w:tcPr>
            <w:tcW w:w="110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赵铭</w:t>
            </w:r>
          </w:p>
        </w:tc>
      </w:tr>
      <w:tr>
        <w:tblPrEx>
          <w:tblCellMar>
            <w:top w:w="0" w:type="dxa"/>
            <w:left w:w="0" w:type="dxa"/>
            <w:bottom w:w="0" w:type="dxa"/>
            <w:right w:w="0" w:type="dxa"/>
          </w:tblCellMar>
        </w:tblPrEx>
        <w:trPr>
          <w:gridAfter w:val="1"/>
          <w:wAfter w:w="26" w:type="dxa"/>
          <w:trHeight w:val="2501" w:hRule="atLeast"/>
          <w:jc w:val="center"/>
        </w:trPr>
        <w:tc>
          <w:tcPr>
            <w:tcW w:w="61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19</w:t>
            </w:r>
          </w:p>
        </w:tc>
        <w:tc>
          <w:tcPr>
            <w:tcW w:w="84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人事教育股</w:t>
            </w:r>
          </w:p>
        </w:tc>
        <w:tc>
          <w:tcPr>
            <w:tcW w:w="450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16"/>
              </w:numPr>
              <w:spacing w:line="260" w:lineRule="exact"/>
              <w:textAlignment w:val="center"/>
              <w:rPr>
                <w:rFonts w:ascii="仿宋" w:hAnsi="仿宋" w:eastAsia="仿宋" w:cs="仿宋"/>
                <w:sz w:val="24"/>
              </w:rPr>
            </w:pPr>
            <w:r>
              <w:rPr>
                <w:rFonts w:hint="eastAsia" w:ascii="仿宋" w:hAnsi="仿宋" w:eastAsia="仿宋" w:cs="仿宋"/>
                <w:sz w:val="24"/>
              </w:rPr>
              <w:t>组织全局干部学习</w:t>
            </w:r>
            <w:r>
              <w:rPr>
                <w:rFonts w:hint="eastAsia" w:ascii="仿宋" w:hAnsi="仿宋" w:eastAsia="仿宋" w:cs="仿宋"/>
                <w:sz w:val="24"/>
                <w:lang w:eastAsia="zh-CN"/>
              </w:rPr>
              <w:t>党的二十大</w:t>
            </w:r>
            <w:r>
              <w:rPr>
                <w:rFonts w:hint="eastAsia" w:ascii="仿宋" w:hAnsi="仿宋" w:eastAsia="仿宋" w:cs="仿宋"/>
                <w:sz w:val="24"/>
              </w:rPr>
              <w:t>精神。</w:t>
            </w:r>
          </w:p>
          <w:p>
            <w:pPr>
              <w:widowControl/>
              <w:numPr>
                <w:ilvl w:val="0"/>
                <w:numId w:val="16"/>
              </w:numPr>
              <w:spacing w:line="260" w:lineRule="exact"/>
              <w:textAlignment w:val="center"/>
              <w:rPr>
                <w:rFonts w:ascii="仿宋" w:hAnsi="仿宋" w:eastAsia="仿宋" w:cs="仿宋"/>
                <w:sz w:val="24"/>
              </w:rPr>
            </w:pPr>
            <w:r>
              <w:rPr>
                <w:rFonts w:hint="eastAsia" w:ascii="仿宋" w:hAnsi="仿宋" w:eastAsia="仿宋" w:cs="仿宋"/>
                <w:sz w:val="24"/>
              </w:rPr>
              <w:t>开展清廉机关创建活动。</w:t>
            </w:r>
          </w:p>
          <w:p>
            <w:pPr>
              <w:widowControl/>
              <w:numPr>
                <w:ilvl w:val="0"/>
                <w:numId w:val="16"/>
              </w:numPr>
              <w:spacing w:line="260" w:lineRule="exact"/>
              <w:textAlignment w:val="center"/>
              <w:rPr>
                <w:rFonts w:ascii="仿宋" w:hAnsi="仿宋" w:eastAsia="仿宋" w:cs="仿宋"/>
                <w:sz w:val="24"/>
              </w:rPr>
            </w:pPr>
            <w:r>
              <w:rPr>
                <w:rFonts w:hint="eastAsia" w:ascii="仿宋" w:hAnsi="仿宋" w:eastAsia="仿宋" w:cs="仿宋"/>
                <w:sz w:val="24"/>
              </w:rPr>
              <w:t>组织全系统青年干部开展政治业务培训。</w:t>
            </w:r>
          </w:p>
          <w:p>
            <w:pPr>
              <w:pStyle w:val="2"/>
              <w:numPr>
                <w:ilvl w:val="0"/>
                <w:numId w:val="16"/>
              </w:numPr>
              <w:ind w:left="0" w:leftChars="0" w:firstLine="0" w:firstLineChars="0"/>
              <w:rPr>
                <w:rFonts w:ascii="仿宋" w:hAnsi="仿宋" w:eastAsia="仿宋" w:cs="仿宋"/>
                <w:sz w:val="24"/>
              </w:rPr>
            </w:pPr>
            <w:r>
              <w:rPr>
                <w:rFonts w:hint="eastAsia" w:ascii="仿宋" w:hAnsi="仿宋" w:eastAsia="仿宋" w:cs="仿宋"/>
                <w:sz w:val="24"/>
              </w:rPr>
              <w:t>在全系统开展抵制违规吃喝问题整改。</w:t>
            </w:r>
          </w:p>
        </w:tc>
        <w:tc>
          <w:tcPr>
            <w:tcW w:w="765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 w:hAnsi="仿宋" w:eastAsia="仿宋" w:cs="仿宋"/>
                <w:sz w:val="24"/>
              </w:rPr>
            </w:pPr>
            <w:r>
              <w:rPr>
                <w:rFonts w:hint="eastAsia" w:ascii="仿宋" w:hAnsi="仿宋" w:eastAsia="仿宋" w:cs="仿宋"/>
                <w:sz w:val="24"/>
              </w:rPr>
              <w:t>1、制订</w:t>
            </w:r>
            <w:r>
              <w:rPr>
                <w:rFonts w:hint="eastAsia" w:ascii="仿宋" w:hAnsi="仿宋" w:eastAsia="仿宋" w:cs="仿宋"/>
                <w:sz w:val="24"/>
                <w:lang w:eastAsia="zh-CN"/>
              </w:rPr>
              <w:t>党的二十大</w:t>
            </w:r>
            <w:r>
              <w:rPr>
                <w:rFonts w:hint="eastAsia" w:ascii="仿宋" w:hAnsi="仿宋" w:eastAsia="仿宋" w:cs="仿宋"/>
                <w:sz w:val="24"/>
              </w:rPr>
              <w:t>学习方案，邀请县委宣讲团和党校教授进行宣讲，开展自学。</w:t>
            </w:r>
          </w:p>
          <w:p>
            <w:pPr>
              <w:widowControl/>
              <w:spacing w:line="360" w:lineRule="exact"/>
              <w:jc w:val="left"/>
              <w:textAlignment w:val="center"/>
              <w:rPr>
                <w:rFonts w:ascii="仿宋" w:hAnsi="仿宋" w:eastAsia="仿宋" w:cs="仿宋"/>
                <w:sz w:val="24"/>
              </w:rPr>
            </w:pPr>
            <w:r>
              <w:rPr>
                <w:rFonts w:hint="eastAsia" w:ascii="仿宋" w:hAnsi="仿宋" w:eastAsia="仿宋" w:cs="仿宋"/>
                <w:sz w:val="24"/>
              </w:rPr>
              <w:t>2、制订县财政系统清廉机关和站所方案，开展清廉创建活动。</w:t>
            </w:r>
          </w:p>
          <w:p>
            <w:pPr>
              <w:widowControl/>
              <w:spacing w:line="360" w:lineRule="exact"/>
              <w:jc w:val="left"/>
              <w:textAlignment w:val="center"/>
              <w:rPr>
                <w:rFonts w:ascii="仿宋" w:hAnsi="仿宋" w:eastAsia="仿宋" w:cs="仿宋"/>
                <w:sz w:val="24"/>
              </w:rPr>
            </w:pPr>
            <w:r>
              <w:rPr>
                <w:rFonts w:hint="eastAsia" w:ascii="仿宋" w:hAnsi="仿宋" w:eastAsia="仿宋" w:cs="仿宋"/>
                <w:sz w:val="24"/>
              </w:rPr>
              <w:t>3、组织近几年招考公务员和事业单位工作人员以及部分青年干部到专业学院进行业务和政治培训。</w:t>
            </w:r>
          </w:p>
          <w:p>
            <w:pPr>
              <w:pStyle w:val="2"/>
              <w:spacing w:after="0" w:line="360" w:lineRule="exact"/>
              <w:ind w:left="0" w:leftChars="0" w:firstLine="0" w:firstLineChars="0"/>
              <w:jc w:val="left"/>
              <w:rPr>
                <w:rFonts w:eastAsia="仿宋"/>
              </w:rPr>
            </w:pPr>
            <w:r>
              <w:rPr>
                <w:rFonts w:hint="eastAsia" w:ascii="仿宋" w:hAnsi="仿宋" w:eastAsia="仿宋" w:cs="仿宋"/>
                <w:color w:val="000000"/>
                <w:kern w:val="0"/>
                <w:sz w:val="24"/>
                <w:lang w:bidi="ar"/>
              </w:rPr>
              <w:t>4、制定方案，深入查摆问题，剖析问题根源，全面整改，建章立制。</w:t>
            </w:r>
          </w:p>
        </w:tc>
        <w:tc>
          <w:tcPr>
            <w:tcW w:w="1106"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赵铭</w:t>
            </w:r>
          </w:p>
        </w:tc>
      </w:tr>
      <w:tr>
        <w:tblPrEx>
          <w:tblCellMar>
            <w:top w:w="0" w:type="dxa"/>
            <w:left w:w="0" w:type="dxa"/>
            <w:bottom w:w="0" w:type="dxa"/>
            <w:right w:w="0" w:type="dxa"/>
          </w:tblCellMar>
        </w:tblPrEx>
        <w:trPr>
          <w:gridAfter w:val="1"/>
          <w:wAfter w:w="26" w:type="dxa"/>
          <w:trHeight w:val="824" w:hRule="atLeast"/>
          <w:jc w:val="center"/>
        </w:trPr>
        <w:tc>
          <w:tcPr>
            <w:tcW w:w="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20</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老干部股</w:t>
            </w:r>
          </w:p>
        </w:tc>
        <w:tc>
          <w:tcPr>
            <w:tcW w:w="4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关心关爱退休老干部。</w:t>
            </w:r>
          </w:p>
        </w:tc>
        <w:tc>
          <w:tcPr>
            <w:tcW w:w="7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重阳节、春节对退休老干部进行走访慰问，组织退休干部参加集体活动。</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赵铭</w:t>
            </w:r>
          </w:p>
        </w:tc>
      </w:tr>
      <w:tr>
        <w:tblPrEx>
          <w:tblCellMar>
            <w:top w:w="0" w:type="dxa"/>
            <w:left w:w="0" w:type="dxa"/>
            <w:bottom w:w="0" w:type="dxa"/>
            <w:right w:w="0" w:type="dxa"/>
          </w:tblCellMar>
        </w:tblPrEx>
        <w:trPr>
          <w:gridAfter w:val="1"/>
          <w:wAfter w:w="26" w:type="dxa"/>
          <w:trHeight w:val="1945" w:hRule="atLeast"/>
          <w:jc w:val="center"/>
        </w:trPr>
        <w:tc>
          <w:tcPr>
            <w:tcW w:w="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21</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工会</w:t>
            </w:r>
          </w:p>
        </w:tc>
        <w:tc>
          <w:tcPr>
            <w:tcW w:w="4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1、组织开展工会活动。</w:t>
            </w:r>
          </w:p>
          <w:p>
            <w:pPr>
              <w:widowControl/>
              <w:spacing w:line="400" w:lineRule="exac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2、完善慰问探望制度。</w:t>
            </w:r>
          </w:p>
          <w:p>
            <w:pPr>
              <w:widowControl/>
              <w:spacing w:line="400" w:lineRule="exac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3、加大关心关爱困难干部力度。</w:t>
            </w:r>
          </w:p>
          <w:p>
            <w:pPr>
              <w:widowControl/>
              <w:spacing w:line="400" w:lineRule="exact"/>
              <w:textAlignment w:val="center"/>
              <w:rPr>
                <w:rFonts w:ascii="仿宋" w:hAnsi="仿宋" w:eastAsia="仿宋" w:cs="仿宋"/>
                <w:color w:val="000000"/>
                <w:sz w:val="24"/>
              </w:rPr>
            </w:pPr>
            <w:r>
              <w:rPr>
                <w:rFonts w:hint="eastAsia" w:ascii="仿宋" w:hAnsi="仿宋" w:eastAsia="仿宋" w:cs="仿宋"/>
                <w:color w:val="000000"/>
                <w:kern w:val="0"/>
                <w:sz w:val="24"/>
                <w:lang w:bidi="ar"/>
              </w:rPr>
              <w:t>4、落实工会福利。</w:t>
            </w:r>
          </w:p>
        </w:tc>
        <w:tc>
          <w:tcPr>
            <w:tcW w:w="7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1、制定活动方案，按计划开展集体活动。</w:t>
            </w:r>
          </w:p>
          <w:p>
            <w:pPr>
              <w:widowControl/>
              <w:spacing w:line="400" w:lineRule="exac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2、完善职工生病住院探望制度，搞好干部职工及亲属的慰问工作。</w:t>
            </w:r>
          </w:p>
          <w:p>
            <w:pPr>
              <w:widowControl/>
              <w:spacing w:line="400" w:lineRule="exac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3、做好困难职工帮扶和送温暖活动，开展年末“送温暖”活动。</w:t>
            </w:r>
          </w:p>
          <w:p>
            <w:pPr>
              <w:widowControl/>
              <w:spacing w:line="400" w:lineRule="exac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4、按工会政策，落实全体干部职工工会福利。</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陶立兵</w:t>
            </w:r>
          </w:p>
        </w:tc>
      </w:tr>
      <w:tr>
        <w:tblPrEx>
          <w:tblCellMar>
            <w:top w:w="0" w:type="dxa"/>
            <w:left w:w="0" w:type="dxa"/>
            <w:bottom w:w="0" w:type="dxa"/>
            <w:right w:w="0" w:type="dxa"/>
          </w:tblCellMar>
        </w:tblPrEx>
        <w:trPr>
          <w:gridAfter w:val="1"/>
          <w:wAfter w:w="26" w:type="dxa"/>
          <w:trHeight w:val="1532" w:hRule="atLeast"/>
          <w:jc w:val="center"/>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22</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团委</w:t>
            </w:r>
          </w:p>
        </w:tc>
        <w:tc>
          <w:tcPr>
            <w:tcW w:w="4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1、开展学习培训活动。</w:t>
            </w:r>
          </w:p>
          <w:p>
            <w:pPr>
              <w:widowControl/>
              <w:spacing w:line="400" w:lineRule="exac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2、开展“五四”青年节活动。</w:t>
            </w:r>
          </w:p>
        </w:tc>
        <w:tc>
          <w:tcPr>
            <w:tcW w:w="7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1、利用QQ、微信等网络信息平台，配合局机关开展各种培训学习，提升青年干部知识水平和工作技能。</w:t>
            </w:r>
          </w:p>
          <w:p>
            <w:pPr>
              <w:widowControl/>
              <w:spacing w:line="400" w:lineRule="exac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2、开展“五四”青年活动，搭建交流沟通的平台。</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sz w:val="24"/>
              </w:rPr>
              <w:t>陶立兵</w:t>
            </w:r>
          </w:p>
        </w:tc>
      </w:tr>
      <w:tr>
        <w:tblPrEx>
          <w:tblCellMar>
            <w:top w:w="0" w:type="dxa"/>
            <w:left w:w="0" w:type="dxa"/>
            <w:bottom w:w="0" w:type="dxa"/>
            <w:right w:w="0" w:type="dxa"/>
          </w:tblCellMar>
        </w:tblPrEx>
        <w:trPr>
          <w:gridAfter w:val="1"/>
          <w:wAfter w:w="26" w:type="dxa"/>
          <w:trHeight w:val="1267" w:hRule="atLeast"/>
          <w:jc w:val="center"/>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23</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妇联</w:t>
            </w:r>
          </w:p>
        </w:tc>
        <w:tc>
          <w:tcPr>
            <w:tcW w:w="4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1、开展“三八”妇女节主题活动。</w:t>
            </w:r>
          </w:p>
          <w:p>
            <w:pPr>
              <w:widowControl/>
              <w:spacing w:line="400" w:lineRule="exac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2、配合县妇联开展各项活动。</w:t>
            </w:r>
          </w:p>
        </w:tc>
        <w:tc>
          <w:tcPr>
            <w:tcW w:w="7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1、组织全局妇女干部职工开展爬山、徒步、拓展小游戏等户外游活动。</w:t>
            </w:r>
          </w:p>
          <w:p>
            <w:pPr>
              <w:widowControl/>
              <w:spacing w:line="400" w:lineRule="exac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2、鼓励局机关妇女同志踊跃参加县妇联活动。</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sz w:val="24"/>
              </w:rPr>
              <w:t>陶立兵</w:t>
            </w:r>
          </w:p>
        </w:tc>
      </w:tr>
      <w:tr>
        <w:tblPrEx>
          <w:tblCellMar>
            <w:top w:w="0" w:type="dxa"/>
            <w:left w:w="0" w:type="dxa"/>
            <w:bottom w:w="0" w:type="dxa"/>
            <w:right w:w="0" w:type="dxa"/>
          </w:tblCellMar>
        </w:tblPrEx>
        <w:trPr>
          <w:gridAfter w:val="1"/>
          <w:wAfter w:w="26" w:type="dxa"/>
          <w:trHeight w:val="1388" w:hRule="atLeast"/>
          <w:jc w:val="center"/>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24</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招商办</w:t>
            </w:r>
          </w:p>
        </w:tc>
        <w:tc>
          <w:tcPr>
            <w:tcW w:w="4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textAlignment w:val="center"/>
              <w:rPr>
                <w:rFonts w:ascii="仿宋" w:hAnsi="仿宋" w:eastAsia="仿宋" w:cs="仿宋"/>
                <w:color w:val="000000"/>
                <w:sz w:val="24"/>
              </w:rPr>
            </w:pPr>
            <w:r>
              <w:rPr>
                <w:rFonts w:hint="eastAsia" w:ascii="仿宋" w:hAnsi="仿宋" w:eastAsia="仿宋" w:cs="仿宋"/>
                <w:color w:val="000000"/>
                <w:sz w:val="24"/>
              </w:rPr>
              <w:t>完成年度招商任务</w:t>
            </w:r>
          </w:p>
        </w:tc>
        <w:tc>
          <w:tcPr>
            <w:tcW w:w="7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成立招商工作专班，建立招商工作台账，强化招商督办考核，结合实际制定积分奖励机制。</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蔡洪光</w:t>
            </w:r>
          </w:p>
        </w:tc>
      </w:tr>
      <w:tr>
        <w:tblPrEx>
          <w:tblCellMar>
            <w:top w:w="0" w:type="dxa"/>
            <w:left w:w="0" w:type="dxa"/>
            <w:bottom w:w="0" w:type="dxa"/>
            <w:right w:w="0" w:type="dxa"/>
          </w:tblCellMar>
        </w:tblPrEx>
        <w:trPr>
          <w:gridAfter w:val="1"/>
          <w:wAfter w:w="26" w:type="dxa"/>
          <w:trHeight w:val="1939" w:hRule="atLeast"/>
          <w:jc w:val="center"/>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非税收入管理局</w:t>
            </w:r>
          </w:p>
        </w:tc>
        <w:tc>
          <w:tcPr>
            <w:tcW w:w="4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sz w:val="24"/>
              </w:rPr>
              <w:t>1、完成全年非税收入任务目标16272万元。</w:t>
            </w:r>
          </w:p>
          <w:p>
            <w:pPr>
              <w:widowControl/>
              <w:textAlignment w:val="center"/>
              <w:rPr>
                <w:rFonts w:ascii="仿宋" w:hAnsi="仿宋" w:eastAsia="仿宋" w:cs="仿宋"/>
                <w:color w:val="000000"/>
                <w:sz w:val="24"/>
              </w:rPr>
            </w:pPr>
            <w:r>
              <w:rPr>
                <w:rFonts w:hint="eastAsia" w:ascii="仿宋" w:hAnsi="仿宋" w:eastAsia="仿宋" w:cs="仿宋"/>
                <w:color w:val="000000"/>
                <w:sz w:val="24"/>
              </w:rPr>
              <w:t>2、优化营商环境，规范中介服务收费。</w:t>
            </w:r>
          </w:p>
          <w:p>
            <w:pPr>
              <w:widowControl/>
              <w:textAlignment w:val="center"/>
              <w:rPr>
                <w:rFonts w:ascii="仿宋" w:hAnsi="仿宋" w:eastAsia="仿宋" w:cs="仿宋"/>
                <w:color w:val="000000"/>
                <w:sz w:val="24"/>
              </w:rPr>
            </w:pPr>
            <w:r>
              <w:rPr>
                <w:rFonts w:hint="eastAsia" w:ascii="仿宋" w:hAnsi="仿宋" w:eastAsia="仿宋" w:cs="仿宋"/>
                <w:color w:val="000000"/>
                <w:sz w:val="24"/>
              </w:rPr>
              <w:t>3、加快推进财政电子票据改革。</w:t>
            </w:r>
          </w:p>
          <w:p>
            <w:pPr>
              <w:widowControl/>
              <w:textAlignment w:val="center"/>
              <w:rPr>
                <w:rFonts w:ascii="仿宋" w:hAnsi="仿宋" w:eastAsia="仿宋" w:cs="仿宋"/>
                <w:color w:val="000000"/>
                <w:sz w:val="24"/>
              </w:rPr>
            </w:pPr>
            <w:r>
              <w:rPr>
                <w:rFonts w:hint="eastAsia" w:ascii="仿宋" w:hAnsi="仿宋" w:eastAsia="仿宋" w:cs="仿宋"/>
                <w:color w:val="000000"/>
                <w:sz w:val="24"/>
              </w:rPr>
              <w:t>4、加快推进预算管理一体化系统开通非税模块功能。</w:t>
            </w:r>
          </w:p>
          <w:p>
            <w:pPr>
              <w:widowControl/>
              <w:textAlignment w:val="center"/>
              <w:rPr>
                <w:rFonts w:ascii="仿宋" w:hAnsi="仿宋" w:eastAsia="仿宋" w:cs="仿宋"/>
                <w:color w:val="000000"/>
                <w:sz w:val="24"/>
              </w:rPr>
            </w:pPr>
            <w:r>
              <w:rPr>
                <w:rFonts w:hint="eastAsia" w:ascii="仿宋" w:hAnsi="仿宋" w:eastAsia="仿宋" w:cs="仿宋"/>
                <w:color w:val="000000"/>
                <w:sz w:val="24"/>
              </w:rPr>
              <w:t>5、开展财政票据监督检查。</w:t>
            </w:r>
          </w:p>
          <w:p>
            <w:pPr>
              <w:widowControl/>
              <w:textAlignment w:val="center"/>
              <w:rPr>
                <w:rFonts w:ascii="仿宋" w:hAnsi="仿宋" w:eastAsia="仿宋" w:cs="仿宋"/>
                <w:color w:val="000000"/>
                <w:sz w:val="24"/>
              </w:rPr>
            </w:pPr>
            <w:r>
              <w:rPr>
                <w:rFonts w:hint="eastAsia" w:ascii="仿宋" w:hAnsi="仿宋" w:eastAsia="仿宋" w:cs="仿宋"/>
                <w:color w:val="000000"/>
                <w:sz w:val="24"/>
              </w:rPr>
              <w:t>6、积极配合税务部门做好非税征管职责划转工作。</w:t>
            </w:r>
          </w:p>
        </w:tc>
        <w:tc>
          <w:tcPr>
            <w:tcW w:w="7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仿宋" w:hAnsi="仿宋" w:eastAsia="仿宋" w:cs="仿宋"/>
                <w:color w:val="000000"/>
                <w:kern w:val="0"/>
                <w:sz w:val="24"/>
              </w:rPr>
            </w:pPr>
            <w:r>
              <w:rPr>
                <w:rFonts w:hint="eastAsia" w:ascii="仿宋" w:hAnsi="仿宋" w:eastAsia="仿宋" w:cs="仿宋"/>
                <w:color w:val="000000"/>
                <w:kern w:val="0"/>
                <w:sz w:val="24"/>
              </w:rPr>
              <w:t>1、规范收支，强化预算管理；落实政策，规范收费行为；严管票据，坚持“以票控费”。</w:t>
            </w:r>
          </w:p>
          <w:p>
            <w:pPr>
              <w:widowControl/>
              <w:spacing w:line="360" w:lineRule="exact"/>
              <w:textAlignment w:val="center"/>
              <w:rPr>
                <w:rFonts w:ascii="仿宋" w:hAnsi="仿宋" w:eastAsia="仿宋" w:cs="仿宋"/>
                <w:color w:val="000000"/>
                <w:kern w:val="0"/>
                <w:sz w:val="24"/>
              </w:rPr>
            </w:pPr>
            <w:r>
              <w:rPr>
                <w:rFonts w:hint="eastAsia" w:ascii="仿宋" w:hAnsi="仿宋" w:eastAsia="仿宋" w:cs="仿宋"/>
                <w:color w:val="000000"/>
                <w:kern w:val="0"/>
                <w:sz w:val="24"/>
              </w:rPr>
              <w:t>2、加大监督稽查力度，减轻社会企业负担。2023年12月31日完成全年非税收入目标任务。</w:t>
            </w:r>
          </w:p>
          <w:p>
            <w:pPr>
              <w:widowControl/>
              <w:spacing w:line="360" w:lineRule="exact"/>
              <w:textAlignment w:val="center"/>
              <w:rPr>
                <w:rFonts w:ascii="仿宋" w:hAnsi="仿宋" w:eastAsia="仿宋" w:cs="仿宋"/>
                <w:color w:val="000000"/>
                <w:kern w:val="0"/>
                <w:sz w:val="24"/>
              </w:rPr>
            </w:pPr>
            <w:r>
              <w:rPr>
                <w:rFonts w:hint="eastAsia" w:ascii="仿宋" w:hAnsi="仿宋" w:eastAsia="仿宋" w:cs="仿宋"/>
                <w:color w:val="000000"/>
                <w:kern w:val="0"/>
                <w:sz w:val="24"/>
              </w:rPr>
              <w:t>3、全面清理违法违规中介服务项目及收费。</w:t>
            </w:r>
          </w:p>
          <w:p>
            <w:pPr>
              <w:widowControl/>
              <w:spacing w:line="360" w:lineRule="exact"/>
              <w:textAlignment w:val="center"/>
              <w:rPr>
                <w:rFonts w:ascii="仿宋" w:hAnsi="仿宋" w:eastAsia="仿宋" w:cs="仿宋"/>
                <w:color w:val="000000"/>
                <w:kern w:val="0"/>
                <w:sz w:val="24"/>
              </w:rPr>
            </w:pPr>
            <w:r>
              <w:rPr>
                <w:rFonts w:hint="eastAsia" w:ascii="仿宋" w:hAnsi="仿宋" w:eastAsia="仿宋" w:cs="仿宋"/>
                <w:color w:val="000000"/>
                <w:kern w:val="0"/>
                <w:sz w:val="24"/>
              </w:rPr>
              <w:t>4、2月底以前完成财政电子票据（除一般缴款书以外）上线工作；5月底前完成电子一般缴款书上线工作；7月底前完成医疗电子票据上线工作。</w:t>
            </w:r>
          </w:p>
          <w:p>
            <w:pPr>
              <w:widowControl/>
              <w:spacing w:line="360" w:lineRule="exact"/>
              <w:textAlignment w:val="center"/>
              <w:rPr>
                <w:rFonts w:ascii="仿宋" w:hAnsi="仿宋" w:eastAsia="仿宋" w:cs="仿宋"/>
                <w:color w:val="000000"/>
                <w:kern w:val="0"/>
                <w:sz w:val="24"/>
              </w:rPr>
            </w:pPr>
            <w:r>
              <w:rPr>
                <w:rFonts w:hint="eastAsia" w:ascii="仿宋" w:hAnsi="仿宋" w:eastAsia="仿宋" w:cs="仿宋"/>
                <w:color w:val="000000"/>
                <w:kern w:val="0"/>
                <w:sz w:val="24"/>
              </w:rPr>
              <w:t>5、取消现行使用的纸质财政票据，全面启用电子财政票据。</w:t>
            </w:r>
          </w:p>
          <w:p>
            <w:pPr>
              <w:widowControl/>
              <w:spacing w:line="360" w:lineRule="exact"/>
              <w:textAlignment w:val="center"/>
              <w:rPr>
                <w:rFonts w:ascii="仿宋" w:hAnsi="仿宋" w:eastAsia="仿宋" w:cs="仿宋"/>
                <w:color w:val="000000"/>
                <w:kern w:val="0"/>
                <w:sz w:val="24"/>
              </w:rPr>
            </w:pPr>
            <w:r>
              <w:rPr>
                <w:rFonts w:hint="eastAsia" w:ascii="仿宋" w:hAnsi="仿宋" w:eastAsia="仿宋" w:cs="仿宋"/>
                <w:color w:val="000000"/>
                <w:kern w:val="0"/>
                <w:sz w:val="24"/>
              </w:rPr>
              <w:t>6、非税收入模块财政和单位用户信息初始化；非税收入模块单位基础信息授权维护；非税收入模块单位开票点信息维护、印章维护。</w:t>
            </w:r>
          </w:p>
          <w:p>
            <w:pPr>
              <w:widowControl/>
              <w:spacing w:line="360" w:lineRule="exact"/>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7、对全县使用财政票据的用票单位进行全覆盖监督检查。3－4月份对县直及春季学校收费进行检查；5月份对卫生系统财政票据进行检查、核销；6-7月份重点对水利系统水资源收费收缴进行检查，对石材企业优化营商环境进行上门走访；8月份重点对林业系统罚没收入进行检查；9－10月份对秋季学校收费进行督导检查；11月份对各乡镇财政所财政票据进行检查；12月份对全县当年的财政票据进行核销。</w:t>
            </w:r>
          </w:p>
          <w:p>
            <w:pPr>
              <w:widowControl/>
              <w:spacing w:line="360" w:lineRule="exact"/>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rPr>
              <w:t>12、根据上级文件要求，对要划转到税务部门征收的非税收入积极配合税务部门做好划转工作。</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谢力</w:t>
            </w:r>
          </w:p>
        </w:tc>
      </w:tr>
      <w:tr>
        <w:tblPrEx>
          <w:tblCellMar>
            <w:top w:w="0" w:type="dxa"/>
            <w:left w:w="0" w:type="dxa"/>
            <w:bottom w:w="0" w:type="dxa"/>
            <w:right w:w="0" w:type="dxa"/>
          </w:tblCellMar>
        </w:tblPrEx>
        <w:trPr>
          <w:gridAfter w:val="1"/>
          <w:wAfter w:w="26" w:type="dxa"/>
          <w:trHeight w:val="827" w:hRule="atLeast"/>
          <w:jc w:val="center"/>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26</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农村财政管理局（农村股、综改办）</w:t>
            </w:r>
          </w:p>
        </w:tc>
        <w:tc>
          <w:tcPr>
            <w:tcW w:w="4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1、做好省级美丽乡村示范片建设工作。</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2、扎实推进省级美丽乡村试点村建设工作。</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3、进一步健全村级公益事业建设财政奖补机制。</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4、进一步完善农村公益服务“以钱养事”新机制。</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5、建立健全村级组织运转经费保障机制。</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6、扎实推进农村“三资”管理。</w:t>
            </w:r>
          </w:p>
          <w:p>
            <w:pPr>
              <w:widowControl/>
              <w:jc w:val="left"/>
              <w:textAlignment w:val="center"/>
              <w:rPr>
                <w:rFonts w:ascii="仿宋" w:hAnsi="仿宋" w:eastAsia="仿宋" w:cs="仿宋"/>
                <w:color w:val="000000"/>
                <w:sz w:val="24"/>
              </w:rPr>
            </w:pPr>
          </w:p>
        </w:tc>
        <w:tc>
          <w:tcPr>
            <w:tcW w:w="7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rPr>
                <w:rFonts w:ascii="仿宋" w:hAnsi="仿宋" w:eastAsia="仿宋" w:cs="仿宋"/>
                <w:color w:val="000000"/>
                <w:sz w:val="24"/>
              </w:rPr>
            </w:pPr>
            <w:r>
              <w:rPr>
                <w:rFonts w:hint="eastAsia" w:ascii="仿宋" w:hAnsi="仿宋" w:eastAsia="仿宋" w:cs="仿宋"/>
                <w:color w:val="000000"/>
                <w:sz w:val="24"/>
              </w:rPr>
              <w:t>1、扎实推进随县美丽乡村示范片项目建设，加强日常监管、及时拨付建设资金，保障项目质量和进度。</w:t>
            </w:r>
          </w:p>
          <w:p>
            <w:pPr>
              <w:spacing w:line="300" w:lineRule="exact"/>
              <w:rPr>
                <w:rFonts w:ascii="仿宋" w:hAnsi="仿宋" w:eastAsia="仿宋" w:cs="仿宋"/>
                <w:color w:val="000000"/>
                <w:sz w:val="24"/>
              </w:rPr>
            </w:pPr>
            <w:r>
              <w:rPr>
                <w:rFonts w:hint="eastAsia" w:ascii="仿宋" w:hAnsi="仿宋" w:eastAsia="仿宋" w:cs="仿宋"/>
                <w:color w:val="000000"/>
                <w:sz w:val="24"/>
              </w:rPr>
              <w:t>2、做好2021年省级美丽乡村4个试点村迎检工作、2022年省级美丽乡村5个试点村建设准备工作、2023年省级美丽乡村试点村摸底核实工作。</w:t>
            </w:r>
          </w:p>
          <w:p>
            <w:pPr>
              <w:spacing w:line="300" w:lineRule="exact"/>
              <w:rPr>
                <w:rFonts w:ascii="仿宋" w:hAnsi="仿宋" w:eastAsia="仿宋" w:cs="仿宋"/>
                <w:color w:val="000000"/>
                <w:sz w:val="24"/>
              </w:rPr>
            </w:pPr>
            <w:r>
              <w:rPr>
                <w:rFonts w:hint="eastAsia" w:ascii="仿宋" w:hAnsi="仿宋" w:eastAsia="仿宋" w:cs="仿宋"/>
                <w:color w:val="000000"/>
                <w:sz w:val="24"/>
              </w:rPr>
              <w:t>3、检查2022年村级“一事一议”资金使用效率，强化项目资金管理；制定2023年“一事一议”财政奖补方案，及时拨付“一事一议”财政奖补资金，推进“一事一议”财政奖补项目建设。</w:t>
            </w:r>
          </w:p>
          <w:p>
            <w:pPr>
              <w:spacing w:line="300" w:lineRule="exact"/>
              <w:rPr>
                <w:rFonts w:ascii="仿宋" w:hAnsi="仿宋" w:eastAsia="仿宋" w:cs="仿宋"/>
                <w:color w:val="000000"/>
                <w:sz w:val="24"/>
              </w:rPr>
            </w:pPr>
            <w:r>
              <w:rPr>
                <w:rFonts w:hint="eastAsia" w:ascii="仿宋" w:hAnsi="仿宋" w:eastAsia="仿宋" w:cs="仿宋"/>
                <w:color w:val="000000"/>
                <w:sz w:val="24"/>
              </w:rPr>
              <w:t>4、创新“以钱养事”工作机制，进一步规范“以钱养事”合同管理，落实乡改人员基本养老保险，适当提高“以钱养事”人员劳务报酬，稳妥化解各类矛盾。</w:t>
            </w:r>
          </w:p>
          <w:p>
            <w:pPr>
              <w:spacing w:line="300" w:lineRule="exact"/>
              <w:rPr>
                <w:rFonts w:ascii="仿宋" w:hAnsi="仿宋" w:eastAsia="仿宋" w:cs="仿宋"/>
                <w:color w:val="000000"/>
                <w:sz w:val="24"/>
              </w:rPr>
            </w:pPr>
            <w:r>
              <w:rPr>
                <w:rFonts w:hint="eastAsia" w:ascii="仿宋" w:hAnsi="仿宋" w:eastAsia="仿宋" w:cs="仿宋"/>
                <w:color w:val="000000"/>
                <w:sz w:val="24"/>
              </w:rPr>
              <w:t>5、继续健全以财政投入为主的稳定村级组织运转经费保障机制，加大财政预算保障力度，落实经费保障责任。</w:t>
            </w:r>
          </w:p>
          <w:p>
            <w:pPr>
              <w:spacing w:line="300" w:lineRule="exact"/>
              <w:rPr>
                <w:rFonts w:ascii="仿宋" w:hAnsi="仿宋" w:eastAsia="仿宋" w:cs="仿宋"/>
                <w:color w:val="000000"/>
                <w:kern w:val="0"/>
                <w:sz w:val="24"/>
                <w:lang w:bidi="ar"/>
              </w:rPr>
            </w:pPr>
            <w:r>
              <w:rPr>
                <w:rFonts w:hint="eastAsia" w:ascii="仿宋" w:hAnsi="仿宋" w:eastAsia="仿宋" w:cs="仿宋"/>
                <w:color w:val="000000"/>
                <w:sz w:val="24"/>
              </w:rPr>
              <w:t>6、</w:t>
            </w:r>
            <w:r>
              <w:rPr>
                <w:rFonts w:hint="eastAsia" w:ascii="仿宋" w:hAnsi="仿宋" w:eastAsia="仿宋" w:cs="仿宋"/>
                <w:sz w:val="24"/>
              </w:rPr>
              <w:t>进一步做好农村集体“三资”清理核实工作，推进扶持村级集体经济发展试点工作。</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王鹏</w:t>
            </w:r>
          </w:p>
        </w:tc>
      </w:tr>
      <w:tr>
        <w:tblPrEx>
          <w:tblCellMar>
            <w:top w:w="0" w:type="dxa"/>
            <w:left w:w="0" w:type="dxa"/>
            <w:bottom w:w="0" w:type="dxa"/>
            <w:right w:w="0" w:type="dxa"/>
          </w:tblCellMar>
        </w:tblPrEx>
        <w:trPr>
          <w:gridAfter w:val="1"/>
          <w:wAfter w:w="26" w:type="dxa"/>
          <w:trHeight w:val="1241" w:hRule="atLeast"/>
          <w:jc w:val="center"/>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27</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收付中心</w:t>
            </w:r>
          </w:p>
        </w:tc>
        <w:tc>
          <w:tcPr>
            <w:tcW w:w="4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17"/>
              </w:numPr>
              <w:jc w:val="left"/>
              <w:textAlignment w:val="center"/>
              <w:rPr>
                <w:rFonts w:ascii="仿宋" w:hAnsi="仿宋" w:eastAsia="仿宋" w:cs="仿宋"/>
                <w:color w:val="000000"/>
                <w:sz w:val="24"/>
              </w:rPr>
            </w:pPr>
            <w:r>
              <w:rPr>
                <w:rFonts w:hint="eastAsia" w:ascii="仿宋" w:hAnsi="仿宋" w:eastAsia="仿宋" w:cs="仿宋"/>
                <w:color w:val="000000"/>
                <w:sz w:val="24"/>
              </w:rPr>
              <w:t>加强财政代编支付业务管理。</w:t>
            </w:r>
          </w:p>
          <w:p>
            <w:pPr>
              <w:widowControl/>
              <w:numPr>
                <w:ilvl w:val="0"/>
                <w:numId w:val="17"/>
              </w:numPr>
              <w:jc w:val="left"/>
              <w:textAlignment w:val="center"/>
              <w:rPr>
                <w:rFonts w:ascii="仿宋" w:hAnsi="仿宋" w:eastAsia="仿宋" w:cs="仿宋"/>
                <w:color w:val="000000"/>
                <w:sz w:val="24"/>
              </w:rPr>
            </w:pPr>
            <w:r>
              <w:rPr>
                <w:rFonts w:hint="eastAsia" w:ascii="仿宋" w:hAnsi="仿宋" w:eastAsia="仿宋" w:cs="仿宋"/>
                <w:color w:val="000000"/>
                <w:sz w:val="24"/>
              </w:rPr>
              <w:t>加强往来资金账户、财政零余额账户的管理和监督。</w:t>
            </w:r>
          </w:p>
        </w:tc>
        <w:tc>
          <w:tcPr>
            <w:tcW w:w="7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1、强化财政代编支付业务审核，加快资金支付进度。</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2、及时做好往来资金的指标录入、指标审核和计划下达；对财政零余额账户与银行及时沟通，确保银行做到每日清零。</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谢力</w:t>
            </w:r>
          </w:p>
        </w:tc>
      </w:tr>
      <w:tr>
        <w:tblPrEx>
          <w:tblCellMar>
            <w:top w:w="0" w:type="dxa"/>
            <w:left w:w="0" w:type="dxa"/>
            <w:bottom w:w="0" w:type="dxa"/>
            <w:right w:w="0" w:type="dxa"/>
          </w:tblCellMar>
        </w:tblPrEx>
        <w:trPr>
          <w:gridAfter w:val="1"/>
          <w:wAfter w:w="26" w:type="dxa"/>
          <w:trHeight w:val="1153" w:hRule="atLeast"/>
          <w:jc w:val="center"/>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28</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会计局</w:t>
            </w:r>
          </w:p>
        </w:tc>
        <w:tc>
          <w:tcPr>
            <w:tcW w:w="4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1、组织行政事业单位会计人员参加业务培训(内控报告编报)。</w:t>
            </w:r>
          </w:p>
          <w:p>
            <w:pPr>
              <w:widowControl/>
              <w:jc w:val="left"/>
              <w:textAlignment w:val="center"/>
              <w:rPr>
                <w:rFonts w:ascii="仿宋" w:hAnsi="仿宋" w:eastAsia="仿宋" w:cs="仿宋"/>
                <w:color w:val="000000"/>
                <w:sz w:val="24"/>
              </w:rPr>
            </w:pPr>
          </w:p>
        </w:tc>
        <w:tc>
          <w:tcPr>
            <w:tcW w:w="7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1、邀请专家通过线上或线下的方式对内部控制报告的相关政策制度、报告编制、软件操作进行讲解。</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2、做好与财政相关报表数据衔接工作。</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sz w:val="24"/>
              </w:rPr>
              <w:t>3、指导会计人员撰写内控报告。</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王鹏</w:t>
            </w:r>
          </w:p>
        </w:tc>
      </w:tr>
    </w:tbl>
    <w:p/>
    <w:sectPr>
      <w:footerReference r:id="rId3" w:type="default"/>
      <w:pgSz w:w="16838" w:h="11906" w:orient="landscape"/>
      <w:pgMar w:top="1800" w:right="1440" w:bottom="1560" w:left="1440"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5157858"/>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55D73"/>
    <w:multiLevelType w:val="singleLevel"/>
    <w:tmpl w:val="A4B55D73"/>
    <w:lvl w:ilvl="0" w:tentative="0">
      <w:start w:val="1"/>
      <w:numFmt w:val="decimal"/>
      <w:suff w:val="nothing"/>
      <w:lvlText w:val="%1、"/>
      <w:lvlJc w:val="left"/>
    </w:lvl>
  </w:abstractNum>
  <w:abstractNum w:abstractNumId="1">
    <w:nsid w:val="A921451B"/>
    <w:multiLevelType w:val="singleLevel"/>
    <w:tmpl w:val="A921451B"/>
    <w:lvl w:ilvl="0" w:tentative="0">
      <w:start w:val="1"/>
      <w:numFmt w:val="decimal"/>
      <w:suff w:val="nothing"/>
      <w:lvlText w:val="%1、"/>
      <w:lvlJc w:val="left"/>
    </w:lvl>
  </w:abstractNum>
  <w:abstractNum w:abstractNumId="2">
    <w:nsid w:val="AFE4A004"/>
    <w:multiLevelType w:val="singleLevel"/>
    <w:tmpl w:val="AFE4A004"/>
    <w:lvl w:ilvl="0" w:tentative="0">
      <w:start w:val="1"/>
      <w:numFmt w:val="decimal"/>
      <w:suff w:val="nothing"/>
      <w:lvlText w:val="%1、"/>
      <w:lvlJc w:val="left"/>
    </w:lvl>
  </w:abstractNum>
  <w:abstractNum w:abstractNumId="3">
    <w:nsid w:val="C85BCC6C"/>
    <w:multiLevelType w:val="singleLevel"/>
    <w:tmpl w:val="C85BCC6C"/>
    <w:lvl w:ilvl="0" w:tentative="0">
      <w:start w:val="1"/>
      <w:numFmt w:val="decimal"/>
      <w:suff w:val="nothing"/>
      <w:lvlText w:val="%1、"/>
      <w:lvlJc w:val="left"/>
    </w:lvl>
  </w:abstractNum>
  <w:abstractNum w:abstractNumId="4">
    <w:nsid w:val="DED6162D"/>
    <w:multiLevelType w:val="singleLevel"/>
    <w:tmpl w:val="DED6162D"/>
    <w:lvl w:ilvl="0" w:tentative="0">
      <w:start w:val="1"/>
      <w:numFmt w:val="decimal"/>
      <w:suff w:val="nothing"/>
      <w:lvlText w:val="%1、"/>
      <w:lvlJc w:val="left"/>
    </w:lvl>
  </w:abstractNum>
  <w:abstractNum w:abstractNumId="5">
    <w:nsid w:val="E7B4ADDE"/>
    <w:multiLevelType w:val="singleLevel"/>
    <w:tmpl w:val="E7B4ADDE"/>
    <w:lvl w:ilvl="0" w:tentative="0">
      <w:start w:val="1"/>
      <w:numFmt w:val="decimal"/>
      <w:suff w:val="nothing"/>
      <w:lvlText w:val="%1、"/>
      <w:lvlJc w:val="left"/>
    </w:lvl>
  </w:abstractNum>
  <w:abstractNum w:abstractNumId="6">
    <w:nsid w:val="EB64A744"/>
    <w:multiLevelType w:val="singleLevel"/>
    <w:tmpl w:val="EB64A744"/>
    <w:lvl w:ilvl="0" w:tentative="0">
      <w:start w:val="1"/>
      <w:numFmt w:val="decimal"/>
      <w:suff w:val="nothing"/>
      <w:lvlText w:val="%1、"/>
      <w:lvlJc w:val="left"/>
    </w:lvl>
  </w:abstractNum>
  <w:abstractNum w:abstractNumId="7">
    <w:nsid w:val="F1ADBE73"/>
    <w:multiLevelType w:val="singleLevel"/>
    <w:tmpl w:val="F1ADBE73"/>
    <w:lvl w:ilvl="0" w:tentative="0">
      <w:start w:val="1"/>
      <w:numFmt w:val="decimal"/>
      <w:suff w:val="nothing"/>
      <w:lvlText w:val="%1、"/>
      <w:lvlJc w:val="left"/>
    </w:lvl>
  </w:abstractNum>
  <w:abstractNum w:abstractNumId="8">
    <w:nsid w:val="0C425B45"/>
    <w:multiLevelType w:val="singleLevel"/>
    <w:tmpl w:val="0C425B45"/>
    <w:lvl w:ilvl="0" w:tentative="0">
      <w:start w:val="3"/>
      <w:numFmt w:val="decimal"/>
      <w:suff w:val="nothing"/>
      <w:lvlText w:val="%1、"/>
      <w:lvlJc w:val="left"/>
    </w:lvl>
  </w:abstractNum>
  <w:abstractNum w:abstractNumId="9">
    <w:nsid w:val="4076136E"/>
    <w:multiLevelType w:val="singleLevel"/>
    <w:tmpl w:val="4076136E"/>
    <w:lvl w:ilvl="0" w:tentative="0">
      <w:start w:val="1"/>
      <w:numFmt w:val="decimal"/>
      <w:suff w:val="nothing"/>
      <w:lvlText w:val="%1、"/>
      <w:lvlJc w:val="left"/>
    </w:lvl>
  </w:abstractNum>
  <w:abstractNum w:abstractNumId="10">
    <w:nsid w:val="45C4BC65"/>
    <w:multiLevelType w:val="singleLevel"/>
    <w:tmpl w:val="45C4BC65"/>
    <w:lvl w:ilvl="0" w:tentative="0">
      <w:start w:val="1"/>
      <w:numFmt w:val="decimal"/>
      <w:suff w:val="nothing"/>
      <w:lvlText w:val="%1、"/>
      <w:lvlJc w:val="left"/>
    </w:lvl>
  </w:abstractNum>
  <w:abstractNum w:abstractNumId="11">
    <w:nsid w:val="4B6177C6"/>
    <w:multiLevelType w:val="singleLevel"/>
    <w:tmpl w:val="4B6177C6"/>
    <w:lvl w:ilvl="0" w:tentative="0">
      <w:start w:val="1"/>
      <w:numFmt w:val="decimal"/>
      <w:suff w:val="nothing"/>
      <w:lvlText w:val="%1、"/>
      <w:lvlJc w:val="left"/>
    </w:lvl>
  </w:abstractNum>
  <w:abstractNum w:abstractNumId="12">
    <w:nsid w:val="5AE02160"/>
    <w:multiLevelType w:val="singleLevel"/>
    <w:tmpl w:val="5AE02160"/>
    <w:lvl w:ilvl="0" w:tentative="0">
      <w:start w:val="1"/>
      <w:numFmt w:val="decimal"/>
      <w:suff w:val="nothing"/>
      <w:lvlText w:val="%1、"/>
      <w:lvlJc w:val="left"/>
    </w:lvl>
  </w:abstractNum>
  <w:abstractNum w:abstractNumId="13">
    <w:nsid w:val="60A8EE65"/>
    <w:multiLevelType w:val="singleLevel"/>
    <w:tmpl w:val="60A8EE65"/>
    <w:lvl w:ilvl="0" w:tentative="0">
      <w:start w:val="1"/>
      <w:numFmt w:val="decimal"/>
      <w:suff w:val="nothing"/>
      <w:lvlText w:val="%1、"/>
      <w:lvlJc w:val="left"/>
    </w:lvl>
  </w:abstractNum>
  <w:abstractNum w:abstractNumId="14">
    <w:nsid w:val="644D5BE7"/>
    <w:multiLevelType w:val="singleLevel"/>
    <w:tmpl w:val="644D5BE7"/>
    <w:lvl w:ilvl="0" w:tentative="0">
      <w:start w:val="1"/>
      <w:numFmt w:val="decimal"/>
      <w:suff w:val="nothing"/>
      <w:lvlText w:val="%1、"/>
      <w:lvlJc w:val="left"/>
    </w:lvl>
  </w:abstractNum>
  <w:abstractNum w:abstractNumId="15">
    <w:nsid w:val="71A4B111"/>
    <w:multiLevelType w:val="singleLevel"/>
    <w:tmpl w:val="71A4B111"/>
    <w:lvl w:ilvl="0" w:tentative="0">
      <w:start w:val="1"/>
      <w:numFmt w:val="decimal"/>
      <w:suff w:val="nothing"/>
      <w:lvlText w:val="%1、"/>
      <w:lvlJc w:val="left"/>
    </w:lvl>
  </w:abstractNum>
  <w:abstractNum w:abstractNumId="16">
    <w:nsid w:val="7BD1B2E1"/>
    <w:multiLevelType w:val="singleLevel"/>
    <w:tmpl w:val="7BD1B2E1"/>
    <w:lvl w:ilvl="0" w:tentative="0">
      <w:start w:val="1"/>
      <w:numFmt w:val="decimal"/>
      <w:suff w:val="nothing"/>
      <w:lvlText w:val="%1、"/>
      <w:lvlJc w:val="left"/>
    </w:lvl>
  </w:abstractNum>
  <w:num w:numId="1">
    <w:abstractNumId w:val="14"/>
  </w:num>
  <w:num w:numId="2">
    <w:abstractNumId w:val="8"/>
  </w:num>
  <w:num w:numId="3">
    <w:abstractNumId w:val="9"/>
  </w:num>
  <w:num w:numId="4">
    <w:abstractNumId w:val="11"/>
  </w:num>
  <w:num w:numId="5">
    <w:abstractNumId w:val="16"/>
  </w:num>
  <w:num w:numId="6">
    <w:abstractNumId w:val="15"/>
  </w:num>
  <w:num w:numId="7">
    <w:abstractNumId w:val="10"/>
  </w:num>
  <w:num w:numId="8">
    <w:abstractNumId w:val="2"/>
  </w:num>
  <w:num w:numId="9">
    <w:abstractNumId w:val="6"/>
  </w:num>
  <w:num w:numId="10">
    <w:abstractNumId w:val="5"/>
  </w:num>
  <w:num w:numId="11">
    <w:abstractNumId w:val="4"/>
  </w:num>
  <w:num w:numId="12">
    <w:abstractNumId w:val="12"/>
  </w:num>
  <w:num w:numId="13">
    <w:abstractNumId w:val="1"/>
  </w:num>
  <w:num w:numId="14">
    <w:abstractNumId w:val="3"/>
  </w:num>
  <w:num w:numId="15">
    <w:abstractNumId w:val="0"/>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s>
  <w:rsids>
    <w:rsidRoot w:val="49111924"/>
    <w:rsid w:val="0018208C"/>
    <w:rsid w:val="001F09C8"/>
    <w:rsid w:val="00305567"/>
    <w:rsid w:val="007C0F2D"/>
    <w:rsid w:val="00914D72"/>
    <w:rsid w:val="00AD3AF8"/>
    <w:rsid w:val="02634826"/>
    <w:rsid w:val="02DC5CB3"/>
    <w:rsid w:val="02ED4364"/>
    <w:rsid w:val="030D0562"/>
    <w:rsid w:val="069A408F"/>
    <w:rsid w:val="09A17C56"/>
    <w:rsid w:val="0A5C592B"/>
    <w:rsid w:val="0A7B2255"/>
    <w:rsid w:val="0ABA1B63"/>
    <w:rsid w:val="0AF0679F"/>
    <w:rsid w:val="0AFD1169"/>
    <w:rsid w:val="0B602C14"/>
    <w:rsid w:val="0C122745"/>
    <w:rsid w:val="0C1E7BF8"/>
    <w:rsid w:val="100F7986"/>
    <w:rsid w:val="140E413A"/>
    <w:rsid w:val="14270D58"/>
    <w:rsid w:val="15D2382E"/>
    <w:rsid w:val="15D53161"/>
    <w:rsid w:val="18EB4A4A"/>
    <w:rsid w:val="1ADA2FC8"/>
    <w:rsid w:val="1B7B07EC"/>
    <w:rsid w:val="1EC024D4"/>
    <w:rsid w:val="206102CC"/>
    <w:rsid w:val="21D50045"/>
    <w:rsid w:val="22631AF5"/>
    <w:rsid w:val="23711FEF"/>
    <w:rsid w:val="23EE7AB9"/>
    <w:rsid w:val="24A81A41"/>
    <w:rsid w:val="256718FC"/>
    <w:rsid w:val="2718121A"/>
    <w:rsid w:val="27351CB2"/>
    <w:rsid w:val="29B13146"/>
    <w:rsid w:val="2A027E45"/>
    <w:rsid w:val="2B512C92"/>
    <w:rsid w:val="2CE47C71"/>
    <w:rsid w:val="3002294D"/>
    <w:rsid w:val="304A3722"/>
    <w:rsid w:val="31230DCD"/>
    <w:rsid w:val="33575837"/>
    <w:rsid w:val="33C44425"/>
    <w:rsid w:val="34014CC9"/>
    <w:rsid w:val="36985DB9"/>
    <w:rsid w:val="36F40D85"/>
    <w:rsid w:val="38B844F1"/>
    <w:rsid w:val="39FF0D34"/>
    <w:rsid w:val="3AA54601"/>
    <w:rsid w:val="3ACE7FFB"/>
    <w:rsid w:val="3D956BAE"/>
    <w:rsid w:val="3DB01C3A"/>
    <w:rsid w:val="40CF0629"/>
    <w:rsid w:val="418036D2"/>
    <w:rsid w:val="473D0A98"/>
    <w:rsid w:val="483C181D"/>
    <w:rsid w:val="49111924"/>
    <w:rsid w:val="4A576139"/>
    <w:rsid w:val="4AC22FAD"/>
    <w:rsid w:val="4B531E57"/>
    <w:rsid w:val="4C8122B9"/>
    <w:rsid w:val="4CCA7EF7"/>
    <w:rsid w:val="4CFD207A"/>
    <w:rsid w:val="4F4F07A8"/>
    <w:rsid w:val="4FF9121F"/>
    <w:rsid w:val="509C36FE"/>
    <w:rsid w:val="51785946"/>
    <w:rsid w:val="51DD247A"/>
    <w:rsid w:val="528F23FD"/>
    <w:rsid w:val="54085ED4"/>
    <w:rsid w:val="54F17EA3"/>
    <w:rsid w:val="55967510"/>
    <w:rsid w:val="570B2E35"/>
    <w:rsid w:val="5DA10BF8"/>
    <w:rsid w:val="5F887EC9"/>
    <w:rsid w:val="5F944AC0"/>
    <w:rsid w:val="60F33A68"/>
    <w:rsid w:val="660109D5"/>
    <w:rsid w:val="66081D64"/>
    <w:rsid w:val="66C35C8B"/>
    <w:rsid w:val="690E58E3"/>
    <w:rsid w:val="694714CF"/>
    <w:rsid w:val="69961435"/>
    <w:rsid w:val="6A4B66C3"/>
    <w:rsid w:val="6AE86B7B"/>
    <w:rsid w:val="6B6F018F"/>
    <w:rsid w:val="6D6F26C8"/>
    <w:rsid w:val="6E3077EF"/>
    <w:rsid w:val="71C32FE3"/>
    <w:rsid w:val="722A671B"/>
    <w:rsid w:val="73D54670"/>
    <w:rsid w:val="7603456E"/>
    <w:rsid w:val="77A45665"/>
    <w:rsid w:val="78984C45"/>
    <w:rsid w:val="78AE186E"/>
    <w:rsid w:val="79112886"/>
    <w:rsid w:val="79C618C2"/>
    <w:rsid w:val="7D7072FC"/>
    <w:rsid w:val="7DB54128"/>
    <w:rsid w:val="7FD12B85"/>
    <w:rsid w:val="7FDF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2"/>
    <w:qFormat/>
    <w:uiPriority w:val="0"/>
    <w:pPr>
      <w:spacing w:after="120"/>
      <w:ind w:left="420" w:leftChars="200"/>
    </w:pPr>
  </w:style>
  <w:style w:type="paragraph" w:styleId="4">
    <w:name w:val="Normal Indent"/>
    <w:basedOn w:val="1"/>
    <w:unhideWhenUsed/>
    <w:qFormat/>
    <w:uiPriority w:val="99"/>
    <w:pPr>
      <w:ind w:firstLine="420" w:firstLineChars="200"/>
    </w:pPr>
  </w:style>
  <w:style w:type="paragraph" w:styleId="5">
    <w:name w:val="footer"/>
    <w:basedOn w:val="1"/>
    <w:link w:val="11"/>
    <w:uiPriority w:val="99"/>
    <w:pPr>
      <w:tabs>
        <w:tab w:val="center" w:pos="4153"/>
        <w:tab w:val="right" w:pos="8306"/>
      </w:tabs>
      <w:snapToGrid w:val="0"/>
      <w:jc w:val="left"/>
    </w:pPr>
    <w:rPr>
      <w:sz w:val="18"/>
      <w:szCs w:val="18"/>
    </w:rPr>
  </w:style>
  <w:style w:type="paragraph" w:styleId="6">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character" w:customStyle="1" w:styleId="10">
    <w:name w:val="页眉 字符"/>
    <w:basedOn w:val="9"/>
    <w:link w:val="6"/>
    <w:uiPriority w:val="0"/>
    <w:rPr>
      <w:rFonts w:ascii="Times New Roman" w:hAnsi="Times New Roman" w:eastAsia="宋体" w:cs="Times New Roman"/>
      <w:kern w:val="2"/>
      <w:sz w:val="18"/>
      <w:szCs w:val="18"/>
    </w:rPr>
  </w:style>
  <w:style w:type="character" w:customStyle="1" w:styleId="11">
    <w:name w:val="页脚 字符"/>
    <w:basedOn w:val="9"/>
    <w:link w:val="5"/>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13</Pages>
  <Words>7383</Words>
  <Characters>7535</Characters>
  <Lines>56</Lines>
  <Paragraphs>15</Paragraphs>
  <TotalTime>37</TotalTime>
  <ScaleCrop>false</ScaleCrop>
  <LinksUpToDate>false</LinksUpToDate>
  <CharactersWithSpaces>7578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2023-01-31T04:46:00Z</dcterms:created>
  <dc:creator>其叶蓁蓁</dc:creator>
  <cp:lastModifiedBy>WI</cp:lastModifiedBy>
  <cp:lastPrinted>2023-02-02T02:44:00Z</cp:lastPrinted>
  <dcterms:modified xsi:type="dcterms:W3CDTF">2024-05-24T08:46:07Z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32AD6B79D54740F6B98A448D51FE01F0_13</vt:lpwstr>
  </property>
</Properties>
</file>