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4319" w:type="dxa"/>
        <w:tblInd w:w="0" w:type="dxa"/>
        <w:tblLayout w:type="fixed"/>
        <w:tblCellMar>
          <w:top w:w="0" w:type="dxa"/>
          <w:left w:w="0" w:type="dxa"/>
          <w:bottom w:w="0" w:type="dxa"/>
          <w:right w:w="0" w:type="dxa"/>
        </w:tblCellMar>
      </w:tblPr>
      <w:tblGrid>
        <w:gridCol w:w="619"/>
        <w:gridCol w:w="846"/>
        <w:gridCol w:w="3641"/>
        <w:gridCol w:w="8092"/>
        <w:gridCol w:w="1106"/>
        <w:gridCol w:w="15"/>
      </w:tblGrid>
      <w:tr>
        <w:tblPrEx>
          <w:tblCellMar>
            <w:top w:w="0" w:type="dxa"/>
            <w:left w:w="0" w:type="dxa"/>
            <w:bottom w:w="0" w:type="dxa"/>
            <w:right w:w="0" w:type="dxa"/>
          </w:tblCellMar>
        </w:tblPrEx>
        <w:trPr>
          <w:trHeight w:val="1123" w:hRule="atLeast"/>
        </w:trPr>
        <w:tc>
          <w:tcPr>
            <w:tcW w:w="14319"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华文中宋" w:hAnsi="华文中宋" w:eastAsia="华文中宋" w:cs="华文中宋"/>
                <w:color w:val="000000"/>
                <w:sz w:val="44"/>
                <w:szCs w:val="44"/>
              </w:rPr>
            </w:pPr>
            <w:bookmarkStart w:id="0" w:name="_GoBack"/>
            <w:bookmarkEnd w:id="0"/>
            <w:r>
              <w:rPr>
                <w:rFonts w:hint="eastAsia" w:ascii="华文中宋" w:hAnsi="华文中宋" w:eastAsia="华文中宋" w:cs="华文中宋"/>
                <w:color w:val="000000"/>
                <w:kern w:val="0"/>
                <w:sz w:val="44"/>
                <w:szCs w:val="44"/>
                <w:lang w:bidi="ar"/>
              </w:rPr>
              <w:t>随县财政局</w:t>
            </w:r>
            <w:r>
              <w:rPr>
                <w:rFonts w:hint="eastAsia" w:ascii="宋体" w:hAnsi="宋体" w:cs="华文中宋"/>
                <w:color w:val="000000"/>
                <w:kern w:val="0"/>
                <w:sz w:val="44"/>
                <w:szCs w:val="44"/>
                <w:lang w:bidi="ar"/>
              </w:rPr>
              <w:t>2025</w:t>
            </w:r>
            <w:r>
              <w:rPr>
                <w:rFonts w:hint="eastAsia" w:ascii="华文中宋" w:hAnsi="华文中宋" w:eastAsia="华文中宋" w:cs="华文中宋"/>
                <w:color w:val="000000"/>
                <w:kern w:val="0"/>
                <w:sz w:val="44"/>
                <w:szCs w:val="44"/>
                <w:lang w:bidi="ar"/>
              </w:rPr>
              <w:t>年重点工作任务清单</w:t>
            </w:r>
          </w:p>
        </w:tc>
      </w:tr>
      <w:tr>
        <w:tblPrEx>
          <w:tblCellMar>
            <w:top w:w="0" w:type="dxa"/>
            <w:left w:w="0" w:type="dxa"/>
            <w:bottom w:w="0" w:type="dxa"/>
            <w:right w:w="0" w:type="dxa"/>
          </w:tblCellMar>
        </w:tblPrEx>
        <w:trPr>
          <w:gridAfter w:val="1"/>
          <w:wAfter w:w="15" w:type="dxa"/>
          <w:trHeight w:val="690"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黑体" w:eastAsia="黑体" w:cs="仿宋"/>
                <w:color w:val="000000"/>
                <w:sz w:val="24"/>
              </w:rPr>
            </w:pPr>
            <w:r>
              <w:rPr>
                <w:rFonts w:hint="eastAsia" w:ascii="黑体" w:hAnsi="黑体" w:eastAsia="黑体" w:cs="仿宋"/>
                <w:color w:val="000000"/>
                <w:kern w:val="0"/>
                <w:sz w:val="24"/>
                <w:lang w:bidi="ar"/>
              </w:rPr>
              <w:t>序号</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pPr>
              <w:widowControl/>
              <w:jc w:val="center"/>
              <w:textAlignment w:val="center"/>
              <w:rPr>
                <w:rFonts w:hint="eastAsia" w:ascii="黑体" w:hAnsi="黑体" w:eastAsia="黑体" w:cs="仿宋"/>
                <w:color w:val="000000"/>
                <w:sz w:val="24"/>
              </w:rPr>
            </w:pPr>
            <w:r>
              <w:rPr>
                <w:rFonts w:hint="eastAsia" w:ascii="黑体" w:hAnsi="黑体" w:eastAsia="黑体" w:cs="仿宋"/>
                <w:color w:val="000000"/>
                <w:kern w:val="0"/>
                <w:sz w:val="18"/>
                <w:szCs w:val="18"/>
                <w:lang w:bidi="ar"/>
              </w:rPr>
              <w:t>（股室）</w:t>
            </w:r>
          </w:p>
        </w:tc>
        <w:tc>
          <w:tcPr>
            <w:tcW w:w="3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重点工作任务</w:t>
            </w:r>
          </w:p>
        </w:tc>
        <w:tc>
          <w:tcPr>
            <w:tcW w:w="8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具体落实措施</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黑体" w:eastAsia="黑体" w:cs="仿宋"/>
                <w:color w:val="000000"/>
                <w:sz w:val="24"/>
              </w:rPr>
            </w:pPr>
            <w:r>
              <w:rPr>
                <w:rFonts w:hint="eastAsia" w:ascii="黑体" w:hAnsi="黑体" w:eastAsia="黑体" w:cs="仿宋"/>
                <w:color w:val="000000"/>
                <w:kern w:val="0"/>
                <w:sz w:val="24"/>
                <w:lang w:bidi="ar"/>
              </w:rPr>
              <w:t>责任领导</w:t>
            </w:r>
          </w:p>
        </w:tc>
      </w:tr>
      <w:tr>
        <w:tblPrEx>
          <w:tblCellMar>
            <w:top w:w="0" w:type="dxa"/>
            <w:left w:w="0" w:type="dxa"/>
            <w:bottom w:w="0" w:type="dxa"/>
            <w:right w:w="0" w:type="dxa"/>
          </w:tblCellMar>
        </w:tblPrEx>
        <w:trPr>
          <w:gridAfter w:val="1"/>
          <w:wAfter w:w="15" w:type="dxa"/>
          <w:trHeight w:val="90"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办公室（法规税政股）</w:t>
            </w:r>
          </w:p>
        </w:tc>
        <w:tc>
          <w:tcPr>
            <w:tcW w:w="3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rPr>
              <w:t>1.稳步提高公文处理能力水平；</w:t>
            </w:r>
          </w:p>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rPr>
              <w:t>2.持续推进平安建设落实落细；</w:t>
            </w:r>
          </w:p>
          <w:p>
            <w:pPr>
              <w:widowControl/>
              <w:jc w:val="left"/>
              <w:textAlignment w:val="center"/>
              <w:rPr>
                <w:rFonts w:hint="eastAsia" w:ascii="仿宋" w:hAnsi="仿宋" w:eastAsia="仿宋" w:cs="仿宋"/>
                <w:color w:val="000000"/>
                <w:sz w:val="24"/>
              </w:rPr>
            </w:pPr>
            <w:r>
              <w:rPr>
                <w:rFonts w:ascii="仿宋" w:hAnsi="仿宋" w:eastAsia="仿宋" w:cs="仿宋"/>
                <w:color w:val="000000"/>
                <w:sz w:val="24"/>
              </w:rPr>
              <w:t>3.</w:t>
            </w:r>
            <w:r>
              <w:rPr>
                <w:rFonts w:hint="eastAsia" w:ascii="仿宋" w:hAnsi="仿宋" w:eastAsia="仿宋" w:cs="仿宋"/>
                <w:color w:val="000000"/>
                <w:sz w:val="24"/>
              </w:rPr>
              <w:t>精准提升后勤保障服务效能；</w:t>
            </w:r>
          </w:p>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rPr>
              <w:t>4.高质推动议案提案办理办实。</w:t>
            </w:r>
          </w:p>
        </w:tc>
        <w:tc>
          <w:tcPr>
            <w:tcW w:w="8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color w:val="000000"/>
                <w:sz w:val="24"/>
              </w:rPr>
            </w:pPr>
            <w:r>
              <w:rPr>
                <w:rFonts w:hint="eastAsia" w:ascii="仿宋" w:hAnsi="仿宋" w:eastAsia="仿宋" w:cs="仿宋"/>
                <w:color w:val="000000"/>
                <w:sz w:val="24"/>
              </w:rPr>
              <w:t>1.规范公文处理程序，做好来文来电的收发、登记和传阅工作；严把文稿质量关，精益求精做好各类综合文稿起草工作；做好上级约稿及信息报送工作，坚持“逢约必报”原则，广泛宣传随县财政工作亮点和经验成效</w:t>
            </w:r>
            <w:r>
              <w:rPr>
                <w:rFonts w:hint="eastAsia" w:ascii="仿宋" w:hAnsi="仿宋" w:eastAsia="仿宋" w:cs="仿宋"/>
                <w:color w:val="000000"/>
                <w:kern w:val="0"/>
                <w:sz w:val="24"/>
                <w:lang w:bidi="ar"/>
              </w:rPr>
              <w:t>。</w:t>
            </w:r>
          </w:p>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rPr>
              <w:t>2.深入推进法治宣传教育，创新普法形式，持续推动学法普法常态化，提高干部职工法律水平；扎实推进平安建设，做好信访维稳工作；规范财政执法行为，加强重大行政执法决定和政策文件法治审核</w:t>
            </w:r>
            <w:r>
              <w:rPr>
                <w:rFonts w:hint="eastAsia" w:ascii="仿宋" w:hAnsi="仿宋" w:eastAsia="仿宋" w:cs="仿宋"/>
                <w:color w:val="000000"/>
                <w:kern w:val="0"/>
                <w:sz w:val="24"/>
                <w:lang w:bidi="ar"/>
              </w:rPr>
              <w:t>。</w:t>
            </w:r>
          </w:p>
          <w:p>
            <w:pPr>
              <w:widowControl/>
              <w:jc w:val="left"/>
              <w:textAlignment w:val="center"/>
              <w:rPr>
                <w:rFonts w:hint="eastAsia" w:ascii="仿宋" w:hAnsi="仿宋" w:eastAsia="仿宋" w:cs="仿宋"/>
                <w:color w:val="000000"/>
                <w:spacing w:val="-12"/>
                <w:sz w:val="24"/>
              </w:rPr>
            </w:pPr>
            <w:r>
              <w:rPr>
                <w:rFonts w:hint="eastAsia" w:ascii="仿宋" w:hAnsi="仿宋" w:eastAsia="仿宋" w:cs="仿宋"/>
                <w:color w:val="000000"/>
                <w:sz w:val="24"/>
              </w:rPr>
              <w:t>3.</w:t>
            </w:r>
            <w:r>
              <w:rPr>
                <w:rFonts w:ascii="仿宋" w:hAnsi="仿宋" w:eastAsia="仿宋" w:cs="仿宋"/>
                <w:color w:val="000000"/>
                <w:spacing w:val="-12"/>
                <w:sz w:val="24"/>
              </w:rPr>
              <w:t>认真执行公务接待管理有关制度规定</w:t>
            </w:r>
            <w:r>
              <w:rPr>
                <w:rFonts w:hint="eastAsia" w:ascii="仿宋" w:hAnsi="仿宋" w:eastAsia="仿宋" w:cs="仿宋"/>
                <w:color w:val="000000"/>
                <w:spacing w:val="-12"/>
                <w:sz w:val="24"/>
              </w:rPr>
              <w:t>，持续做好机关食堂及后勤保障，抓牢抓实安全生产工作，</w:t>
            </w:r>
            <w:r>
              <w:rPr>
                <w:rFonts w:ascii="仿宋" w:hAnsi="仿宋" w:eastAsia="仿宋" w:cs="仿宋"/>
                <w:color w:val="000000"/>
                <w:spacing w:val="-12"/>
                <w:sz w:val="24"/>
              </w:rPr>
              <w:t>严格公务用车管理。</w:t>
            </w:r>
            <w:r>
              <w:rPr>
                <w:rFonts w:hint="eastAsia" w:ascii="仿宋" w:hAnsi="仿宋" w:eastAsia="仿宋" w:cs="仿宋"/>
                <w:color w:val="000000"/>
                <w:spacing w:val="-12"/>
                <w:sz w:val="24"/>
              </w:rPr>
              <w:t>落实</w:t>
            </w:r>
            <w:r>
              <w:rPr>
                <w:rFonts w:ascii="仿宋" w:hAnsi="仿宋" w:eastAsia="仿宋" w:cs="仿宋"/>
                <w:color w:val="000000"/>
                <w:spacing w:val="-12"/>
                <w:sz w:val="24"/>
              </w:rPr>
              <w:t>习惯过“紧日子”</w:t>
            </w:r>
            <w:r>
              <w:rPr>
                <w:rFonts w:hint="eastAsia" w:ascii="仿宋" w:hAnsi="仿宋" w:eastAsia="仿宋" w:cs="仿宋"/>
                <w:color w:val="000000"/>
                <w:spacing w:val="-12"/>
                <w:sz w:val="24"/>
              </w:rPr>
              <w:t>相关文件精神</w:t>
            </w:r>
            <w:r>
              <w:rPr>
                <w:rFonts w:ascii="仿宋" w:hAnsi="仿宋" w:eastAsia="仿宋" w:cs="仿宋"/>
                <w:color w:val="000000"/>
                <w:spacing w:val="-12"/>
                <w:sz w:val="24"/>
              </w:rPr>
              <w:t>，</w:t>
            </w:r>
            <w:r>
              <w:rPr>
                <w:rFonts w:hint="eastAsia" w:ascii="仿宋" w:hAnsi="仿宋" w:eastAsia="仿宋" w:cs="仿宋"/>
                <w:color w:val="000000"/>
                <w:spacing w:val="-12"/>
                <w:sz w:val="24"/>
              </w:rPr>
              <w:t>规范财务支出流程，</w:t>
            </w:r>
            <w:r>
              <w:rPr>
                <w:rFonts w:ascii="仿宋" w:hAnsi="仿宋" w:eastAsia="仿宋" w:cs="仿宋"/>
                <w:color w:val="000000"/>
                <w:spacing w:val="-12"/>
                <w:sz w:val="24"/>
              </w:rPr>
              <w:t>提高资金使用效益。严格落实保密管理各项规定，做好办公室档案管理工作</w:t>
            </w:r>
            <w:r>
              <w:rPr>
                <w:rFonts w:hint="eastAsia" w:ascii="仿宋" w:hAnsi="仿宋" w:eastAsia="仿宋" w:cs="仿宋"/>
                <w:color w:val="000000"/>
                <w:spacing w:val="-12"/>
                <w:kern w:val="0"/>
                <w:sz w:val="24"/>
                <w:lang w:bidi="ar"/>
              </w:rPr>
              <w:t>。</w:t>
            </w:r>
          </w:p>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rPr>
              <w:t>4.做好上传下达，围绕局党组的中心工作和重点工作，加强统筹协调。认真办好人大代表建议和政协委员提案，提升办结率、见面率、反馈率、落实率和满意率。</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王  鹏</w:t>
            </w:r>
          </w:p>
        </w:tc>
      </w:tr>
      <w:tr>
        <w:tblPrEx>
          <w:tblCellMar>
            <w:top w:w="0" w:type="dxa"/>
            <w:left w:w="0" w:type="dxa"/>
            <w:bottom w:w="0" w:type="dxa"/>
            <w:right w:w="0" w:type="dxa"/>
          </w:tblCellMar>
        </w:tblPrEx>
        <w:trPr>
          <w:gridAfter w:val="1"/>
          <w:wAfter w:w="15" w:type="dxa"/>
          <w:trHeight w:val="2995"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综合股</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1.完成2025年土地出让收入征缴目标任务，做好土地开发整理项目、增减挂钩项目、耕地流出整改项目资金拨付工作；</w:t>
            </w:r>
          </w:p>
          <w:p>
            <w:pPr>
              <w:widowControl/>
              <w:spacing w:line="28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2.拨付2025年城镇低收入家庭住房租赁补贴及2025年就地城镇化政策激励房票资金；</w:t>
            </w:r>
          </w:p>
          <w:p>
            <w:pPr>
              <w:widowControl/>
              <w:spacing w:line="28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3.做好2024年度中央专项彩票公益金支持地方社会公益事业发展资金拨付及绩效评价工作；</w:t>
            </w:r>
          </w:p>
          <w:p>
            <w:pPr>
              <w:widowControl/>
              <w:spacing w:line="28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4.做好随县公务员工资津贴补贴政策规范日常检查工作。</w:t>
            </w:r>
          </w:p>
        </w:tc>
        <w:tc>
          <w:tcPr>
            <w:tcW w:w="8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rPr>
              <w:t>1.严格执行土地出让收入管理规定，按照土地出让收支预算计划，进行土地征收、回购、收益返还等资料的收集、汇总、审批及支付。</w:t>
            </w:r>
          </w:p>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rPr>
              <w:t>2.主动与资金使用单位沟通协调，落实主体责任，加快支出进程，提高支出的精准度和效果。</w:t>
            </w:r>
          </w:p>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rPr>
              <w:t>3.做好住房保障安居工程、老旧小区改造、城中村改造等项目申报以及城乡困难家庭住房租赁补贴资金发放工作。</w:t>
            </w:r>
          </w:p>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rPr>
              <w:t>4.做好公务员工资津贴补贴政策落实工作。</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刘朝辉</w:t>
            </w:r>
          </w:p>
        </w:tc>
      </w:tr>
      <w:tr>
        <w:tblPrEx>
          <w:tblCellMar>
            <w:top w:w="0" w:type="dxa"/>
            <w:left w:w="0" w:type="dxa"/>
            <w:bottom w:w="0" w:type="dxa"/>
            <w:right w:w="0" w:type="dxa"/>
          </w:tblCellMar>
        </w:tblPrEx>
        <w:trPr>
          <w:gridAfter w:val="1"/>
          <w:wAfter w:w="15" w:type="dxa"/>
          <w:trHeight w:val="542"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黑体" w:hAnsi="黑体" w:eastAsia="黑体" w:cs="仿宋"/>
                <w:color w:val="000000"/>
                <w:kern w:val="0"/>
                <w:sz w:val="24"/>
                <w:lang w:bidi="ar"/>
              </w:rPr>
              <w:t>序号</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pPr>
              <w:widowControl/>
              <w:jc w:val="center"/>
              <w:textAlignment w:val="center"/>
              <w:rPr>
                <w:rFonts w:hint="eastAsia" w:ascii="仿宋" w:hAnsi="仿宋" w:eastAsia="仿宋" w:cs="仿宋"/>
                <w:color w:val="000000"/>
                <w:kern w:val="0"/>
                <w:sz w:val="24"/>
                <w:lang w:bidi="ar"/>
              </w:rPr>
            </w:pPr>
            <w:r>
              <w:rPr>
                <w:rFonts w:hint="eastAsia" w:ascii="黑体" w:hAnsi="黑体" w:eastAsia="黑体" w:cs="仿宋"/>
                <w:color w:val="000000"/>
                <w:kern w:val="0"/>
                <w:sz w:val="18"/>
                <w:szCs w:val="18"/>
                <w:lang w:bidi="ar"/>
              </w:rPr>
              <w:t>（股室）</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24"/>
              </w:rPr>
            </w:pPr>
            <w:r>
              <w:rPr>
                <w:rFonts w:hint="eastAsia" w:ascii="黑体" w:hAnsi="黑体" w:eastAsia="黑体" w:cs="仿宋"/>
                <w:color w:val="000000"/>
                <w:kern w:val="0"/>
                <w:sz w:val="24"/>
                <w:lang w:bidi="ar"/>
              </w:rPr>
              <w:t>重点工作任务</w:t>
            </w:r>
          </w:p>
        </w:tc>
        <w:tc>
          <w:tcPr>
            <w:tcW w:w="8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黑体" w:hAnsi="黑体" w:eastAsia="黑体" w:cs="仿宋"/>
                <w:color w:val="000000"/>
                <w:kern w:val="0"/>
                <w:sz w:val="24"/>
                <w:lang w:bidi="ar"/>
              </w:rPr>
              <w:t>具体落实措施</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黑体" w:hAnsi="黑体" w:eastAsia="黑体" w:cs="仿宋"/>
                <w:color w:val="000000"/>
                <w:kern w:val="0"/>
                <w:sz w:val="24"/>
                <w:lang w:bidi="ar"/>
              </w:rPr>
              <w:t>责任领导</w:t>
            </w:r>
          </w:p>
        </w:tc>
      </w:tr>
      <w:tr>
        <w:tblPrEx>
          <w:tblCellMar>
            <w:top w:w="0" w:type="dxa"/>
            <w:left w:w="0" w:type="dxa"/>
            <w:bottom w:w="0" w:type="dxa"/>
            <w:right w:w="0" w:type="dxa"/>
          </w:tblCellMar>
        </w:tblPrEx>
        <w:trPr>
          <w:gridAfter w:val="1"/>
          <w:wAfter w:w="15" w:type="dxa"/>
          <w:trHeight w:val="5175"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3</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预算股</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kern w:val="0"/>
                <w:sz w:val="24"/>
                <w:lang w:bidi="ar"/>
              </w:rPr>
              <w:t>做好</w:t>
            </w:r>
            <w:r>
              <w:rPr>
                <w:rFonts w:hint="eastAsia" w:ascii="仿宋" w:hAnsi="仿宋" w:eastAsia="仿宋" w:cs="仿宋"/>
                <w:color w:val="000000"/>
                <w:sz w:val="24"/>
              </w:rPr>
              <w:t>2025年预算内项目经费审批程序；</w:t>
            </w:r>
          </w:p>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kern w:val="0"/>
                <w:sz w:val="24"/>
                <w:lang w:bidi="ar"/>
              </w:rPr>
              <w:t>制作</w:t>
            </w:r>
            <w:r>
              <w:rPr>
                <w:rFonts w:hint="eastAsia" w:ascii="仿宋" w:hAnsi="仿宋" w:eastAsia="仿宋" w:cs="仿宋"/>
                <w:color w:val="000000"/>
                <w:sz w:val="24"/>
              </w:rPr>
              <w:t>2025年财政预算计划文本；</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3.做好2025年预算公开；</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4.做好2025年乡镇体制结算；</w:t>
            </w:r>
          </w:p>
          <w:p>
            <w:pPr>
              <w:pStyle w:val="8"/>
              <w:widowControl/>
              <w:shd w:val="clear" w:color="auto" w:fill="FFFFFF"/>
              <w:spacing w:before="0" w:beforeAutospacing="0" w:after="0" w:afterAutospacing="0"/>
              <w:rPr>
                <w:rFonts w:hint="eastAsia" w:ascii="仿宋" w:hAnsi="仿宋" w:eastAsia="仿宋" w:cs="仿宋"/>
                <w:color w:val="000000"/>
              </w:rPr>
            </w:pPr>
            <w:r>
              <w:rPr>
                <w:rFonts w:hint="eastAsia" w:ascii="仿宋" w:hAnsi="仿宋" w:eastAsia="仿宋" w:cs="仿宋"/>
                <w:color w:val="000000"/>
                <w:lang w:bidi="ar"/>
              </w:rPr>
              <w:t>5.做好对上立项争资；</w:t>
            </w:r>
          </w:p>
          <w:p>
            <w:pPr>
              <w:widowControl/>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6.做好股室指标结转工作；</w:t>
            </w:r>
          </w:p>
          <w:p>
            <w:pPr>
              <w:pStyle w:val="2"/>
              <w:ind w:firstLine="0" w:firstLineChars="0"/>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7.做好2025年部门预算批复和指标下达工作；</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8.做好2026年预算编制工作。</w:t>
            </w:r>
          </w:p>
        </w:tc>
        <w:tc>
          <w:tcPr>
            <w:tcW w:w="8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1.预算内项目经费审批程序。按《资金审批管理制度》拟定初步意见后报县政府审签执行</w:t>
            </w:r>
            <w:r>
              <w:rPr>
                <w:rFonts w:hint="eastAsia" w:ascii="仿宋" w:hAnsi="仿宋" w:eastAsia="仿宋" w:cs="仿宋"/>
                <w:color w:val="000000"/>
                <w:kern w:val="0"/>
                <w:sz w:val="24"/>
                <w:lang w:bidi="ar"/>
              </w:rPr>
              <w:t>。</w:t>
            </w:r>
          </w:p>
          <w:p>
            <w:pPr>
              <w:widowControl/>
              <w:spacing w:line="30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2.编制财政预算计划文本。根据人代会通过的预算草案，编制2025年财政预算白皮书，印刷成册并发至各预算单位</w:t>
            </w:r>
            <w:r>
              <w:rPr>
                <w:rFonts w:hint="eastAsia" w:ascii="仿宋" w:hAnsi="仿宋" w:eastAsia="仿宋" w:cs="仿宋"/>
                <w:color w:val="000000"/>
                <w:kern w:val="0"/>
                <w:sz w:val="24"/>
                <w:lang w:bidi="ar"/>
              </w:rPr>
              <w:t>。</w:t>
            </w:r>
          </w:p>
          <w:p>
            <w:pPr>
              <w:widowControl/>
              <w:spacing w:line="30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3.部门预算公开工作。按照上年公开要求统一预算公开模式和内容，督导预算单位依法做好预算信息公开工作，对预算单位完成情况实时通报，自觉接受各方监督</w:t>
            </w:r>
            <w:r>
              <w:rPr>
                <w:rFonts w:hint="eastAsia" w:ascii="仿宋" w:hAnsi="仿宋" w:eastAsia="仿宋" w:cs="仿宋"/>
                <w:color w:val="000000"/>
                <w:kern w:val="0"/>
                <w:sz w:val="24"/>
                <w:lang w:bidi="ar"/>
              </w:rPr>
              <w:t>。</w:t>
            </w:r>
          </w:p>
          <w:p>
            <w:pPr>
              <w:widowControl/>
              <w:spacing w:line="30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4.乡镇体制结算工作。根据各镇（场）第四轮财政体制测算情况，结合部分镇（场）实际，拨付各镇（场）调度资金，确保各镇（场）工作正常运转</w:t>
            </w:r>
            <w:r>
              <w:rPr>
                <w:rFonts w:hint="eastAsia" w:ascii="仿宋" w:hAnsi="仿宋" w:eastAsia="仿宋" w:cs="仿宋"/>
                <w:color w:val="000000"/>
                <w:kern w:val="0"/>
                <w:sz w:val="24"/>
                <w:lang w:bidi="ar"/>
              </w:rPr>
              <w:t>。</w:t>
            </w:r>
          </w:p>
          <w:p>
            <w:pPr>
              <w:widowControl/>
              <w:spacing w:line="30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5.对上立项争资工作。聚焦中央、省级转移支付和政府债券资金两大重点，主动谋划对接，全力立项争资</w:t>
            </w:r>
            <w:r>
              <w:rPr>
                <w:rFonts w:hint="eastAsia" w:ascii="仿宋" w:hAnsi="仿宋" w:eastAsia="仿宋" w:cs="仿宋"/>
                <w:color w:val="000000"/>
                <w:kern w:val="0"/>
                <w:sz w:val="24"/>
                <w:lang w:bidi="ar"/>
              </w:rPr>
              <w:t>。</w:t>
            </w:r>
          </w:p>
          <w:p>
            <w:pPr>
              <w:widowControl/>
              <w:spacing w:line="30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6.按照上级统筹使用财政结余资金的要求，对以前年度财政存量资金进行统筹，确保结转后指标正常使用</w:t>
            </w:r>
            <w:r>
              <w:rPr>
                <w:rFonts w:hint="eastAsia" w:ascii="仿宋" w:hAnsi="仿宋" w:eastAsia="仿宋" w:cs="仿宋"/>
                <w:color w:val="000000"/>
                <w:kern w:val="0"/>
                <w:sz w:val="24"/>
                <w:lang w:bidi="ar"/>
              </w:rPr>
              <w:t>。</w:t>
            </w:r>
          </w:p>
          <w:p>
            <w:pPr>
              <w:widowControl/>
              <w:spacing w:line="30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7.按照2025年财政预算，完成2025年部门预算的批复，及时下达2025年部门预算人员经费及公用经费指标，确保单位正常运转</w:t>
            </w:r>
            <w:r>
              <w:rPr>
                <w:rFonts w:hint="eastAsia" w:ascii="仿宋" w:hAnsi="仿宋" w:eastAsia="仿宋" w:cs="仿宋"/>
                <w:color w:val="000000"/>
                <w:kern w:val="0"/>
                <w:sz w:val="24"/>
                <w:lang w:bidi="ar"/>
              </w:rPr>
              <w:t>。</w:t>
            </w:r>
          </w:p>
          <w:p>
            <w:pPr>
              <w:pStyle w:val="2"/>
              <w:spacing w:line="300" w:lineRule="exact"/>
              <w:ind w:firstLine="0" w:firstLineChars="0"/>
              <w:jc w:val="left"/>
            </w:pPr>
            <w:r>
              <w:rPr>
                <w:rFonts w:hint="eastAsia" w:ascii="仿宋" w:hAnsi="仿宋" w:eastAsia="仿宋" w:cs="仿宋"/>
                <w:color w:val="000000"/>
                <w:sz w:val="24"/>
              </w:rPr>
              <w:t>8.按照《中华人民共和国预算法》规定，结合省厅、市局相关要求，形成随县部门预算编制指南并对各预算单位进行培训，做好2026年部门预算编制工作。</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谢  力</w:t>
            </w:r>
          </w:p>
        </w:tc>
      </w:tr>
      <w:tr>
        <w:tblPrEx>
          <w:tblCellMar>
            <w:top w:w="0" w:type="dxa"/>
            <w:left w:w="0" w:type="dxa"/>
            <w:bottom w:w="0" w:type="dxa"/>
            <w:right w:w="0" w:type="dxa"/>
          </w:tblCellMar>
        </w:tblPrEx>
        <w:trPr>
          <w:gridAfter w:val="1"/>
          <w:wAfter w:w="15" w:type="dxa"/>
          <w:trHeight w:val="3132"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abs>
                <w:tab w:val="left" w:pos="275"/>
              </w:tabs>
              <w:jc w:val="center"/>
              <w:textAlignment w:val="center"/>
              <w:rPr>
                <w:rFonts w:hint="eastAsia" w:ascii="仿宋" w:hAnsi="仿宋" w:eastAsia="仿宋" w:cs="仿宋"/>
                <w:color w:val="000000"/>
                <w:sz w:val="24"/>
              </w:rPr>
            </w:pPr>
            <w:r>
              <w:rPr>
                <w:rFonts w:hint="eastAsia" w:ascii="仿宋" w:hAnsi="仿宋" w:eastAsia="仿宋" w:cs="仿宋"/>
                <w:color w:val="000000"/>
                <w:sz w:val="24"/>
              </w:rPr>
              <w:t>4</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政府</w:t>
            </w:r>
          </w:p>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债务</w:t>
            </w:r>
          </w:p>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管理股</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1</w:t>
            </w:r>
            <w:r>
              <w:rPr>
                <w:rFonts w:hint="eastAsia" w:ascii="仿宋" w:hAnsi="仿宋" w:eastAsia="仿宋" w:cs="仿宋"/>
                <w:color w:val="000000"/>
                <w:sz w:val="24"/>
              </w:rPr>
              <w:t>.</w:t>
            </w:r>
            <w:r>
              <w:rPr>
                <w:rFonts w:hint="eastAsia" w:ascii="仿宋" w:hAnsi="仿宋" w:eastAsia="仿宋" w:cs="仿宋"/>
                <w:color w:val="000000"/>
                <w:kern w:val="0"/>
                <w:sz w:val="24"/>
                <w:lang w:bidi="ar"/>
              </w:rPr>
              <w:t>精准</w:t>
            </w:r>
            <w:r>
              <w:rPr>
                <w:rFonts w:ascii="仿宋" w:hAnsi="仿宋" w:eastAsia="仿宋" w:cs="仿宋"/>
                <w:color w:val="000000"/>
                <w:kern w:val="0"/>
                <w:sz w:val="24"/>
                <w:lang w:bidi="ar"/>
              </w:rPr>
              <w:t>谋划专项债券项目</w:t>
            </w:r>
            <w:r>
              <w:rPr>
                <w:rFonts w:hint="eastAsia" w:ascii="仿宋" w:hAnsi="仿宋" w:eastAsia="仿宋" w:cs="仿宋"/>
                <w:color w:val="000000"/>
                <w:kern w:val="0"/>
                <w:sz w:val="24"/>
                <w:lang w:bidi="ar"/>
              </w:rPr>
              <w:t>；</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w:t>
            </w:r>
            <w:r>
              <w:rPr>
                <w:rFonts w:hint="eastAsia" w:ascii="仿宋" w:hAnsi="仿宋" w:eastAsia="仿宋" w:cs="仿宋"/>
                <w:color w:val="000000"/>
                <w:sz w:val="24"/>
              </w:rPr>
              <w:t>.</w:t>
            </w:r>
            <w:r>
              <w:rPr>
                <w:rFonts w:hint="eastAsia" w:ascii="仿宋" w:hAnsi="仿宋" w:eastAsia="仿宋" w:cs="仿宋"/>
                <w:color w:val="000000"/>
                <w:kern w:val="0"/>
                <w:sz w:val="24"/>
                <w:lang w:bidi="ar"/>
              </w:rPr>
              <w:t>确保按时完成隐性债务化解任务；</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w:t>
            </w:r>
            <w:r>
              <w:rPr>
                <w:rFonts w:hint="eastAsia" w:ascii="仿宋" w:hAnsi="仿宋" w:eastAsia="仿宋" w:cs="仿宋"/>
                <w:color w:val="000000"/>
                <w:sz w:val="24"/>
              </w:rPr>
              <w:t>.</w:t>
            </w:r>
            <w:r>
              <w:rPr>
                <w:rFonts w:hint="eastAsia" w:ascii="仿宋" w:hAnsi="仿宋" w:eastAsia="仿宋" w:cs="仿宋"/>
                <w:color w:val="000000"/>
                <w:kern w:val="0"/>
                <w:sz w:val="24"/>
                <w:lang w:bidi="ar"/>
              </w:rPr>
              <w:t>核销大洪山债务及完成平台公司压降；</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w:t>
            </w:r>
            <w:r>
              <w:rPr>
                <w:rFonts w:hint="eastAsia" w:ascii="仿宋" w:hAnsi="仿宋" w:eastAsia="仿宋" w:cs="仿宋"/>
                <w:color w:val="000000"/>
                <w:sz w:val="24"/>
              </w:rPr>
              <w:t>.</w:t>
            </w:r>
            <w:r>
              <w:rPr>
                <w:rFonts w:hint="eastAsia" w:ascii="仿宋" w:hAnsi="仿宋" w:eastAsia="仿宋" w:cs="仿宋"/>
                <w:color w:val="000000"/>
                <w:kern w:val="0"/>
                <w:sz w:val="24"/>
                <w:lang w:bidi="ar"/>
              </w:rPr>
              <w:t>确保</w:t>
            </w:r>
            <w:r>
              <w:rPr>
                <w:rFonts w:ascii="仿宋" w:hAnsi="仿宋" w:eastAsia="仿宋" w:cs="仿宋"/>
                <w:color w:val="000000"/>
                <w:kern w:val="0"/>
                <w:sz w:val="24"/>
                <w:lang w:bidi="ar"/>
              </w:rPr>
              <w:t>按期兑付到期债券本息</w:t>
            </w:r>
            <w:r>
              <w:rPr>
                <w:rFonts w:hint="eastAsia" w:ascii="仿宋" w:hAnsi="仿宋" w:eastAsia="仿宋" w:cs="仿宋"/>
                <w:color w:val="000000"/>
                <w:kern w:val="0"/>
                <w:sz w:val="24"/>
                <w:lang w:bidi="ar"/>
              </w:rPr>
              <w:t>；</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5</w:t>
            </w:r>
            <w:r>
              <w:rPr>
                <w:rFonts w:hint="eastAsia" w:ascii="仿宋" w:hAnsi="仿宋" w:eastAsia="仿宋" w:cs="仿宋"/>
                <w:color w:val="000000"/>
                <w:sz w:val="24"/>
              </w:rPr>
              <w:t>.</w:t>
            </w:r>
            <w:r>
              <w:rPr>
                <w:rFonts w:hint="eastAsia" w:ascii="仿宋" w:hAnsi="仿宋" w:eastAsia="仿宋" w:cs="仿宋"/>
                <w:color w:val="000000"/>
                <w:kern w:val="0"/>
                <w:sz w:val="24"/>
                <w:lang w:bidi="ar"/>
              </w:rPr>
              <w:t>加强债务风险预警管理。</w:t>
            </w:r>
          </w:p>
        </w:tc>
        <w:tc>
          <w:tcPr>
            <w:tcW w:w="8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hint="eastAsia" w:ascii="仿宋" w:hAnsi="仿宋" w:eastAsia="仿宋" w:cs="仿宋"/>
                <w:color w:val="000000"/>
                <w:sz w:val="24"/>
              </w:rPr>
              <w:t>.</w:t>
            </w:r>
            <w:r>
              <w:rPr>
                <w:rFonts w:hint="eastAsia" w:ascii="仿宋" w:hAnsi="仿宋" w:eastAsia="仿宋" w:cs="仿宋"/>
                <w:color w:val="000000"/>
                <w:kern w:val="0"/>
                <w:sz w:val="24"/>
                <w:lang w:bidi="ar"/>
              </w:rPr>
              <w:t>根据省厅下发的债务限额，在随县债务率可控范围之内积极争取专项债券资金。与发改部门协调，紧密联系各单位进行项目前期申报准备。</w:t>
            </w:r>
          </w:p>
          <w:p>
            <w:pPr>
              <w:widowControl/>
              <w:spacing w:line="300" w:lineRule="exact"/>
              <w:jc w:val="left"/>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2</w:t>
            </w:r>
            <w:r>
              <w:rPr>
                <w:rFonts w:hint="eastAsia" w:ascii="仿宋" w:hAnsi="仿宋" w:eastAsia="仿宋" w:cs="仿宋"/>
                <w:color w:val="000000"/>
                <w:sz w:val="24"/>
              </w:rPr>
              <w:t>.</w:t>
            </w:r>
            <w:r>
              <w:rPr>
                <w:rFonts w:hint="eastAsia" w:ascii="仿宋" w:hAnsi="仿宋" w:eastAsia="仿宋" w:cs="仿宋"/>
                <w:color w:val="000000"/>
                <w:kern w:val="0"/>
                <w:sz w:val="24"/>
                <w:lang w:bidi="ar"/>
              </w:rPr>
              <w:t>制定好2025年隐性债务化解任务计划，稳妥化解存量隐性债务，坚决遏制新增隐性债务。</w:t>
            </w:r>
          </w:p>
          <w:p>
            <w:pPr>
              <w:widowControl/>
              <w:spacing w:line="300" w:lineRule="exact"/>
              <w:jc w:val="left"/>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3</w:t>
            </w:r>
            <w:r>
              <w:rPr>
                <w:rFonts w:hint="eastAsia" w:ascii="仿宋" w:hAnsi="仿宋" w:eastAsia="仿宋" w:cs="仿宋"/>
                <w:color w:val="000000"/>
                <w:sz w:val="24"/>
              </w:rPr>
              <w:t>.</w:t>
            </w:r>
            <w:r>
              <w:rPr>
                <w:rFonts w:hint="eastAsia" w:ascii="仿宋" w:hAnsi="仿宋" w:eastAsia="仿宋" w:cs="仿宋"/>
                <w:color w:val="000000"/>
                <w:kern w:val="0"/>
                <w:sz w:val="24"/>
                <w:lang w:bidi="ar"/>
              </w:rPr>
              <w:t>配合大洪山城投公司做好债务清理及化解工作，督促相关工作人员梳理核销资料，尽快完成监测平台债务核销和大洪山城投公司压降工作。</w:t>
            </w:r>
          </w:p>
          <w:p>
            <w:pPr>
              <w:widowControl/>
              <w:spacing w:line="300" w:lineRule="exact"/>
              <w:jc w:val="left"/>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4</w:t>
            </w:r>
            <w:r>
              <w:rPr>
                <w:rFonts w:hint="eastAsia" w:ascii="仿宋" w:hAnsi="仿宋" w:eastAsia="仿宋" w:cs="仿宋"/>
                <w:color w:val="000000"/>
                <w:sz w:val="24"/>
              </w:rPr>
              <w:t>.</w:t>
            </w:r>
            <w:r>
              <w:rPr>
                <w:rFonts w:hint="eastAsia" w:ascii="仿宋" w:hAnsi="仿宋" w:eastAsia="仿宋" w:cs="仿宋"/>
                <w:color w:val="000000"/>
                <w:kern w:val="0"/>
                <w:sz w:val="24"/>
                <w:lang w:bidi="ar"/>
              </w:rPr>
              <w:t>做好年度还本付息台账及提前制定到期政府债券偿还计划，确保不发生兑付风险。</w:t>
            </w:r>
          </w:p>
          <w:p>
            <w:pPr>
              <w:widowControl/>
              <w:spacing w:line="30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5</w:t>
            </w:r>
            <w:r>
              <w:rPr>
                <w:rFonts w:hint="eastAsia" w:ascii="仿宋" w:hAnsi="仿宋" w:eastAsia="仿宋" w:cs="仿宋"/>
                <w:color w:val="000000"/>
                <w:sz w:val="24"/>
              </w:rPr>
              <w:t>.</w:t>
            </w:r>
            <w:r>
              <w:rPr>
                <w:rFonts w:hint="eastAsia" w:ascii="仿宋" w:hAnsi="仿宋" w:eastAsia="仿宋" w:cs="仿宋"/>
                <w:color w:val="000000"/>
                <w:kern w:val="0"/>
                <w:sz w:val="24"/>
                <w:lang w:bidi="ar"/>
              </w:rPr>
              <w:t>强化政府债务全周期管理，实时监测债务风险指标动态变化情况，防止出现债务风险。</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谢  力</w:t>
            </w:r>
          </w:p>
        </w:tc>
      </w:tr>
      <w:tr>
        <w:tblPrEx>
          <w:tblCellMar>
            <w:top w:w="0" w:type="dxa"/>
            <w:left w:w="0" w:type="dxa"/>
            <w:bottom w:w="0" w:type="dxa"/>
            <w:right w:w="0" w:type="dxa"/>
          </w:tblCellMar>
        </w:tblPrEx>
        <w:trPr>
          <w:gridAfter w:val="1"/>
          <w:wAfter w:w="15" w:type="dxa"/>
          <w:trHeight w:val="536"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abs>
                <w:tab w:val="left" w:pos="275"/>
              </w:tabs>
              <w:jc w:val="center"/>
              <w:textAlignment w:val="center"/>
              <w:rPr>
                <w:rFonts w:hint="eastAsia" w:ascii="仿宋" w:hAnsi="仿宋" w:eastAsia="仿宋" w:cs="仿宋"/>
                <w:color w:val="000000"/>
                <w:sz w:val="24"/>
              </w:rPr>
            </w:pPr>
            <w:r>
              <w:rPr>
                <w:rFonts w:hint="eastAsia" w:ascii="黑体" w:hAnsi="黑体" w:eastAsia="黑体" w:cs="仿宋"/>
                <w:color w:val="000000"/>
                <w:kern w:val="0"/>
                <w:sz w:val="24"/>
                <w:lang w:bidi="ar"/>
              </w:rPr>
              <w:t>序号</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pPr>
              <w:widowControl/>
              <w:jc w:val="center"/>
              <w:textAlignment w:val="center"/>
              <w:rPr>
                <w:rFonts w:hint="eastAsia" w:ascii="仿宋" w:hAnsi="仿宋" w:eastAsia="仿宋" w:cs="仿宋"/>
                <w:color w:val="000000"/>
                <w:kern w:val="0"/>
                <w:sz w:val="24"/>
                <w:lang w:bidi="ar"/>
              </w:rPr>
            </w:pPr>
            <w:r>
              <w:rPr>
                <w:rFonts w:hint="eastAsia" w:ascii="黑体" w:hAnsi="黑体" w:eastAsia="黑体" w:cs="仿宋"/>
                <w:color w:val="000000"/>
                <w:kern w:val="0"/>
                <w:sz w:val="18"/>
                <w:szCs w:val="18"/>
                <w:lang w:bidi="ar"/>
              </w:rPr>
              <w:t>（股室）</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黑体" w:hAnsi="黑体" w:eastAsia="黑体" w:cs="仿宋"/>
                <w:color w:val="000000"/>
                <w:kern w:val="0"/>
                <w:sz w:val="24"/>
                <w:lang w:bidi="ar"/>
              </w:rPr>
              <w:t>重点工作任务</w:t>
            </w:r>
          </w:p>
        </w:tc>
        <w:tc>
          <w:tcPr>
            <w:tcW w:w="8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仿宋" w:hAnsi="仿宋" w:eastAsia="仿宋" w:cs="仿宋"/>
                <w:color w:val="000000"/>
                <w:kern w:val="0"/>
                <w:sz w:val="24"/>
                <w:lang w:bidi="ar"/>
              </w:rPr>
            </w:pPr>
            <w:r>
              <w:rPr>
                <w:rFonts w:hint="eastAsia" w:ascii="黑体" w:hAnsi="黑体" w:eastAsia="黑体" w:cs="仿宋"/>
                <w:color w:val="000000"/>
                <w:kern w:val="0"/>
                <w:sz w:val="24"/>
                <w:lang w:bidi="ar"/>
              </w:rPr>
              <w:t>具体落实措施</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黑体" w:hAnsi="黑体" w:eastAsia="黑体" w:cs="仿宋"/>
                <w:color w:val="000000"/>
                <w:kern w:val="0"/>
                <w:sz w:val="24"/>
                <w:lang w:bidi="ar"/>
              </w:rPr>
              <w:t>责任领导</w:t>
            </w:r>
          </w:p>
        </w:tc>
      </w:tr>
      <w:tr>
        <w:tblPrEx>
          <w:tblCellMar>
            <w:top w:w="0" w:type="dxa"/>
            <w:left w:w="0" w:type="dxa"/>
            <w:bottom w:w="0" w:type="dxa"/>
            <w:right w:w="0" w:type="dxa"/>
          </w:tblCellMar>
        </w:tblPrEx>
        <w:trPr>
          <w:gridAfter w:val="1"/>
          <w:wAfter w:w="15" w:type="dxa"/>
          <w:trHeight w:val="2729"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5</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国库股（信息股）</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1.完成2025年随县一般公共预算收入15亿元；</w:t>
            </w:r>
          </w:p>
          <w:p>
            <w:pPr>
              <w:widowControl/>
              <w:spacing w:line="280" w:lineRule="exact"/>
              <w:jc w:val="left"/>
              <w:textAlignment w:val="center"/>
              <w:rPr>
                <w:rFonts w:hint="eastAsia" w:ascii="仿宋" w:hAnsi="仿宋" w:eastAsia="仿宋" w:cs="仿宋"/>
                <w:color w:val="000000"/>
                <w:sz w:val="24"/>
              </w:rPr>
            </w:pPr>
            <w:r>
              <w:rPr>
                <w:rFonts w:ascii="仿宋" w:hAnsi="仿宋" w:eastAsia="仿宋" w:cs="仿宋"/>
                <w:color w:val="000000"/>
                <w:sz w:val="24"/>
              </w:rPr>
              <w:t>2</w:t>
            </w:r>
            <w:r>
              <w:rPr>
                <w:rFonts w:hint="eastAsia" w:ascii="仿宋" w:hAnsi="仿宋" w:eastAsia="仿宋" w:cs="仿宋"/>
                <w:color w:val="000000"/>
                <w:sz w:val="24"/>
              </w:rPr>
              <w:t>.</w:t>
            </w:r>
            <w:r>
              <w:rPr>
                <w:rFonts w:ascii="仿宋" w:hAnsi="仿宋" w:eastAsia="仿宋" w:cs="仿宋"/>
                <w:color w:val="000000"/>
                <w:sz w:val="24"/>
              </w:rPr>
              <w:t>做好202</w:t>
            </w:r>
            <w:r>
              <w:rPr>
                <w:rFonts w:hint="eastAsia" w:ascii="仿宋" w:hAnsi="仿宋" w:eastAsia="仿宋" w:cs="仿宋"/>
                <w:color w:val="000000"/>
                <w:sz w:val="24"/>
              </w:rPr>
              <w:t>4</w:t>
            </w:r>
            <w:r>
              <w:rPr>
                <w:rFonts w:ascii="仿宋" w:hAnsi="仿宋" w:eastAsia="仿宋" w:cs="仿宋"/>
                <w:color w:val="000000"/>
                <w:sz w:val="24"/>
              </w:rPr>
              <w:t>年度财政总决算、政府财报、部门决算报表编制工作</w:t>
            </w:r>
            <w:r>
              <w:rPr>
                <w:rFonts w:hint="eastAsia" w:ascii="仿宋" w:hAnsi="仿宋" w:eastAsia="仿宋" w:cs="仿宋"/>
                <w:color w:val="000000"/>
                <w:sz w:val="24"/>
              </w:rPr>
              <w:t>及决算公开相关工作；</w:t>
            </w:r>
          </w:p>
          <w:p>
            <w:pPr>
              <w:widowControl/>
              <w:spacing w:line="28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3.</w:t>
            </w:r>
            <w:r>
              <w:rPr>
                <w:rFonts w:ascii="仿宋" w:hAnsi="仿宋" w:eastAsia="仿宋" w:cs="仿宋"/>
                <w:color w:val="000000"/>
                <w:sz w:val="24"/>
              </w:rPr>
              <w:t>认真落实</w:t>
            </w:r>
            <w:r>
              <w:rPr>
                <w:rFonts w:hint="eastAsia" w:ascii="仿宋" w:hAnsi="仿宋" w:eastAsia="仿宋" w:cs="仿宋"/>
                <w:color w:val="000000"/>
                <w:sz w:val="24"/>
              </w:rPr>
              <w:t>转移支付监控相关要求，完成2025年支付进度；</w:t>
            </w:r>
          </w:p>
          <w:p>
            <w:pPr>
              <w:widowControl/>
              <w:spacing w:line="28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4.加强财政库款管理，确保财政资金安全运行。</w:t>
            </w:r>
          </w:p>
        </w:tc>
        <w:tc>
          <w:tcPr>
            <w:tcW w:w="8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hint="eastAsia" w:ascii="仿宋" w:hAnsi="仿宋" w:eastAsia="仿宋" w:cs="仿宋"/>
                <w:color w:val="000000"/>
                <w:sz w:val="24"/>
              </w:rPr>
              <w:t>.</w:t>
            </w:r>
            <w:r>
              <w:rPr>
                <w:rFonts w:hint="eastAsia" w:ascii="仿宋" w:hAnsi="仿宋" w:eastAsia="仿宋" w:cs="仿宋"/>
                <w:color w:val="000000"/>
                <w:kern w:val="0"/>
                <w:sz w:val="24"/>
                <w:lang w:bidi="ar"/>
              </w:rPr>
              <w:t>切实做好2025年随县一般公共预算收入测算和任务分解工作，落实高质量发展要求，全面贯彻新发展理念，以实绩论英雄，奋力提高县域经济收入。</w:t>
            </w:r>
          </w:p>
          <w:p>
            <w:pPr>
              <w:widowControl/>
              <w:spacing w:line="2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w:t>
            </w:r>
            <w:r>
              <w:rPr>
                <w:rFonts w:hint="eastAsia" w:ascii="仿宋" w:hAnsi="仿宋" w:eastAsia="仿宋" w:cs="仿宋"/>
                <w:color w:val="000000"/>
                <w:sz w:val="24"/>
              </w:rPr>
              <w:t>.</w:t>
            </w:r>
            <w:r>
              <w:rPr>
                <w:rFonts w:hint="eastAsia" w:ascii="仿宋" w:hAnsi="仿宋" w:eastAsia="仿宋" w:cs="仿宋"/>
                <w:color w:val="000000"/>
                <w:kern w:val="0"/>
                <w:sz w:val="24"/>
                <w:lang w:bidi="ar"/>
              </w:rPr>
              <w:t>狠抓时效性工作任务，细化工作计划，明确关键节点，督促各预算单位按时完成2024年度政府财报、部门决算、数据真实性核查及决算公开工作。</w:t>
            </w:r>
          </w:p>
          <w:p>
            <w:pPr>
              <w:widowControl/>
              <w:spacing w:line="2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w:t>
            </w:r>
            <w:r>
              <w:rPr>
                <w:rFonts w:hint="eastAsia" w:ascii="仿宋" w:hAnsi="仿宋" w:eastAsia="仿宋" w:cs="仿宋"/>
                <w:color w:val="000000"/>
                <w:sz w:val="24"/>
              </w:rPr>
              <w:t>.</w:t>
            </w:r>
            <w:r>
              <w:rPr>
                <w:rFonts w:hint="eastAsia" w:ascii="仿宋" w:hAnsi="仿宋" w:eastAsia="仿宋" w:cs="仿宋"/>
                <w:color w:val="000000"/>
                <w:kern w:val="0"/>
                <w:sz w:val="24"/>
                <w:lang w:bidi="ar"/>
              </w:rPr>
              <w:t>严格执行转移支付相关政策。依托一体化系统监控模块，持续加强日常监督和重点监督，充分利用好监控成果，不断提升财政资金使用绩效，确保我县转移支付取得实效。</w:t>
            </w:r>
          </w:p>
          <w:p>
            <w:pPr>
              <w:widowControl/>
              <w:spacing w:line="2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w:t>
            </w:r>
            <w:r>
              <w:rPr>
                <w:rFonts w:hint="eastAsia" w:ascii="仿宋" w:hAnsi="仿宋" w:eastAsia="仿宋" w:cs="仿宋"/>
                <w:color w:val="000000"/>
                <w:sz w:val="24"/>
              </w:rPr>
              <w:t>.</w:t>
            </w:r>
            <w:r>
              <w:rPr>
                <w:rFonts w:hint="eastAsia" w:ascii="仿宋" w:hAnsi="仿宋" w:eastAsia="仿宋" w:cs="仿宋"/>
                <w:color w:val="000000"/>
                <w:kern w:val="0"/>
                <w:sz w:val="24"/>
                <w:lang w:bidi="ar"/>
              </w:rPr>
              <w:t>提高财政收入质量，做到应收尽收；严格财政收支管理，压缩一般性支出和“三公”经费支出；积极向上争取资金，确保财政库款保持在合理区间。</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彭付军</w:t>
            </w:r>
          </w:p>
        </w:tc>
      </w:tr>
      <w:tr>
        <w:tblPrEx>
          <w:tblCellMar>
            <w:top w:w="0" w:type="dxa"/>
            <w:left w:w="0" w:type="dxa"/>
            <w:bottom w:w="0" w:type="dxa"/>
            <w:right w:w="0" w:type="dxa"/>
          </w:tblCellMar>
        </w:tblPrEx>
        <w:trPr>
          <w:gridAfter w:val="1"/>
          <w:wAfter w:w="15" w:type="dxa"/>
          <w:trHeight w:val="1250"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6</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经济</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建设股</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rPr>
              <w:t>1.加强项目管理与资金监管；</w:t>
            </w:r>
          </w:p>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rPr>
              <w:t>2.及时拨付项目资金；</w:t>
            </w:r>
          </w:p>
          <w:p>
            <w:pPr>
              <w:jc w:val="left"/>
              <w:rPr>
                <w:rFonts w:hint="eastAsia" w:ascii="仿宋" w:hAnsi="仿宋" w:eastAsia="仿宋" w:cs="仿宋"/>
                <w:color w:val="000000"/>
                <w:sz w:val="24"/>
              </w:rPr>
            </w:pPr>
            <w:r>
              <w:rPr>
                <w:rFonts w:hint="eastAsia" w:ascii="仿宋" w:hAnsi="仿宋" w:eastAsia="仿宋" w:cs="仿宋"/>
                <w:color w:val="000000"/>
                <w:sz w:val="24"/>
              </w:rPr>
              <w:t>3.</w:t>
            </w:r>
            <w:r>
              <w:rPr>
                <w:rFonts w:ascii="仿宋" w:hAnsi="仿宋" w:eastAsia="仿宋" w:cs="仿宋"/>
                <w:color w:val="000000"/>
                <w:sz w:val="24"/>
              </w:rPr>
              <w:t>督办各项目单位及时上传项目结算平台“两算”工作</w:t>
            </w:r>
            <w:r>
              <w:rPr>
                <w:rFonts w:hint="eastAsia" w:ascii="仿宋" w:hAnsi="仿宋" w:eastAsia="仿宋" w:cs="仿宋"/>
                <w:color w:val="000000"/>
                <w:sz w:val="24"/>
              </w:rPr>
              <w:t>；</w:t>
            </w:r>
          </w:p>
          <w:p>
            <w:pPr>
              <w:jc w:val="left"/>
              <w:rPr>
                <w:rFonts w:hint="eastAsia" w:ascii="仿宋" w:hAnsi="仿宋" w:eastAsia="仿宋" w:cs="仿宋"/>
                <w:color w:val="000000"/>
                <w:sz w:val="24"/>
              </w:rPr>
            </w:pPr>
            <w:r>
              <w:rPr>
                <w:rFonts w:hint="eastAsia" w:ascii="仿宋" w:hAnsi="仿宋" w:eastAsia="仿宋" w:cs="仿宋"/>
                <w:color w:val="000000"/>
                <w:sz w:val="24"/>
              </w:rPr>
              <w:t>4.完成领导交办的工作任务。</w:t>
            </w:r>
          </w:p>
          <w:p>
            <w:pPr>
              <w:widowControl/>
              <w:jc w:val="left"/>
              <w:textAlignment w:val="center"/>
              <w:rPr>
                <w:rFonts w:hint="eastAsia" w:ascii="仿宋" w:hAnsi="仿宋" w:eastAsia="仿宋" w:cs="仿宋"/>
                <w:color w:val="000000"/>
                <w:sz w:val="24"/>
              </w:rPr>
            </w:pPr>
          </w:p>
        </w:tc>
        <w:tc>
          <w:tcPr>
            <w:tcW w:w="8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spacing w:line="2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加强对项目资金支出资料的审核，做好支出管理工作，并对项目单位的财政资金进行监督管理，确保资金使用的合规性。</w:t>
            </w:r>
          </w:p>
          <w:p>
            <w:pPr>
              <w:numPr>
                <w:ilvl w:val="0"/>
                <w:numId w:val="1"/>
              </w:numPr>
              <w:spacing w:line="260" w:lineRule="exact"/>
              <w:jc w:val="left"/>
              <w:rPr>
                <w:rFonts w:hint="eastAsia" w:ascii="仿宋" w:hAnsi="仿宋" w:eastAsia="仿宋" w:cs="仿宋"/>
                <w:color w:val="000000"/>
                <w:kern w:val="0"/>
                <w:sz w:val="24"/>
                <w:lang w:bidi="ar"/>
              </w:rPr>
            </w:pPr>
            <w:r>
              <w:rPr>
                <w:rFonts w:ascii="仿宋" w:hAnsi="仿宋" w:eastAsia="仿宋" w:cs="仿宋"/>
                <w:color w:val="000000"/>
                <w:kern w:val="0"/>
                <w:sz w:val="24"/>
                <w:lang w:bidi="ar"/>
              </w:rPr>
              <w:t>积极配合</w:t>
            </w:r>
            <w:r>
              <w:rPr>
                <w:rFonts w:hint="eastAsia" w:ascii="仿宋" w:hAnsi="仿宋" w:eastAsia="仿宋" w:cs="仿宋"/>
                <w:color w:val="000000"/>
                <w:kern w:val="0"/>
                <w:sz w:val="24"/>
                <w:lang w:bidi="ar"/>
              </w:rPr>
              <w:t>对口</w:t>
            </w:r>
            <w:r>
              <w:rPr>
                <w:rFonts w:ascii="仿宋" w:hAnsi="仿宋" w:eastAsia="仿宋" w:cs="仿宋"/>
                <w:color w:val="000000"/>
                <w:kern w:val="0"/>
                <w:sz w:val="24"/>
                <w:lang w:bidi="ar"/>
              </w:rPr>
              <w:t>预算单位用好中央和省级项目资金，督促项目建设单位加快工程进度，尽快形成实物工程量</w:t>
            </w:r>
            <w:r>
              <w:rPr>
                <w:rFonts w:hint="eastAsia" w:ascii="仿宋" w:hAnsi="仿宋" w:eastAsia="仿宋" w:cs="仿宋"/>
                <w:color w:val="000000"/>
                <w:kern w:val="0"/>
                <w:sz w:val="24"/>
                <w:lang w:bidi="ar"/>
              </w:rPr>
              <w:t>，</w:t>
            </w:r>
            <w:r>
              <w:rPr>
                <w:rFonts w:ascii="仿宋" w:hAnsi="仿宋" w:eastAsia="仿宋" w:cs="仿宋"/>
                <w:color w:val="000000"/>
                <w:kern w:val="0"/>
                <w:sz w:val="24"/>
                <w:lang w:bidi="ar"/>
              </w:rPr>
              <w:t>做好项目资金的及时、安全拨付</w:t>
            </w:r>
            <w:r>
              <w:rPr>
                <w:rFonts w:hint="eastAsia" w:ascii="仿宋" w:hAnsi="仿宋" w:eastAsia="仿宋" w:cs="仿宋"/>
                <w:color w:val="000000"/>
                <w:kern w:val="0"/>
                <w:sz w:val="24"/>
                <w:lang w:bidi="ar"/>
              </w:rPr>
              <w:t>。</w:t>
            </w:r>
          </w:p>
          <w:p>
            <w:pPr>
              <w:numPr>
                <w:ilvl w:val="0"/>
                <w:numId w:val="1"/>
              </w:numPr>
              <w:spacing w:line="260" w:lineRule="exact"/>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将项目单位“两算”办理情</w:t>
            </w:r>
            <w:r>
              <w:rPr>
                <w:rFonts w:hint="eastAsia" w:ascii="仿宋" w:hAnsi="仿宋" w:eastAsia="仿宋" w:cs="仿宋"/>
                <w:kern w:val="0"/>
                <w:sz w:val="24"/>
                <w:lang w:bidi="ar"/>
              </w:rPr>
              <w:t>况与建设资金安排情况挂钩，对按期上传“两算”的单位在资金安排方面给予及</w:t>
            </w:r>
            <w:r>
              <w:rPr>
                <w:rFonts w:hint="eastAsia" w:ascii="仿宋" w:hAnsi="仿宋" w:eastAsia="仿宋" w:cs="仿宋"/>
                <w:color w:val="000000"/>
                <w:kern w:val="0"/>
                <w:sz w:val="24"/>
                <w:lang w:bidi="ar"/>
              </w:rPr>
              <w:t>时的支持，对未按期上传“两算”的单位，督促项目主管部门责令项目单位限时整改。</w:t>
            </w:r>
          </w:p>
          <w:p>
            <w:pPr>
              <w:numPr>
                <w:ilvl w:val="0"/>
                <w:numId w:val="1"/>
              </w:numPr>
              <w:spacing w:line="260" w:lineRule="exact"/>
              <w:jc w:val="left"/>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及时</w:t>
            </w:r>
            <w:r>
              <w:rPr>
                <w:rFonts w:hint="eastAsia" w:ascii="仿宋" w:hAnsi="仿宋" w:eastAsia="仿宋" w:cs="仿宋"/>
                <w:kern w:val="0"/>
                <w:sz w:val="24"/>
                <w:lang w:bidi="ar"/>
              </w:rPr>
              <w:t>细化工作</w:t>
            </w:r>
            <w:r>
              <w:rPr>
                <w:rFonts w:hint="eastAsia" w:ascii="仿宋" w:hAnsi="仿宋" w:eastAsia="仿宋" w:cs="仿宋"/>
                <w:color w:val="000000"/>
                <w:kern w:val="0"/>
                <w:sz w:val="24"/>
                <w:lang w:bidi="ar"/>
              </w:rPr>
              <w:t>目标，明确时间限制、质量标准等，按质按量完成工作任务。</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陶立兵</w:t>
            </w:r>
          </w:p>
        </w:tc>
      </w:tr>
      <w:tr>
        <w:tblPrEx>
          <w:tblCellMar>
            <w:top w:w="0" w:type="dxa"/>
            <w:left w:w="0" w:type="dxa"/>
            <w:bottom w:w="0" w:type="dxa"/>
            <w:right w:w="0" w:type="dxa"/>
          </w:tblCellMar>
        </w:tblPrEx>
        <w:trPr>
          <w:gridAfter w:val="1"/>
          <w:wAfter w:w="15" w:type="dxa"/>
          <w:trHeight w:val="1966" w:hRule="atLeast"/>
        </w:trPr>
        <w:tc>
          <w:tcPr>
            <w:tcW w:w="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7</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行政</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政法股</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1.科学统筹，保障重点工作；</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2.做好政法事业保障工作，支持“平安随县”“法治随县”建设；</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3.加强预算执行监督，推动提升各服务部门财务管理水平；</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4.加强股室自身建设，提升管理水平。</w:t>
            </w:r>
          </w:p>
        </w:tc>
        <w:tc>
          <w:tcPr>
            <w:tcW w:w="8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1.进一步加强预算编制的科学性和精确性，切实保障工资和行政单位运转；持续支持落实“人才强县”战略，加大</w:t>
            </w:r>
            <w:r>
              <w:rPr>
                <w:rFonts w:hint="eastAsia" w:ascii="仿宋" w:hAnsi="仿宋" w:eastAsia="仿宋" w:cs="仿宋"/>
                <w:color w:val="000000"/>
                <w:sz w:val="24"/>
              </w:rPr>
              <w:t>人才经费保障力度；关注民生福祉，做好食品药品安全监管、公共服务质量提升、消费者保护和基层社会治理等重点工作的经费保障。</w:t>
            </w:r>
          </w:p>
          <w:p>
            <w:pPr>
              <w:widowControl/>
              <w:spacing w:line="26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2.切实加强平安建设、禁毒、反恐、重大活动安保以及打击电信网络诈骗等重点领域工作经费保障，支持公共法律服务体系建设等经费保障；根据《湖北省政法经费保障绩效考核办法》，严格开展2024年政法经费绩效自评。</w:t>
            </w:r>
          </w:p>
          <w:p>
            <w:pPr>
              <w:widowControl/>
              <w:spacing w:line="2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sz w:val="24"/>
              </w:rPr>
              <w:t>3.指导对口部门建立预算执行内部管理机制</w:t>
            </w:r>
            <w:r>
              <w:rPr>
                <w:rFonts w:hint="eastAsia" w:ascii="仿宋" w:hAnsi="仿宋" w:eastAsia="仿宋" w:cs="仿宋"/>
                <w:color w:val="000000"/>
                <w:kern w:val="0"/>
                <w:sz w:val="24"/>
                <w:lang w:bidi="ar"/>
              </w:rPr>
              <w:t>，督促对口部门切实加快预算执行进度，加强财政资金跟踪问效，择期开展专项检查，不断提高资金使用效率和效益。</w:t>
            </w:r>
          </w:p>
          <w:p>
            <w:pPr>
              <w:widowControl/>
              <w:spacing w:line="2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sz w:val="24"/>
              </w:rPr>
              <w:t>4.加强党性、党纪教育，严格执行各项制度规定；加强政策学习，提升服务能力，增强服务意识，为对口单位做好服务。</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赵  铭</w:t>
            </w:r>
          </w:p>
        </w:tc>
      </w:tr>
      <w:tr>
        <w:tblPrEx>
          <w:tblCellMar>
            <w:top w:w="0" w:type="dxa"/>
            <w:left w:w="0" w:type="dxa"/>
            <w:bottom w:w="0" w:type="dxa"/>
            <w:right w:w="0" w:type="dxa"/>
          </w:tblCellMar>
        </w:tblPrEx>
        <w:trPr>
          <w:gridAfter w:val="1"/>
          <w:wAfter w:w="15" w:type="dxa"/>
          <w:trHeight w:val="536" w:hRule="atLeast"/>
        </w:trPr>
        <w:tc>
          <w:tcPr>
            <w:tcW w:w="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黑体" w:hAnsi="黑体" w:eastAsia="黑体" w:cs="仿宋"/>
                <w:color w:val="000000"/>
                <w:kern w:val="0"/>
                <w:sz w:val="24"/>
                <w:lang w:bidi="ar"/>
              </w:rPr>
              <w:t>序号</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pPr>
              <w:widowControl/>
              <w:jc w:val="center"/>
              <w:textAlignment w:val="center"/>
              <w:rPr>
                <w:rFonts w:hint="eastAsia" w:ascii="仿宋" w:hAnsi="仿宋" w:eastAsia="仿宋" w:cs="仿宋"/>
                <w:color w:val="000000"/>
                <w:kern w:val="0"/>
                <w:sz w:val="24"/>
                <w:lang w:bidi="ar"/>
              </w:rPr>
            </w:pPr>
            <w:r>
              <w:rPr>
                <w:rFonts w:hint="eastAsia" w:ascii="黑体" w:hAnsi="黑体" w:eastAsia="黑体" w:cs="仿宋"/>
                <w:color w:val="000000"/>
                <w:kern w:val="0"/>
                <w:sz w:val="18"/>
                <w:szCs w:val="18"/>
                <w:lang w:bidi="ar"/>
              </w:rPr>
              <w:t>（股室）</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黑体" w:hAnsi="黑体" w:eastAsia="黑体" w:cs="仿宋"/>
                <w:color w:val="000000"/>
                <w:kern w:val="0"/>
                <w:sz w:val="24"/>
                <w:lang w:bidi="ar"/>
              </w:rPr>
              <w:t>重点工作任务</w:t>
            </w:r>
          </w:p>
        </w:tc>
        <w:tc>
          <w:tcPr>
            <w:tcW w:w="8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仿宋" w:hAnsi="仿宋" w:eastAsia="仿宋" w:cs="仿宋"/>
                <w:color w:val="000000"/>
                <w:kern w:val="0"/>
                <w:sz w:val="24"/>
                <w:lang w:bidi="ar"/>
              </w:rPr>
            </w:pPr>
            <w:r>
              <w:rPr>
                <w:rFonts w:hint="eastAsia" w:ascii="黑体" w:hAnsi="黑体" w:eastAsia="黑体" w:cs="仿宋"/>
                <w:color w:val="000000"/>
                <w:kern w:val="0"/>
                <w:sz w:val="24"/>
                <w:lang w:bidi="ar"/>
              </w:rPr>
              <w:t>具体落实措施</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黑体" w:hAnsi="黑体" w:eastAsia="黑体" w:cs="仿宋"/>
                <w:color w:val="000000"/>
                <w:kern w:val="0"/>
                <w:sz w:val="24"/>
                <w:lang w:bidi="ar"/>
              </w:rPr>
              <w:t>责任领导</w:t>
            </w:r>
          </w:p>
        </w:tc>
      </w:tr>
      <w:tr>
        <w:tblPrEx>
          <w:tblCellMar>
            <w:top w:w="0" w:type="dxa"/>
            <w:left w:w="0" w:type="dxa"/>
            <w:bottom w:w="0" w:type="dxa"/>
            <w:right w:w="0" w:type="dxa"/>
          </w:tblCellMar>
        </w:tblPrEx>
        <w:trPr>
          <w:gridAfter w:val="1"/>
          <w:wAfter w:w="15" w:type="dxa"/>
          <w:trHeight w:val="2856" w:hRule="atLeast"/>
        </w:trPr>
        <w:tc>
          <w:tcPr>
            <w:tcW w:w="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8</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科教与文化股</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rPr>
              <w:t>1.制定文旅系统全年资金使用计划方案；</w:t>
            </w:r>
          </w:p>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rPr>
              <w:t>2.核拨教育系统公用经费；</w:t>
            </w:r>
          </w:p>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rPr>
              <w:t>3.确保教育支出“两个只增不减”；</w:t>
            </w:r>
          </w:p>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rPr>
              <w:t>4.加大各类项目资金监管力度。</w:t>
            </w:r>
          </w:p>
        </w:tc>
        <w:tc>
          <w:tcPr>
            <w:tcW w:w="8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abs>
                <w:tab w:val="left" w:pos="796"/>
              </w:tabs>
              <w:spacing w:line="2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hint="eastAsia" w:ascii="仿宋" w:hAnsi="仿宋" w:eastAsia="仿宋" w:cs="仿宋"/>
                <w:color w:val="000000"/>
                <w:sz w:val="24"/>
              </w:rPr>
              <w:t>.</w:t>
            </w:r>
            <w:r>
              <w:rPr>
                <w:rFonts w:hint="eastAsia" w:ascii="仿宋" w:hAnsi="仿宋" w:eastAsia="仿宋" w:cs="仿宋"/>
                <w:color w:val="000000"/>
                <w:kern w:val="0"/>
                <w:sz w:val="24"/>
                <w:lang w:bidi="ar"/>
              </w:rPr>
              <w:t>与文旅局协调沟通，根据其全年工作安排，制定全年资金使用计划方案初稿；参照往年文旅资金使用情况，本着勤俭节约原则，适当调整文旅局全年资金使用计划方案。</w:t>
            </w:r>
          </w:p>
          <w:p>
            <w:pPr>
              <w:widowControl/>
              <w:tabs>
                <w:tab w:val="left" w:pos="796"/>
              </w:tabs>
              <w:spacing w:line="2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w:t>
            </w:r>
            <w:r>
              <w:rPr>
                <w:rFonts w:hint="eastAsia" w:ascii="仿宋" w:hAnsi="仿宋" w:eastAsia="仿宋" w:cs="仿宋"/>
                <w:color w:val="000000"/>
                <w:sz w:val="24"/>
              </w:rPr>
              <w:t>.</w:t>
            </w:r>
            <w:r>
              <w:rPr>
                <w:rFonts w:hint="eastAsia" w:ascii="仿宋" w:hAnsi="仿宋" w:eastAsia="仿宋" w:cs="仿宋"/>
                <w:color w:val="000000"/>
                <w:kern w:val="0"/>
                <w:sz w:val="24"/>
                <w:lang w:bidi="ar"/>
              </w:rPr>
              <w:t>根据学籍系统数据，核查在校学生人数，根据省定标准分学段测算公用经费，明确各级负担金额，及时拨付教育系统公用经费。</w:t>
            </w:r>
          </w:p>
          <w:p>
            <w:pPr>
              <w:widowControl/>
              <w:tabs>
                <w:tab w:val="left" w:pos="796"/>
              </w:tabs>
              <w:spacing w:line="2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w:t>
            </w:r>
            <w:r>
              <w:rPr>
                <w:rFonts w:hint="eastAsia" w:ascii="仿宋" w:hAnsi="仿宋" w:eastAsia="仿宋" w:cs="仿宋"/>
                <w:color w:val="000000"/>
                <w:sz w:val="24"/>
              </w:rPr>
              <w:t>.</w:t>
            </w:r>
            <w:r>
              <w:rPr>
                <w:rFonts w:hint="eastAsia" w:ascii="仿宋" w:hAnsi="仿宋" w:eastAsia="仿宋" w:cs="仿宋"/>
                <w:color w:val="000000"/>
                <w:kern w:val="0"/>
                <w:sz w:val="24"/>
                <w:lang w:bidi="ar"/>
              </w:rPr>
              <w:t>协同教育部门积极争取教育资金，按要求足额拨付教育经费，并督促教育部门强化经费支出进度，确保完成“两个只增不减”。</w:t>
            </w:r>
          </w:p>
          <w:p>
            <w:pPr>
              <w:widowControl/>
              <w:tabs>
                <w:tab w:val="left" w:pos="796"/>
              </w:tabs>
              <w:spacing w:line="2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w:t>
            </w:r>
            <w:r>
              <w:rPr>
                <w:rFonts w:hint="eastAsia" w:ascii="仿宋" w:hAnsi="仿宋" w:eastAsia="仿宋" w:cs="仿宋"/>
                <w:color w:val="000000"/>
                <w:sz w:val="24"/>
              </w:rPr>
              <w:t>.</w:t>
            </w:r>
            <w:r>
              <w:rPr>
                <w:rFonts w:hint="eastAsia" w:ascii="仿宋" w:hAnsi="仿宋" w:eastAsia="仿宋" w:cs="仿宋"/>
                <w:color w:val="000000"/>
                <w:kern w:val="0"/>
                <w:sz w:val="24"/>
                <w:lang w:bidi="ar"/>
              </w:rPr>
              <w:t>严格按照资金管理办法拨付项目资金；监督单位严格按照项目实施进度支付工程款，并要求其一级主管部门在每次支付申请书上签字盖章；采取实地查看及审阅工程施工手续等方式随时随地监管。</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赵  铭</w:t>
            </w:r>
          </w:p>
        </w:tc>
      </w:tr>
      <w:tr>
        <w:tblPrEx>
          <w:tblCellMar>
            <w:top w:w="0" w:type="dxa"/>
            <w:left w:w="0" w:type="dxa"/>
            <w:bottom w:w="0" w:type="dxa"/>
            <w:right w:w="0" w:type="dxa"/>
          </w:tblCellMar>
        </w:tblPrEx>
        <w:trPr>
          <w:gridAfter w:val="1"/>
          <w:wAfter w:w="15" w:type="dxa"/>
          <w:trHeight w:val="1823" w:hRule="atLeast"/>
        </w:trPr>
        <w:tc>
          <w:tcPr>
            <w:tcW w:w="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9</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社会</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保障股</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1.督促相关部门拟定财政补助资金支出计划；</w:t>
            </w:r>
          </w:p>
          <w:p>
            <w:pPr>
              <w:widowControl/>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2.规范资金拨付流程，管好用好财政资金；</w:t>
            </w:r>
          </w:p>
          <w:p>
            <w:pPr>
              <w:widowControl/>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3.强化基金管理，提升管理水平。</w:t>
            </w:r>
          </w:p>
        </w:tc>
        <w:tc>
          <w:tcPr>
            <w:tcW w:w="8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1.按照补助资金管理办法，结合上年度收支规模，协调民政、人社、卫健、退役军人事务、残联等相关部门科学合理编制2025年补助资金支出预算。</w:t>
            </w:r>
          </w:p>
          <w:p>
            <w:pPr>
              <w:widowControl/>
              <w:spacing w:line="260" w:lineRule="exact"/>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2.配合各部门积极争取上级补助资金，加快资金拨付进度，从加强困难群众生活救助、实施积极就业创业政策、强化退役军人服务保障、推动社会福利事业发展、加强卫生服务体系建设等方面，兜实兜牢基本民生保障底线，并实时开展资金使用跟踪检查。</w:t>
            </w:r>
          </w:p>
          <w:p>
            <w:pPr>
              <w:widowControl/>
              <w:spacing w:line="260" w:lineRule="exact"/>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3.落实县级社会保险基金支出责任，科学编制社会保险基金预算，加强基金预算审核、执行工作，按照社会保险统筹层次和使用途径，及时分类上解各险种基金，规范基金收支管理。</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彭付军</w:t>
            </w:r>
          </w:p>
        </w:tc>
      </w:tr>
      <w:tr>
        <w:tblPrEx>
          <w:tblCellMar>
            <w:top w:w="0" w:type="dxa"/>
            <w:left w:w="0" w:type="dxa"/>
            <w:bottom w:w="0" w:type="dxa"/>
            <w:right w:w="0" w:type="dxa"/>
          </w:tblCellMar>
        </w:tblPrEx>
        <w:trPr>
          <w:gridAfter w:val="1"/>
          <w:wAfter w:w="15" w:type="dxa"/>
          <w:trHeight w:val="3083" w:hRule="atLeast"/>
        </w:trPr>
        <w:tc>
          <w:tcPr>
            <w:tcW w:w="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10</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自然</w:t>
            </w:r>
          </w:p>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资源与</w:t>
            </w:r>
          </w:p>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生态</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环境股</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hint="eastAsia" w:ascii="仿宋" w:hAnsi="仿宋" w:eastAsia="仿宋" w:cs="仿宋"/>
                <w:color w:val="000000"/>
                <w:sz w:val="24"/>
              </w:rPr>
              <w:t>.</w:t>
            </w:r>
            <w:r>
              <w:rPr>
                <w:rFonts w:hint="eastAsia" w:ascii="仿宋" w:hAnsi="仿宋" w:eastAsia="仿宋" w:cs="仿宋"/>
                <w:color w:val="000000"/>
                <w:kern w:val="0"/>
                <w:sz w:val="24"/>
                <w:lang w:bidi="ar"/>
              </w:rPr>
              <w:t>持续推动自然资源可持续发展；</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w:t>
            </w:r>
            <w:r>
              <w:rPr>
                <w:rFonts w:hint="eastAsia" w:ascii="仿宋" w:hAnsi="仿宋" w:eastAsia="仿宋" w:cs="仿宋"/>
                <w:color w:val="000000"/>
                <w:sz w:val="24"/>
              </w:rPr>
              <w:t>.</w:t>
            </w:r>
            <w:r>
              <w:rPr>
                <w:rFonts w:hint="eastAsia" w:ascii="仿宋" w:hAnsi="仿宋" w:eastAsia="仿宋" w:cs="仿宋"/>
                <w:color w:val="000000"/>
                <w:kern w:val="0"/>
                <w:sz w:val="24"/>
                <w:lang w:bidi="ar"/>
              </w:rPr>
              <w:t>全面推进生态保护与修复工作；</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w:t>
            </w:r>
            <w:r>
              <w:rPr>
                <w:rFonts w:hint="eastAsia" w:ascii="仿宋" w:hAnsi="仿宋" w:eastAsia="仿宋" w:cs="仿宋"/>
                <w:color w:val="000000"/>
                <w:sz w:val="24"/>
              </w:rPr>
              <w:t>.</w:t>
            </w:r>
            <w:r>
              <w:rPr>
                <w:rFonts w:hint="eastAsia" w:ascii="仿宋" w:hAnsi="仿宋" w:eastAsia="仿宋" w:cs="仿宋"/>
                <w:color w:val="000000"/>
                <w:kern w:val="0"/>
                <w:sz w:val="24"/>
                <w:lang w:bidi="ar"/>
              </w:rPr>
              <w:t>深入打好污染防治攻坚战；</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w:t>
            </w:r>
            <w:r>
              <w:rPr>
                <w:rFonts w:hint="eastAsia" w:ascii="仿宋" w:hAnsi="仿宋" w:eastAsia="仿宋" w:cs="仿宋"/>
                <w:color w:val="000000"/>
                <w:sz w:val="24"/>
              </w:rPr>
              <w:t>.</w:t>
            </w:r>
            <w:r>
              <w:rPr>
                <w:rFonts w:hint="eastAsia" w:ascii="仿宋" w:hAnsi="仿宋" w:eastAsia="仿宋" w:cs="仿宋"/>
                <w:color w:val="000000"/>
                <w:kern w:val="0"/>
                <w:sz w:val="24"/>
                <w:lang w:bidi="ar"/>
              </w:rPr>
              <w:t>不断提升应急保障能力；</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5</w:t>
            </w:r>
            <w:r>
              <w:rPr>
                <w:rFonts w:hint="eastAsia" w:ascii="仿宋" w:hAnsi="仿宋" w:eastAsia="仿宋" w:cs="仿宋"/>
                <w:color w:val="000000"/>
                <w:sz w:val="24"/>
              </w:rPr>
              <w:t>.</w:t>
            </w:r>
            <w:r>
              <w:rPr>
                <w:rFonts w:hint="eastAsia" w:ascii="仿宋" w:hAnsi="仿宋" w:eastAsia="仿宋" w:cs="仿宋"/>
                <w:color w:val="000000"/>
                <w:kern w:val="0"/>
                <w:sz w:val="24"/>
                <w:lang w:bidi="ar"/>
              </w:rPr>
              <w:t>强化绩效管理，提高资金支付效率。</w:t>
            </w:r>
          </w:p>
        </w:tc>
        <w:tc>
          <w:tcPr>
            <w:tcW w:w="8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hint="eastAsia" w:ascii="仿宋" w:hAnsi="仿宋" w:eastAsia="仿宋" w:cs="仿宋"/>
                <w:color w:val="000000"/>
                <w:sz w:val="24"/>
              </w:rPr>
              <w:t>.</w:t>
            </w:r>
            <w:r>
              <w:rPr>
                <w:rFonts w:hint="eastAsia" w:ascii="仿宋" w:hAnsi="仿宋" w:eastAsia="仿宋" w:cs="仿宋"/>
                <w:color w:val="000000"/>
                <w:kern w:val="0"/>
                <w:sz w:val="24"/>
                <w:lang w:bidi="ar"/>
              </w:rPr>
              <w:t>支持自然资源开发利用，推动历史遗留矿山治理、基础测绘、地质勘探、国土空间规划编制和耕地整治质量提升等工作。</w:t>
            </w:r>
          </w:p>
          <w:p>
            <w:pPr>
              <w:widowControl/>
              <w:spacing w:line="2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w:t>
            </w:r>
            <w:r>
              <w:rPr>
                <w:rFonts w:hint="eastAsia" w:ascii="仿宋" w:hAnsi="仿宋" w:eastAsia="仿宋" w:cs="仿宋"/>
                <w:color w:val="000000"/>
                <w:sz w:val="24"/>
              </w:rPr>
              <w:t>.</w:t>
            </w:r>
            <w:r>
              <w:rPr>
                <w:rFonts w:hint="eastAsia" w:ascii="仿宋" w:hAnsi="仿宋" w:eastAsia="仿宋" w:cs="仿宋"/>
                <w:color w:val="000000"/>
                <w:kern w:val="0"/>
                <w:sz w:val="24"/>
                <w:lang w:bidi="ar"/>
              </w:rPr>
              <w:t>坚持山水林田湖草沙一体化保护和系统治理，坚持生态林、经济林相结合，大力发展现代林业，持续巩固退耕还林成果。</w:t>
            </w:r>
          </w:p>
          <w:p>
            <w:pPr>
              <w:widowControl/>
              <w:spacing w:line="2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w:t>
            </w:r>
            <w:r>
              <w:rPr>
                <w:rFonts w:hint="eastAsia" w:ascii="仿宋" w:hAnsi="仿宋" w:eastAsia="仿宋" w:cs="仿宋"/>
                <w:color w:val="000000"/>
                <w:sz w:val="24"/>
              </w:rPr>
              <w:t>.</w:t>
            </w:r>
            <w:r>
              <w:rPr>
                <w:rFonts w:hint="eastAsia" w:ascii="仿宋" w:hAnsi="仿宋" w:eastAsia="仿宋" w:cs="仿宋"/>
                <w:color w:val="000000"/>
                <w:kern w:val="0"/>
                <w:sz w:val="24"/>
                <w:lang w:bidi="ar"/>
              </w:rPr>
              <w:t xml:space="preserve">以改善生态环境质量结果为导向，扎实做好优质环保项目储备，积极向上争取中央水污染防治等环保治理项目，努力实现经济效益与生态效益共赢。 </w:t>
            </w:r>
          </w:p>
          <w:p>
            <w:pPr>
              <w:widowControl/>
              <w:spacing w:line="2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w:t>
            </w:r>
            <w:r>
              <w:rPr>
                <w:rFonts w:hint="eastAsia" w:ascii="仿宋" w:hAnsi="仿宋" w:eastAsia="仿宋" w:cs="仿宋"/>
                <w:color w:val="000000"/>
                <w:sz w:val="24"/>
              </w:rPr>
              <w:t>.</w:t>
            </w:r>
            <w:r>
              <w:rPr>
                <w:rFonts w:hint="eastAsia" w:ascii="仿宋" w:hAnsi="仿宋" w:eastAsia="仿宋" w:cs="仿宋"/>
                <w:color w:val="000000"/>
                <w:kern w:val="0"/>
                <w:sz w:val="24"/>
                <w:lang w:bidi="ar"/>
              </w:rPr>
              <w:t>牢固树立安全发展理念，高效用好安全生产补助和自然灾害救灾资金，全力支持应急救援力量建设和防汛抗旱、森林植被防灭火等工作。</w:t>
            </w:r>
          </w:p>
          <w:p>
            <w:pPr>
              <w:widowControl/>
              <w:spacing w:line="2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5</w:t>
            </w:r>
            <w:r>
              <w:rPr>
                <w:rFonts w:hint="eastAsia" w:ascii="仿宋" w:hAnsi="仿宋" w:eastAsia="仿宋" w:cs="仿宋"/>
                <w:color w:val="000000"/>
                <w:sz w:val="24"/>
              </w:rPr>
              <w:t>.</w:t>
            </w:r>
            <w:r>
              <w:rPr>
                <w:rFonts w:hint="eastAsia" w:ascii="仿宋" w:hAnsi="仿宋" w:eastAsia="仿宋" w:cs="仿宋"/>
                <w:color w:val="000000"/>
                <w:kern w:val="0"/>
                <w:sz w:val="24"/>
                <w:lang w:bidi="ar"/>
              </w:rPr>
              <w:t xml:space="preserve">加强专项资金管理，加快工程项目进度和资金执行进度。重点跟进随州市中央财政油茶产业发展示范奖补项目，加大与县林业局沟通力度，及时跟进项目进展，督促项目主管部门组织技术力量，加快验收进度，确保资金安全、准确、及时拨付到位。                                                                                                 </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刘朝辉</w:t>
            </w:r>
          </w:p>
        </w:tc>
      </w:tr>
      <w:tr>
        <w:tblPrEx>
          <w:tblCellMar>
            <w:top w:w="0" w:type="dxa"/>
            <w:left w:w="0" w:type="dxa"/>
            <w:bottom w:w="0" w:type="dxa"/>
            <w:right w:w="0" w:type="dxa"/>
          </w:tblCellMar>
        </w:tblPrEx>
        <w:trPr>
          <w:gridAfter w:val="1"/>
          <w:wAfter w:w="15" w:type="dxa"/>
          <w:trHeight w:val="536" w:hRule="atLeast"/>
        </w:trPr>
        <w:tc>
          <w:tcPr>
            <w:tcW w:w="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黑体" w:hAnsi="黑体" w:eastAsia="黑体" w:cs="仿宋"/>
                <w:color w:val="000000"/>
                <w:kern w:val="0"/>
                <w:sz w:val="24"/>
                <w:lang w:bidi="ar"/>
              </w:rPr>
              <w:t>序号</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pPr>
              <w:widowControl/>
              <w:jc w:val="center"/>
              <w:textAlignment w:val="center"/>
              <w:rPr>
                <w:rFonts w:hint="eastAsia" w:ascii="仿宋" w:hAnsi="仿宋" w:eastAsia="仿宋" w:cs="仿宋"/>
                <w:color w:val="000000"/>
                <w:kern w:val="0"/>
                <w:sz w:val="24"/>
                <w:lang w:bidi="ar"/>
              </w:rPr>
            </w:pPr>
            <w:r>
              <w:rPr>
                <w:rFonts w:hint="eastAsia" w:ascii="黑体" w:hAnsi="黑体" w:eastAsia="黑体" w:cs="仿宋"/>
                <w:color w:val="000000"/>
                <w:kern w:val="0"/>
                <w:sz w:val="18"/>
                <w:szCs w:val="18"/>
                <w:lang w:bidi="ar"/>
              </w:rPr>
              <w:t>（股室）</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黑体" w:hAnsi="黑体" w:eastAsia="黑体" w:cs="仿宋"/>
                <w:color w:val="000000"/>
                <w:kern w:val="0"/>
                <w:sz w:val="24"/>
                <w:lang w:bidi="ar"/>
              </w:rPr>
              <w:t>重点工作任务</w:t>
            </w:r>
          </w:p>
        </w:tc>
        <w:tc>
          <w:tcPr>
            <w:tcW w:w="8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kern w:val="0"/>
                <w:sz w:val="24"/>
                <w:lang w:bidi="ar"/>
              </w:rPr>
            </w:pPr>
            <w:r>
              <w:rPr>
                <w:rFonts w:hint="eastAsia" w:ascii="黑体" w:hAnsi="黑体" w:eastAsia="黑体" w:cs="仿宋"/>
                <w:color w:val="000000"/>
                <w:kern w:val="0"/>
                <w:sz w:val="24"/>
                <w:lang w:bidi="ar"/>
              </w:rPr>
              <w:t>具体落实措施</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黑体" w:hAnsi="黑体" w:eastAsia="黑体" w:cs="仿宋"/>
                <w:color w:val="000000"/>
                <w:kern w:val="0"/>
                <w:sz w:val="24"/>
                <w:lang w:bidi="ar"/>
              </w:rPr>
              <w:t>责任领导</w:t>
            </w:r>
          </w:p>
        </w:tc>
      </w:tr>
      <w:tr>
        <w:tblPrEx>
          <w:tblCellMar>
            <w:top w:w="0" w:type="dxa"/>
            <w:left w:w="0" w:type="dxa"/>
            <w:bottom w:w="0" w:type="dxa"/>
            <w:right w:w="0" w:type="dxa"/>
          </w:tblCellMar>
        </w:tblPrEx>
        <w:trPr>
          <w:gridAfter w:val="1"/>
          <w:wAfter w:w="15" w:type="dxa"/>
          <w:trHeight w:val="4855" w:hRule="atLeast"/>
        </w:trPr>
        <w:tc>
          <w:tcPr>
            <w:tcW w:w="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11</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产业</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发展股</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widowControl/>
              <w:spacing w:before="60" w:beforeAutospacing="0" w:after="60" w:afterAutospacing="0" w:line="360" w:lineRule="exact"/>
              <w:rPr>
                <w:rFonts w:hint="eastAsia" w:ascii="仿宋" w:hAnsi="仿宋" w:eastAsia="仿宋" w:cs="仿宋"/>
                <w:color w:val="000000"/>
              </w:rPr>
            </w:pPr>
            <w:r>
              <w:rPr>
                <w:rFonts w:hint="eastAsia" w:ascii="仿宋" w:hAnsi="仿宋" w:eastAsia="仿宋" w:cs="仿宋"/>
                <w:color w:val="000000"/>
              </w:rPr>
              <w:t>1.继续优化营商环境，配合相关主管部门完善“免申即享”信息平台，完善优化相关惠企政策清单；</w:t>
            </w:r>
          </w:p>
          <w:p>
            <w:pPr>
              <w:pStyle w:val="8"/>
              <w:widowControl/>
              <w:spacing w:before="60" w:beforeAutospacing="0" w:after="60" w:afterAutospacing="0" w:line="360" w:lineRule="exact"/>
              <w:rPr>
                <w:rFonts w:hint="eastAsia" w:ascii="仿宋" w:hAnsi="仿宋" w:eastAsia="仿宋" w:cs="仿宋"/>
                <w:color w:val="000000"/>
              </w:rPr>
            </w:pPr>
            <w:r>
              <w:rPr>
                <w:rFonts w:hint="eastAsia" w:ascii="仿宋" w:hAnsi="仿宋" w:eastAsia="仿宋" w:cs="仿宋"/>
                <w:color w:val="000000"/>
              </w:rPr>
              <w:t>2.做好存续期内的招商引资企业政策兑现；</w:t>
            </w:r>
          </w:p>
          <w:p>
            <w:pPr>
              <w:pStyle w:val="8"/>
              <w:widowControl/>
              <w:spacing w:before="60" w:beforeAutospacing="0" w:after="60" w:afterAutospacing="0" w:line="360" w:lineRule="exact"/>
              <w:rPr>
                <w:rFonts w:hint="eastAsia" w:ascii="仿宋" w:hAnsi="仿宋" w:eastAsia="仿宋" w:cs="仿宋"/>
                <w:color w:val="000000"/>
              </w:rPr>
            </w:pPr>
            <w:r>
              <w:rPr>
                <w:rFonts w:hint="eastAsia" w:ascii="仿宋" w:hAnsi="仿宋" w:eastAsia="仿宋" w:cs="仿宋"/>
                <w:color w:val="000000"/>
              </w:rPr>
              <w:t>3.配合相关部门，加大涉企项目申报力度；</w:t>
            </w:r>
          </w:p>
          <w:p>
            <w:pPr>
              <w:pStyle w:val="8"/>
              <w:widowControl/>
              <w:spacing w:before="60" w:beforeAutospacing="0" w:after="60" w:afterAutospacing="0" w:line="360" w:lineRule="exact"/>
              <w:rPr>
                <w:rFonts w:eastAsia="仿宋"/>
              </w:rPr>
            </w:pPr>
            <w:r>
              <w:rPr>
                <w:rFonts w:hint="eastAsia" w:ascii="仿宋" w:hAnsi="仿宋" w:eastAsia="仿宋" w:cs="仿宋"/>
                <w:color w:val="000000"/>
              </w:rPr>
              <w:t>4.继续推动电子商务服务体系建设项目进度。</w:t>
            </w:r>
          </w:p>
        </w:tc>
        <w:tc>
          <w:tcPr>
            <w:tcW w:w="8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widowControl/>
              <w:spacing w:before="60" w:beforeAutospacing="0" w:after="60" w:afterAutospacing="0" w:line="360" w:lineRule="exact"/>
              <w:rPr>
                <w:rFonts w:eastAsia="仿宋"/>
              </w:rPr>
            </w:pPr>
            <w:r>
              <w:rPr>
                <w:rFonts w:hint="eastAsia" w:ascii="仿宋" w:hAnsi="仿宋" w:eastAsia="仿宋" w:cs="仿宋"/>
                <w:color w:val="000000"/>
              </w:rPr>
              <w:t>1.持续完善“免申即享”信息平台，优化相关惠企政策清单。探索“能上能下”长效机制，动态更新惠企政策清单内容，规范工作流程，简化审批流程，使资金等政策红利更加高效快速的到达受惠企业。对包保企业建立定期走访机制，将“我为企业争跑创”落到实处。</w:t>
            </w:r>
          </w:p>
          <w:p>
            <w:pPr>
              <w:pStyle w:val="8"/>
              <w:widowControl/>
              <w:spacing w:before="60" w:beforeAutospacing="0" w:after="60" w:afterAutospacing="0" w:line="360" w:lineRule="exact"/>
              <w:rPr>
                <w:rFonts w:hint="eastAsia" w:ascii="仿宋" w:hAnsi="仿宋" w:eastAsia="仿宋" w:cs="仿宋"/>
                <w:color w:val="000000"/>
              </w:rPr>
            </w:pPr>
            <w:r>
              <w:rPr>
                <w:rFonts w:hint="eastAsia" w:ascii="仿宋" w:hAnsi="仿宋" w:eastAsia="仿宋" w:cs="仿宋"/>
                <w:color w:val="000000"/>
              </w:rPr>
              <w:t>2.做好存续期内的招商引资企业政策兑现，同时要深入思考新形势下引资模式，例如设立产业引导基金，以投促引，以投代补等。</w:t>
            </w:r>
          </w:p>
          <w:p>
            <w:pPr>
              <w:pStyle w:val="8"/>
              <w:widowControl/>
              <w:spacing w:before="60" w:beforeAutospacing="0" w:after="60" w:afterAutospacing="0" w:line="360" w:lineRule="exact"/>
              <w:rPr>
                <w:rFonts w:eastAsia="仿宋"/>
              </w:rPr>
            </w:pPr>
            <w:r>
              <w:rPr>
                <w:rFonts w:hint="eastAsia" w:ascii="仿宋" w:hAnsi="仿宋" w:eastAsia="仿宋" w:cs="仿宋"/>
                <w:color w:val="000000"/>
              </w:rPr>
              <w:t>3.继续配合相关部门，加大涉企项目申报力度。重点是商务、经信、科技项目的对上级政策筛选申报，探索审核前置机制，积极争取一批精准特新项目落地，助力县域企业发展壮大。</w:t>
            </w:r>
          </w:p>
          <w:p>
            <w:pPr>
              <w:pStyle w:val="8"/>
              <w:widowControl/>
              <w:spacing w:before="60" w:beforeAutospacing="0" w:after="60" w:afterAutospacing="0" w:line="360" w:lineRule="exact"/>
            </w:pPr>
            <w:r>
              <w:rPr>
                <w:rFonts w:hint="eastAsia" w:ascii="仿宋" w:hAnsi="仿宋" w:eastAsia="仿宋" w:cs="仿宋"/>
                <w:color w:val="000000"/>
              </w:rPr>
              <w:t>4.推动电子商务服务体系建设项目进度。一方面做好该项目一期的验收收尾工作，另一方面配合科经局做好二期项目推进后资金的规范使用，确保项目建成达效。</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高  见</w:t>
            </w:r>
          </w:p>
        </w:tc>
      </w:tr>
      <w:tr>
        <w:tblPrEx>
          <w:tblCellMar>
            <w:top w:w="0" w:type="dxa"/>
            <w:left w:w="0" w:type="dxa"/>
            <w:bottom w:w="0" w:type="dxa"/>
            <w:right w:w="0" w:type="dxa"/>
          </w:tblCellMar>
        </w:tblPrEx>
        <w:trPr>
          <w:gridAfter w:val="1"/>
          <w:wAfter w:w="15" w:type="dxa"/>
          <w:trHeight w:val="2851" w:hRule="atLeast"/>
        </w:trPr>
        <w:tc>
          <w:tcPr>
            <w:tcW w:w="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12</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金融与国际</w:t>
            </w:r>
          </w:p>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财经</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合作股</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hint="eastAsia" w:ascii="仿宋" w:hAnsi="仿宋" w:eastAsia="仿宋" w:cs="仿宋"/>
                <w:color w:val="000000"/>
                <w:sz w:val="24"/>
              </w:rPr>
              <w:t>.</w:t>
            </w:r>
            <w:r>
              <w:rPr>
                <w:rFonts w:hint="eastAsia" w:ascii="仿宋" w:hAnsi="仿宋" w:eastAsia="仿宋" w:cs="仿宋"/>
                <w:color w:val="000000"/>
                <w:kern w:val="0"/>
                <w:sz w:val="24"/>
                <w:lang w:bidi="ar"/>
              </w:rPr>
              <w:t>筹集“三农”保险资金，规范开展“三农”保险；</w:t>
            </w:r>
          </w:p>
          <w:p>
            <w:pPr>
              <w:widowControl/>
              <w:spacing w:line="3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w:t>
            </w:r>
            <w:r>
              <w:rPr>
                <w:rFonts w:hint="eastAsia" w:ascii="仿宋" w:hAnsi="仿宋" w:eastAsia="仿宋" w:cs="仿宋"/>
                <w:color w:val="000000"/>
                <w:sz w:val="24"/>
              </w:rPr>
              <w:t>.</w:t>
            </w:r>
            <w:r>
              <w:rPr>
                <w:rFonts w:hint="eastAsia" w:ascii="仿宋" w:hAnsi="仿宋" w:eastAsia="仿宋" w:cs="仿宋"/>
                <w:color w:val="000000"/>
                <w:kern w:val="0"/>
                <w:sz w:val="24"/>
                <w:lang w:bidi="ar"/>
              </w:rPr>
              <w:t>实施创业担保贴息贷款，支持创业就业工作；</w:t>
            </w:r>
          </w:p>
          <w:p>
            <w:pPr>
              <w:widowControl/>
              <w:spacing w:line="3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w:t>
            </w:r>
            <w:r>
              <w:rPr>
                <w:rFonts w:hint="eastAsia" w:ascii="仿宋" w:hAnsi="仿宋" w:eastAsia="仿宋" w:cs="仿宋"/>
                <w:color w:val="000000"/>
                <w:sz w:val="24"/>
              </w:rPr>
              <w:t>.</w:t>
            </w:r>
            <w:r>
              <w:rPr>
                <w:rFonts w:hint="eastAsia" w:ascii="仿宋" w:hAnsi="仿宋" w:eastAsia="仿宋" w:cs="仿宋"/>
                <w:color w:val="000000"/>
                <w:kern w:val="0"/>
                <w:sz w:val="24"/>
                <w:lang w:bidi="ar"/>
              </w:rPr>
              <w:t>加强与随州市中小企业融资担保有限公司对接，加大其对随县小微企业及个人提供担保支持力度。</w:t>
            </w:r>
          </w:p>
        </w:tc>
        <w:tc>
          <w:tcPr>
            <w:tcW w:w="8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hint="eastAsia" w:ascii="仿宋" w:hAnsi="仿宋" w:eastAsia="仿宋" w:cs="仿宋"/>
                <w:color w:val="000000"/>
                <w:sz w:val="24"/>
              </w:rPr>
              <w:t>.</w:t>
            </w:r>
            <w:r>
              <w:rPr>
                <w:rFonts w:hint="eastAsia" w:ascii="仿宋" w:hAnsi="仿宋" w:eastAsia="仿宋" w:cs="仿宋"/>
                <w:color w:val="000000"/>
                <w:kern w:val="0"/>
                <w:sz w:val="24"/>
                <w:lang w:bidi="ar"/>
              </w:rPr>
              <w:t>及时做好“三农”保险贴息资金的拨付和结算，加强财政监管工作，通过走访网点和农户，抽查承保保单凭证是否到户，承保、理赔保费是否到位。规范保单凭证的填写和发放环节。</w:t>
            </w:r>
          </w:p>
          <w:p>
            <w:pPr>
              <w:widowControl/>
              <w:spacing w:line="3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w:t>
            </w:r>
            <w:r>
              <w:rPr>
                <w:rFonts w:hint="eastAsia" w:ascii="仿宋" w:hAnsi="仿宋" w:eastAsia="仿宋" w:cs="仿宋"/>
                <w:color w:val="000000"/>
                <w:sz w:val="24"/>
              </w:rPr>
              <w:t>.</w:t>
            </w:r>
            <w:r>
              <w:rPr>
                <w:rFonts w:hint="eastAsia" w:ascii="仿宋" w:hAnsi="仿宋" w:eastAsia="仿宋" w:cs="仿宋"/>
                <w:color w:val="000000"/>
                <w:kern w:val="0"/>
                <w:sz w:val="24"/>
                <w:lang w:bidi="ar"/>
              </w:rPr>
              <w:t>按照每季度时间要求配合小额担保中心做好2025年创业担保贷款财政贴息资金的审核拨付工作。</w:t>
            </w:r>
          </w:p>
          <w:p>
            <w:pPr>
              <w:widowControl/>
              <w:spacing w:line="3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w:t>
            </w:r>
            <w:r>
              <w:rPr>
                <w:rFonts w:hint="eastAsia" w:ascii="仿宋" w:hAnsi="仿宋" w:eastAsia="仿宋" w:cs="仿宋"/>
                <w:color w:val="000000"/>
                <w:sz w:val="24"/>
              </w:rPr>
              <w:t>.</w:t>
            </w:r>
            <w:r>
              <w:rPr>
                <w:rFonts w:hint="eastAsia" w:ascii="仿宋" w:hAnsi="仿宋" w:eastAsia="仿宋" w:cs="仿宋"/>
                <w:color w:val="000000"/>
                <w:kern w:val="0"/>
                <w:sz w:val="24"/>
                <w:lang w:bidi="ar"/>
              </w:rPr>
              <w:t>积极与随州市中小企业融资担保有限公司沟通，争取更多政策支持随县中小微企业及个人发展。</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高  见</w:t>
            </w:r>
          </w:p>
        </w:tc>
      </w:tr>
      <w:tr>
        <w:tblPrEx>
          <w:tblCellMar>
            <w:top w:w="0" w:type="dxa"/>
            <w:left w:w="0" w:type="dxa"/>
            <w:bottom w:w="0" w:type="dxa"/>
            <w:right w:w="0" w:type="dxa"/>
          </w:tblCellMar>
        </w:tblPrEx>
        <w:trPr>
          <w:gridAfter w:val="1"/>
          <w:wAfter w:w="15" w:type="dxa"/>
          <w:trHeight w:val="820" w:hRule="atLeast"/>
        </w:trPr>
        <w:tc>
          <w:tcPr>
            <w:tcW w:w="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黑体" w:hAnsi="黑体" w:eastAsia="黑体" w:cs="仿宋"/>
                <w:color w:val="000000"/>
                <w:kern w:val="0"/>
                <w:sz w:val="24"/>
                <w:lang w:bidi="ar"/>
              </w:rPr>
              <w:t>序号</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pPr>
              <w:widowControl/>
              <w:jc w:val="center"/>
              <w:textAlignment w:val="center"/>
              <w:rPr>
                <w:rFonts w:hint="eastAsia" w:ascii="仿宋" w:hAnsi="仿宋" w:eastAsia="仿宋" w:cs="仿宋"/>
                <w:color w:val="000000"/>
                <w:kern w:val="0"/>
                <w:sz w:val="24"/>
                <w:lang w:bidi="ar"/>
              </w:rPr>
            </w:pPr>
            <w:r>
              <w:rPr>
                <w:rFonts w:hint="eastAsia" w:ascii="黑体" w:hAnsi="黑体" w:eastAsia="黑体" w:cs="仿宋"/>
                <w:color w:val="000000"/>
                <w:kern w:val="0"/>
                <w:sz w:val="18"/>
                <w:szCs w:val="18"/>
                <w:lang w:bidi="ar"/>
              </w:rPr>
              <w:t>（股室）</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黑体" w:hAnsi="黑体" w:eastAsia="黑体" w:cs="仿宋"/>
                <w:color w:val="000000"/>
                <w:kern w:val="0"/>
                <w:sz w:val="24"/>
                <w:lang w:bidi="ar"/>
              </w:rPr>
              <w:t>重点工作任务</w:t>
            </w:r>
          </w:p>
        </w:tc>
        <w:tc>
          <w:tcPr>
            <w:tcW w:w="8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黑体" w:hAnsi="黑体" w:eastAsia="黑体" w:cs="仿宋"/>
                <w:color w:val="000000"/>
                <w:kern w:val="0"/>
                <w:sz w:val="24"/>
                <w:lang w:bidi="ar"/>
              </w:rPr>
              <w:t>具体落实措施</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黑体" w:hAnsi="黑体" w:eastAsia="黑体" w:cs="仿宋"/>
                <w:color w:val="000000"/>
                <w:kern w:val="0"/>
                <w:sz w:val="24"/>
                <w:lang w:bidi="ar"/>
              </w:rPr>
              <w:t>责任领导</w:t>
            </w:r>
          </w:p>
        </w:tc>
      </w:tr>
      <w:tr>
        <w:tblPrEx>
          <w:tblCellMar>
            <w:top w:w="0" w:type="dxa"/>
            <w:left w:w="0" w:type="dxa"/>
            <w:bottom w:w="0" w:type="dxa"/>
            <w:right w:w="0" w:type="dxa"/>
          </w:tblCellMar>
        </w:tblPrEx>
        <w:trPr>
          <w:gridAfter w:val="1"/>
          <w:wAfter w:w="15" w:type="dxa"/>
          <w:trHeight w:val="4092" w:hRule="atLeast"/>
        </w:trPr>
        <w:tc>
          <w:tcPr>
            <w:tcW w:w="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13</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农业股</w:t>
            </w:r>
          </w:p>
        </w:tc>
        <w:tc>
          <w:tcPr>
            <w:tcW w:w="3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1.切实加强部门预算编制，提高部门预算资金使用效益；</w:t>
            </w:r>
          </w:p>
          <w:p>
            <w:pPr>
              <w:widowControl/>
              <w:spacing w:line="34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2.积极探索支农政策机制创新；</w:t>
            </w:r>
          </w:p>
          <w:p>
            <w:pPr>
              <w:widowControl/>
              <w:spacing w:line="34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3.加强惠农补贴“一卡通”动态管理，强化公共检测、粮食储备轮换工作；</w:t>
            </w:r>
          </w:p>
          <w:p>
            <w:pPr>
              <w:widowControl/>
              <w:spacing w:line="34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4.扎实推进乡村全面振兴；</w:t>
            </w:r>
          </w:p>
          <w:p>
            <w:pPr>
              <w:widowControl/>
              <w:spacing w:line="34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5.进一步完善支农资金监管。</w:t>
            </w:r>
          </w:p>
        </w:tc>
        <w:tc>
          <w:tcPr>
            <w:tcW w:w="8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1.提高部门预算资金使用绩效，切实支持农村基础设施建设和产业发展，围绕农田水利基础设施建设、农业科技推广、农业专业合作社提档升级、农业产业化经营，强化各项支农政策落实。加强资金筹集，确保动物防疫、农村安全饮水、小型水利设施管护等工作顺利开展</w:t>
            </w:r>
            <w:r>
              <w:rPr>
                <w:rFonts w:hint="eastAsia" w:ascii="仿宋" w:hAnsi="仿宋" w:eastAsia="仿宋" w:cs="仿宋"/>
                <w:color w:val="000000"/>
                <w:kern w:val="0"/>
                <w:sz w:val="24"/>
                <w:lang w:bidi="ar"/>
              </w:rPr>
              <w:t>。</w:t>
            </w:r>
          </w:p>
          <w:p>
            <w:pPr>
              <w:widowControl/>
              <w:spacing w:line="34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2.探索支农政策资金结果导向分配机制，发挥财政资金杠杆效应。注重支农资金整合，形成支农合力，坚持以县为主、筹划引导、项目带动的发展模式。加强农业社会化服务、探索公益性项目长期管护机制</w:t>
            </w:r>
            <w:r>
              <w:rPr>
                <w:rFonts w:hint="eastAsia" w:ascii="仿宋" w:hAnsi="仿宋" w:eastAsia="仿宋" w:cs="仿宋"/>
                <w:color w:val="000000"/>
                <w:kern w:val="0"/>
                <w:sz w:val="24"/>
                <w:lang w:bidi="ar"/>
              </w:rPr>
              <w:t>。</w:t>
            </w:r>
          </w:p>
          <w:p>
            <w:pPr>
              <w:widowControl/>
              <w:spacing w:line="34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3.加强管理，落实耕地地力保护补贴、稻谷补贴、农机购置补贴等惠农补贴不折不扣落到实处。逐步扩大公共检测品类范围，规范粮食储备轮换数量和品类管理，落实粮食轮换等费用，确保我县公共检测、粮食储备工作规范有序</w:t>
            </w:r>
            <w:r>
              <w:rPr>
                <w:rFonts w:hint="eastAsia" w:ascii="仿宋" w:hAnsi="仿宋" w:eastAsia="仿宋" w:cs="仿宋"/>
                <w:color w:val="000000"/>
                <w:kern w:val="0"/>
                <w:sz w:val="24"/>
                <w:lang w:bidi="ar"/>
              </w:rPr>
              <w:t>。</w:t>
            </w:r>
          </w:p>
          <w:p>
            <w:pPr>
              <w:widowControl/>
              <w:spacing w:line="34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4.落实县委、县政府年初项目资金使用计划，聚焦“守底线、抓发展、促振兴”工作目标，切实落实工作责任</w:t>
            </w:r>
            <w:r>
              <w:rPr>
                <w:rFonts w:hint="eastAsia" w:ascii="仿宋" w:hAnsi="仿宋" w:eastAsia="仿宋" w:cs="仿宋"/>
                <w:color w:val="000000"/>
                <w:kern w:val="0"/>
                <w:sz w:val="24"/>
                <w:lang w:bidi="ar"/>
              </w:rPr>
              <w:t>。</w:t>
            </w:r>
          </w:p>
          <w:p>
            <w:pPr>
              <w:widowControl/>
              <w:spacing w:line="34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5.坚持做到制度完善、严格按照程序办事、做到资金跟着项目走、杜绝截留、挪用、套取财政资金的情况发生。</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刘朝辉</w:t>
            </w:r>
          </w:p>
        </w:tc>
      </w:tr>
      <w:tr>
        <w:tblPrEx>
          <w:tblCellMar>
            <w:top w:w="0" w:type="dxa"/>
            <w:left w:w="0" w:type="dxa"/>
            <w:bottom w:w="0" w:type="dxa"/>
            <w:right w:w="0" w:type="dxa"/>
          </w:tblCellMar>
        </w:tblPrEx>
        <w:trPr>
          <w:gridAfter w:val="1"/>
          <w:wAfter w:w="15" w:type="dxa"/>
          <w:trHeight w:val="2975" w:hRule="atLeast"/>
        </w:trPr>
        <w:tc>
          <w:tcPr>
            <w:tcW w:w="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14</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监督股（会计股）</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40" w:lineRule="exact"/>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1.开展会计和评估监督检查工作；</w:t>
            </w:r>
          </w:p>
          <w:p>
            <w:pPr>
              <w:pStyle w:val="9"/>
              <w:spacing w:line="340" w:lineRule="exact"/>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2.发挥财会监督工作职能，开展全年各项检查工作；</w:t>
            </w:r>
          </w:p>
          <w:p>
            <w:pPr>
              <w:pStyle w:val="9"/>
              <w:spacing w:line="340" w:lineRule="exact"/>
              <w:jc w:val="left"/>
              <w:rPr>
                <w:rFonts w:hint="eastAsia" w:ascii="仿宋" w:hAnsi="仿宋" w:eastAsia="仿宋" w:cs="仿宋"/>
                <w:color w:val="000000"/>
                <w:sz w:val="24"/>
                <w:szCs w:val="24"/>
              </w:rPr>
            </w:pPr>
            <w:r>
              <w:rPr>
                <w:rFonts w:hint="eastAsia" w:ascii="仿宋" w:hAnsi="仿宋" w:eastAsia="仿宋"/>
                <w:color w:val="000000" w:themeColor="text1"/>
                <w:sz w:val="24"/>
                <w:szCs w:val="24"/>
                <w14:textFill>
                  <w14:solidFill>
                    <w14:schemeClr w14:val="tx1"/>
                  </w14:solidFill>
                </w14:textFill>
              </w:rPr>
              <w:t>3.开展全县预算和决算公开情况专项检查工作。</w:t>
            </w:r>
          </w:p>
        </w:tc>
        <w:tc>
          <w:tcPr>
            <w:tcW w:w="8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left"/>
              <w:textAlignment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1.按照相关要求，督促被检查单位进行查后整改工作，按要求提供整改相关佐证资料，做好整改资料的回收和存档。</w:t>
            </w:r>
          </w:p>
          <w:p>
            <w:pPr>
              <w:widowControl/>
              <w:spacing w:line="340" w:lineRule="exact"/>
              <w:jc w:val="left"/>
              <w:textAlignment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2.组织检查专班，积极开展2025年会计和评估监督检查等相关工作。</w:t>
            </w:r>
          </w:p>
          <w:p>
            <w:pPr>
              <w:widowControl/>
              <w:spacing w:line="340" w:lineRule="exact"/>
              <w:jc w:val="left"/>
              <w:textAlignment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3.到各单位开展内部监督检查工作，督促被检查单位及时整改并提交整改报告。</w:t>
            </w:r>
          </w:p>
          <w:p>
            <w:pPr>
              <w:widowControl/>
              <w:spacing w:line="340" w:lineRule="exact"/>
              <w:jc w:val="left"/>
              <w:textAlignment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4.按要求完成县政府及局党组安排的其他财政监督工作。</w:t>
            </w:r>
          </w:p>
          <w:p>
            <w:pPr>
              <w:widowControl/>
              <w:spacing w:line="340" w:lineRule="exact"/>
              <w:jc w:val="left"/>
              <w:textAlignment w:val="center"/>
              <w:rPr>
                <w:rFonts w:hint="eastAsia" w:ascii="仿宋" w:hAnsi="仿宋" w:eastAsia="仿宋" w:cs="仿宋"/>
                <w:color w:val="000000"/>
                <w:kern w:val="0"/>
                <w:sz w:val="24"/>
                <w:lang w:bidi="ar"/>
              </w:rPr>
            </w:pPr>
            <w:r>
              <w:rPr>
                <w:rFonts w:hint="eastAsia" w:ascii="仿宋" w:hAnsi="仿宋" w:eastAsia="仿宋"/>
                <w:color w:val="000000" w:themeColor="text1"/>
                <w:sz w:val="24"/>
                <w14:textFill>
                  <w14:solidFill>
                    <w14:schemeClr w14:val="tx1"/>
                  </w14:solidFill>
                </w14:textFill>
              </w:rPr>
              <w:t>5.继续推进惠民惠农财政补贴资金“一卡通”政策落实，做好“一卡通”项目资金管理工作，协助发放工作，按照省最新要求积极推进预算管理一体化系统与“一卡通”系统数据对接交互工作。</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赵  铭</w:t>
            </w:r>
          </w:p>
        </w:tc>
      </w:tr>
      <w:tr>
        <w:tblPrEx>
          <w:tblCellMar>
            <w:top w:w="0" w:type="dxa"/>
            <w:left w:w="0" w:type="dxa"/>
            <w:bottom w:w="0" w:type="dxa"/>
            <w:right w:w="0" w:type="dxa"/>
          </w:tblCellMar>
        </w:tblPrEx>
        <w:trPr>
          <w:gridAfter w:val="1"/>
          <w:wAfter w:w="15" w:type="dxa"/>
          <w:trHeight w:val="536" w:hRule="atLeast"/>
        </w:trPr>
        <w:tc>
          <w:tcPr>
            <w:tcW w:w="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黑体" w:hAnsi="黑体" w:eastAsia="黑体" w:cs="仿宋"/>
                <w:color w:val="000000"/>
                <w:kern w:val="0"/>
                <w:sz w:val="24"/>
                <w:lang w:bidi="ar"/>
              </w:rPr>
              <w:t>序号</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pPr>
              <w:widowControl/>
              <w:jc w:val="center"/>
              <w:textAlignment w:val="center"/>
              <w:rPr>
                <w:rFonts w:hint="eastAsia" w:ascii="仿宋" w:hAnsi="仿宋" w:eastAsia="仿宋" w:cs="仿宋"/>
                <w:color w:val="000000"/>
                <w:kern w:val="0"/>
                <w:sz w:val="24"/>
                <w:lang w:bidi="ar"/>
              </w:rPr>
            </w:pPr>
            <w:r>
              <w:rPr>
                <w:rFonts w:hint="eastAsia" w:ascii="黑体" w:hAnsi="黑体" w:eastAsia="黑体" w:cs="仿宋"/>
                <w:color w:val="000000"/>
                <w:kern w:val="0"/>
                <w:sz w:val="18"/>
                <w:szCs w:val="18"/>
                <w:lang w:bidi="ar"/>
              </w:rPr>
              <w:t>（股室）</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olor w:val="000000" w:themeColor="text1"/>
                <w:sz w:val="24"/>
                <w14:textFill>
                  <w14:solidFill>
                    <w14:schemeClr w14:val="tx1"/>
                  </w14:solidFill>
                </w14:textFill>
              </w:rPr>
            </w:pPr>
            <w:r>
              <w:rPr>
                <w:rFonts w:hint="eastAsia" w:ascii="黑体" w:hAnsi="黑体" w:eastAsia="黑体" w:cs="仿宋"/>
                <w:color w:val="000000"/>
                <w:kern w:val="0"/>
                <w:sz w:val="24"/>
                <w:lang w:bidi="ar"/>
              </w:rPr>
              <w:t>重点工作任务</w:t>
            </w:r>
          </w:p>
        </w:tc>
        <w:tc>
          <w:tcPr>
            <w:tcW w:w="8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80" w:firstLineChars="200"/>
              <w:jc w:val="center"/>
              <w:textAlignment w:val="center"/>
              <w:rPr>
                <w:rFonts w:hint="eastAsia" w:ascii="仿宋" w:hAnsi="仿宋" w:eastAsia="仿宋"/>
                <w:color w:val="000000" w:themeColor="text1"/>
                <w:sz w:val="24"/>
                <w14:textFill>
                  <w14:solidFill>
                    <w14:schemeClr w14:val="tx1"/>
                  </w14:solidFill>
                </w14:textFill>
              </w:rPr>
            </w:pPr>
            <w:r>
              <w:rPr>
                <w:rFonts w:hint="eastAsia" w:ascii="黑体" w:hAnsi="黑体" w:eastAsia="黑体" w:cs="仿宋"/>
                <w:color w:val="000000"/>
                <w:kern w:val="0"/>
                <w:sz w:val="24"/>
                <w:lang w:bidi="ar"/>
              </w:rPr>
              <w:t>具体落实措施</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黑体" w:hAnsi="黑体" w:eastAsia="黑体" w:cs="仿宋"/>
                <w:color w:val="000000"/>
                <w:kern w:val="0"/>
                <w:sz w:val="24"/>
                <w:lang w:bidi="ar"/>
              </w:rPr>
              <w:t>责任领导</w:t>
            </w:r>
          </w:p>
        </w:tc>
      </w:tr>
      <w:tr>
        <w:tblPrEx>
          <w:tblCellMar>
            <w:top w:w="0" w:type="dxa"/>
            <w:left w:w="0" w:type="dxa"/>
            <w:bottom w:w="0" w:type="dxa"/>
            <w:right w:w="0" w:type="dxa"/>
          </w:tblCellMar>
        </w:tblPrEx>
        <w:trPr>
          <w:gridAfter w:val="1"/>
          <w:wAfter w:w="15" w:type="dxa"/>
          <w:trHeight w:val="2209" w:hRule="atLeast"/>
        </w:trPr>
        <w:tc>
          <w:tcPr>
            <w:tcW w:w="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15</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资产</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管理股（征管办）</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1.做好行政事业单位资产处置、出租收入和返还工作；</w:t>
            </w:r>
          </w:p>
          <w:p>
            <w:pPr>
              <w:widowControl/>
              <w:spacing w:line="260" w:lineRule="exact"/>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2.做好行政事业单位资产月报和年报上报工作：</w:t>
            </w:r>
          </w:p>
          <w:p>
            <w:pPr>
              <w:widowControl/>
              <w:spacing w:line="260" w:lineRule="exact"/>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3.落实大财政体系建设资产盘活工作，完成国有三资“三变”管控平台三资情况统计上报工作；</w:t>
            </w:r>
          </w:p>
          <w:p>
            <w:pPr>
              <w:widowControl/>
              <w:spacing w:line="260" w:lineRule="exact"/>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4.做好国企快报上报工作；</w:t>
            </w:r>
          </w:p>
          <w:p>
            <w:pPr>
              <w:widowControl/>
              <w:spacing w:line="260" w:lineRule="exact"/>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rPr>
              <w:t>5.做好合并撤销单位国有资产系统数据同步，确保国有资产不流失。</w:t>
            </w:r>
          </w:p>
        </w:tc>
        <w:tc>
          <w:tcPr>
            <w:tcW w:w="8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1.加强单位资产使用和处置审核监督，做到账实相符；做好国有资产收益资金拨付。</w:t>
            </w:r>
          </w:p>
          <w:p>
            <w:pPr>
              <w:widowControl/>
              <w:spacing w:line="260" w:lineRule="exact"/>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2.保质保量完成2025年全县行政事业单位国有资产年报编制工作，每月督促各单位定时报送行政事业单位国有资产数据。</w:t>
            </w:r>
          </w:p>
          <w:p>
            <w:pPr>
              <w:widowControl/>
              <w:spacing w:line="260" w:lineRule="exact"/>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3.督促单位和国企按要求报送国有三资“三变”管控平台三资数据和资产盘活情况。</w:t>
            </w:r>
          </w:p>
          <w:p>
            <w:pPr>
              <w:widowControl/>
              <w:spacing w:line="260" w:lineRule="exact"/>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4.每月督促国企定时报送国企快报数据。</w:t>
            </w:r>
          </w:p>
          <w:p>
            <w:pPr>
              <w:widowControl/>
              <w:spacing w:line="260" w:lineRule="exact"/>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5.对全县42家撤销合并单位资产系统数据进行转移同步。</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谢  力</w:t>
            </w:r>
          </w:p>
        </w:tc>
      </w:tr>
      <w:tr>
        <w:tblPrEx>
          <w:tblCellMar>
            <w:top w:w="0" w:type="dxa"/>
            <w:left w:w="0" w:type="dxa"/>
            <w:bottom w:w="0" w:type="dxa"/>
            <w:right w:w="0" w:type="dxa"/>
          </w:tblCellMar>
        </w:tblPrEx>
        <w:trPr>
          <w:gridAfter w:val="1"/>
          <w:wAfter w:w="15" w:type="dxa"/>
          <w:trHeight w:val="1674" w:hRule="atLeast"/>
        </w:trPr>
        <w:tc>
          <w:tcPr>
            <w:tcW w:w="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16</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国有</w:t>
            </w:r>
          </w:p>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资产</w:t>
            </w:r>
          </w:p>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服务</w:t>
            </w:r>
          </w:p>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中心</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1.完成国企改革三年深化提升行动，完善国资监管体制，增强国企竞争力；</w:t>
            </w:r>
            <w:r>
              <w:rPr>
                <w:rFonts w:hint="eastAsia" w:ascii="仿宋" w:hAnsi="仿宋" w:eastAsia="仿宋" w:cs="仿宋"/>
                <w:color w:val="000000"/>
                <w:kern w:val="0"/>
                <w:sz w:val="24"/>
              </w:rPr>
              <w:tab/>
            </w:r>
          </w:p>
          <w:p>
            <w:pPr>
              <w:widowControl/>
              <w:spacing w:line="260" w:lineRule="exact"/>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2.完成随县国有企业工程建设领域专项治理工作；</w:t>
            </w:r>
          </w:p>
          <w:p>
            <w:pPr>
              <w:widowControl/>
              <w:spacing w:line="260" w:lineRule="exact"/>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3.深化薪酬分配机制改革。</w:t>
            </w:r>
          </w:p>
        </w:tc>
        <w:tc>
          <w:tcPr>
            <w:tcW w:w="8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1.严格按照市县国企改革深化提升三年行动方案落实各项工作措施，保证深化国企改革三年行动圆满收官。坚持“放活与管好”相统一，完善出资人监管权责清单。加强国有产权交易监管、投融资管理、国有资本预算与收益管理等工作。</w:t>
            </w:r>
          </w:p>
          <w:p>
            <w:pPr>
              <w:widowControl/>
              <w:spacing w:line="260" w:lineRule="exact"/>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2.出台《随县国有企业工程建设领域专项治理工作方案》，成立工作专班，定期督察，落实各项整改措施，保证专项治理工作任务高效完成。</w:t>
            </w:r>
          </w:p>
          <w:p>
            <w:pPr>
              <w:widowControl/>
              <w:spacing w:line="260" w:lineRule="exact"/>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3.认真落实省市关于企业领导人员绩效考核制度，健全更加精准灵活、规范高效的收入分配机制。完善具有市场竞争优势的核心关键人才薪酬制度，加大收入分配向基层关键岗位、作出突出贡献的一线苦脏险累岗位倾斜力度。</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谢  力</w:t>
            </w:r>
          </w:p>
        </w:tc>
      </w:tr>
      <w:tr>
        <w:tblPrEx>
          <w:tblCellMar>
            <w:top w:w="0" w:type="dxa"/>
            <w:left w:w="0" w:type="dxa"/>
            <w:bottom w:w="0" w:type="dxa"/>
            <w:right w:w="0" w:type="dxa"/>
          </w:tblCellMar>
        </w:tblPrEx>
        <w:trPr>
          <w:gridAfter w:val="1"/>
          <w:wAfter w:w="15" w:type="dxa"/>
          <w:trHeight w:val="3230" w:hRule="atLeast"/>
        </w:trPr>
        <w:tc>
          <w:tcPr>
            <w:tcW w:w="61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17</w:t>
            </w:r>
          </w:p>
        </w:tc>
        <w:tc>
          <w:tcPr>
            <w:tcW w:w="8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预算</w:t>
            </w:r>
          </w:p>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绩效</w:t>
            </w:r>
          </w:p>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管理股</w:t>
            </w:r>
          </w:p>
        </w:tc>
        <w:tc>
          <w:tcPr>
            <w:tcW w:w="364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1.扩大覆盖范围，将所有项目、所有预算单位、所有资金全部纳入绩效目标管理，实现项目支出、部门整体绩效目标管理覆盖率达到100% ，督促预算部门做好部门绩效目标填报工作；</w:t>
            </w:r>
          </w:p>
          <w:p>
            <w:pPr>
              <w:widowControl/>
              <w:spacing w:line="26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2.加强全流程监控，对已纳入预算安排的项目和部门整体支出资金进行绩效事前、事中、事后全过程跟踪与监控；</w:t>
            </w:r>
          </w:p>
          <w:p>
            <w:pPr>
              <w:widowControl/>
              <w:spacing w:line="260" w:lineRule="exact"/>
              <w:jc w:val="left"/>
              <w:textAlignment w:val="center"/>
              <w:rPr>
                <w:rFonts w:hint="eastAsia" w:ascii="仿宋" w:hAnsi="仿宋" w:eastAsia="仿宋" w:cs="仿宋"/>
                <w:b/>
                <w:bCs/>
                <w:color w:val="000000"/>
                <w:sz w:val="24"/>
              </w:rPr>
            </w:pPr>
            <w:r>
              <w:rPr>
                <w:rFonts w:hint="eastAsia" w:ascii="仿宋" w:hAnsi="仿宋" w:eastAsia="仿宋" w:cs="仿宋"/>
                <w:color w:val="000000"/>
                <w:sz w:val="24"/>
              </w:rPr>
              <w:t>3.深化结果应用，建立健全绩效评价结果与预算安排紧密挂钩机制。</w:t>
            </w:r>
          </w:p>
        </w:tc>
        <w:tc>
          <w:tcPr>
            <w:tcW w:w="809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1.督办各预算单位将2025年度预算绩效目标的编报与部门预算编制同步，确保编报材料格式、内容和质量等符合要求</w:t>
            </w:r>
            <w:r>
              <w:rPr>
                <w:rFonts w:hint="eastAsia" w:ascii="仿宋" w:hAnsi="仿宋" w:eastAsia="仿宋" w:cs="仿宋"/>
                <w:color w:val="000000"/>
                <w:kern w:val="0"/>
                <w:sz w:val="24"/>
                <w:lang w:bidi="ar"/>
              </w:rPr>
              <w:t>。</w:t>
            </w:r>
          </w:p>
          <w:p>
            <w:pPr>
              <w:widowControl/>
              <w:spacing w:line="26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2.定期对项目绩效目标的实现情况进行跟踪检查，通过实地调研、查阅资料、数据分析等方式，对比实际执行情况与绩效目标的偏差。</w:t>
            </w:r>
          </w:p>
          <w:p>
            <w:pPr>
              <w:widowControl/>
              <w:spacing w:line="26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 xml:space="preserve">3.将评价结果作为预算分配的重要依据。对于绩效评价优先的项目，在预算安排上给予优先保障和重点支持；对于绩效评价结果为差的项目，调减或取消下一年度预算安排。 </w:t>
            </w:r>
          </w:p>
        </w:tc>
        <w:tc>
          <w:tcPr>
            <w:tcW w:w="110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谢  力</w:t>
            </w:r>
          </w:p>
        </w:tc>
      </w:tr>
      <w:tr>
        <w:tblPrEx>
          <w:tblCellMar>
            <w:top w:w="0" w:type="dxa"/>
            <w:left w:w="0" w:type="dxa"/>
            <w:bottom w:w="0" w:type="dxa"/>
            <w:right w:w="0" w:type="dxa"/>
          </w:tblCellMar>
        </w:tblPrEx>
        <w:trPr>
          <w:gridAfter w:val="1"/>
          <w:wAfter w:w="15" w:type="dxa"/>
          <w:trHeight w:val="678" w:hRule="atLeast"/>
        </w:trPr>
        <w:tc>
          <w:tcPr>
            <w:tcW w:w="61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黑体" w:hAnsi="黑体" w:eastAsia="黑体" w:cs="仿宋"/>
                <w:color w:val="000000"/>
                <w:kern w:val="0"/>
                <w:sz w:val="24"/>
                <w:lang w:bidi="ar"/>
              </w:rPr>
              <w:t>序号</w:t>
            </w:r>
          </w:p>
        </w:tc>
        <w:tc>
          <w:tcPr>
            <w:tcW w:w="8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pPr>
              <w:widowControl/>
              <w:jc w:val="center"/>
              <w:textAlignment w:val="center"/>
              <w:rPr>
                <w:rFonts w:hint="eastAsia" w:ascii="仿宋" w:hAnsi="仿宋" w:eastAsia="仿宋" w:cs="仿宋"/>
                <w:kern w:val="0"/>
                <w:sz w:val="24"/>
                <w:lang w:bidi="ar"/>
              </w:rPr>
            </w:pPr>
            <w:r>
              <w:rPr>
                <w:rFonts w:hint="eastAsia" w:ascii="黑体" w:hAnsi="黑体" w:eastAsia="黑体" w:cs="仿宋"/>
                <w:color w:val="000000"/>
                <w:kern w:val="0"/>
                <w:sz w:val="18"/>
                <w:szCs w:val="18"/>
                <w:lang w:bidi="ar"/>
              </w:rPr>
              <w:t>（股室）</w:t>
            </w:r>
          </w:p>
        </w:tc>
        <w:tc>
          <w:tcPr>
            <w:tcW w:w="364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仿宋" w:hAnsi="仿宋" w:eastAsia="仿宋" w:cs="仿宋"/>
                <w:color w:val="000000"/>
                <w:sz w:val="24"/>
              </w:rPr>
            </w:pPr>
            <w:r>
              <w:rPr>
                <w:rFonts w:hint="eastAsia" w:ascii="黑体" w:hAnsi="黑体" w:eastAsia="黑体" w:cs="仿宋"/>
                <w:color w:val="000000"/>
                <w:kern w:val="0"/>
                <w:sz w:val="24"/>
                <w:lang w:bidi="ar"/>
              </w:rPr>
              <w:t>重点工作任务</w:t>
            </w:r>
          </w:p>
        </w:tc>
        <w:tc>
          <w:tcPr>
            <w:tcW w:w="809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仿宋" w:hAnsi="仿宋" w:eastAsia="仿宋" w:cs="仿宋"/>
                <w:color w:val="000000"/>
                <w:sz w:val="24"/>
              </w:rPr>
            </w:pPr>
            <w:r>
              <w:rPr>
                <w:rFonts w:hint="eastAsia" w:ascii="黑体" w:hAnsi="黑体" w:eastAsia="黑体" w:cs="仿宋"/>
                <w:color w:val="000000"/>
                <w:kern w:val="0"/>
                <w:sz w:val="24"/>
                <w:lang w:bidi="ar"/>
              </w:rPr>
              <w:t>具体落实措施</w:t>
            </w:r>
          </w:p>
        </w:tc>
        <w:tc>
          <w:tcPr>
            <w:tcW w:w="110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黑体" w:hAnsi="黑体" w:eastAsia="黑体" w:cs="仿宋"/>
                <w:color w:val="000000"/>
                <w:kern w:val="0"/>
                <w:sz w:val="24"/>
                <w:lang w:bidi="ar"/>
              </w:rPr>
              <w:t>责任领导</w:t>
            </w:r>
          </w:p>
        </w:tc>
      </w:tr>
      <w:tr>
        <w:tblPrEx>
          <w:tblCellMar>
            <w:top w:w="0" w:type="dxa"/>
            <w:left w:w="0" w:type="dxa"/>
            <w:bottom w:w="0" w:type="dxa"/>
            <w:right w:w="0" w:type="dxa"/>
          </w:tblCellMar>
        </w:tblPrEx>
        <w:trPr>
          <w:gridAfter w:val="1"/>
          <w:wAfter w:w="15" w:type="dxa"/>
          <w:trHeight w:val="2389" w:hRule="atLeast"/>
        </w:trPr>
        <w:tc>
          <w:tcPr>
            <w:tcW w:w="61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18</w:t>
            </w:r>
          </w:p>
        </w:tc>
        <w:tc>
          <w:tcPr>
            <w:tcW w:w="84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投资评审股</w:t>
            </w:r>
          </w:p>
        </w:tc>
        <w:tc>
          <w:tcPr>
            <w:tcW w:w="364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发挥财政投资评审机构的专业优势，积极开展财政性资金项目的预算评审工作，对符合评审条件的送审项目，依法依规开展财政投资评审。</w:t>
            </w:r>
          </w:p>
        </w:tc>
        <w:tc>
          <w:tcPr>
            <w:tcW w:w="809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1.按照“公开透明、公正客观、廉洁自律”的原则，采取自主评审或委托评审的方式进行项目评审，加强对承接项目的中介机构和评审专家的管理及考核。</w:t>
            </w:r>
          </w:p>
          <w:p>
            <w:pPr>
              <w:widowControl/>
              <w:spacing w:line="36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2.做到“先评审、后安排”，未经评审不得安排预算资金，进一步规范财政性资金投资行为，坚持按概算控制预算。</w:t>
            </w:r>
          </w:p>
          <w:p>
            <w:pPr>
              <w:widowControl/>
              <w:spacing w:line="3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w:t>
            </w:r>
            <w:r>
              <w:rPr>
                <w:rFonts w:hint="eastAsia" w:ascii="仿宋" w:hAnsi="仿宋" w:eastAsia="仿宋" w:cs="仿宋"/>
                <w:color w:val="000000"/>
                <w:sz w:val="24"/>
              </w:rPr>
              <w:t>积极与其他相关部门和单位沟通协调，形成工作合力，共同推动政府投资项目的顺利实施。</w:t>
            </w:r>
          </w:p>
        </w:tc>
        <w:tc>
          <w:tcPr>
            <w:tcW w:w="110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高  见</w:t>
            </w:r>
          </w:p>
        </w:tc>
      </w:tr>
      <w:tr>
        <w:tblPrEx>
          <w:tblCellMar>
            <w:top w:w="0" w:type="dxa"/>
            <w:left w:w="0" w:type="dxa"/>
            <w:bottom w:w="0" w:type="dxa"/>
            <w:right w:w="0" w:type="dxa"/>
          </w:tblCellMar>
        </w:tblPrEx>
        <w:trPr>
          <w:gridAfter w:val="1"/>
          <w:wAfter w:w="15" w:type="dxa"/>
          <w:trHeight w:val="3043" w:hRule="atLeast"/>
        </w:trPr>
        <w:tc>
          <w:tcPr>
            <w:tcW w:w="61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19</w:t>
            </w:r>
          </w:p>
        </w:tc>
        <w:tc>
          <w:tcPr>
            <w:tcW w:w="8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政府</w:t>
            </w:r>
          </w:p>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采购</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管理股</w:t>
            </w:r>
          </w:p>
        </w:tc>
        <w:tc>
          <w:tcPr>
            <w:tcW w:w="36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numPr>
                <w:ilvl w:val="0"/>
                <w:numId w:val="2"/>
              </w:numPr>
              <w:spacing w:line="360" w:lineRule="exact"/>
              <w:jc w:val="left"/>
              <w:textAlignment w:val="center"/>
              <w:rPr>
                <w:rFonts w:hint="eastAsia" w:ascii="仿宋" w:hAnsi="仿宋" w:eastAsia="仿宋" w:cs="仿宋"/>
                <w:color w:val="000000"/>
                <w:sz w:val="24"/>
              </w:rPr>
            </w:pPr>
            <w:r>
              <w:rPr>
                <w:rFonts w:ascii="仿宋" w:hAnsi="仿宋" w:eastAsia="仿宋" w:cs="仿宋"/>
                <w:color w:val="000000"/>
                <w:sz w:val="24"/>
              </w:rPr>
              <w:t>推动政府采购“数字化”转型</w:t>
            </w:r>
            <w:r>
              <w:rPr>
                <w:rFonts w:hint="eastAsia" w:ascii="仿宋" w:hAnsi="仿宋" w:eastAsia="仿宋" w:cs="仿宋"/>
                <w:color w:val="000000"/>
                <w:sz w:val="24"/>
              </w:rPr>
              <w:t>和</w:t>
            </w:r>
            <w:r>
              <w:rPr>
                <w:rFonts w:ascii="仿宋" w:hAnsi="仿宋" w:eastAsia="仿宋" w:cs="仿宋"/>
                <w:color w:val="000000"/>
                <w:sz w:val="24"/>
              </w:rPr>
              <w:t>“全链条”监管</w:t>
            </w:r>
            <w:r>
              <w:rPr>
                <w:rFonts w:hint="eastAsia" w:ascii="仿宋" w:hAnsi="仿宋" w:eastAsia="仿宋" w:cs="仿宋"/>
                <w:color w:val="000000"/>
                <w:sz w:val="24"/>
              </w:rPr>
              <w:t>；构建统一开放、竞争有序的政府采购市场体系，打造诚信、公平、公正的政府采购营商环境；</w:t>
            </w:r>
          </w:p>
          <w:p>
            <w:pPr>
              <w:widowControl/>
              <w:numPr>
                <w:ilvl w:val="0"/>
                <w:numId w:val="2"/>
              </w:numPr>
              <w:spacing w:line="36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探索推进</w:t>
            </w:r>
            <w:r>
              <w:rPr>
                <w:rFonts w:ascii="仿宋" w:hAnsi="仿宋" w:eastAsia="仿宋" w:cs="仿宋"/>
                <w:color w:val="000000"/>
                <w:sz w:val="24"/>
              </w:rPr>
              <w:t>“</w:t>
            </w:r>
            <w:r>
              <w:rPr>
                <w:rFonts w:hint="eastAsia" w:ascii="仿宋" w:hAnsi="仿宋" w:eastAsia="仿宋" w:cs="仿宋"/>
                <w:color w:val="000000"/>
                <w:sz w:val="24"/>
              </w:rPr>
              <w:t>框架协议”模式；</w:t>
            </w:r>
          </w:p>
          <w:p>
            <w:pPr>
              <w:widowControl/>
              <w:numPr>
                <w:ilvl w:val="0"/>
                <w:numId w:val="2"/>
              </w:numPr>
              <w:spacing w:line="36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开展政府采购业务培训和专项整治。</w:t>
            </w:r>
          </w:p>
        </w:tc>
        <w:tc>
          <w:tcPr>
            <w:tcW w:w="809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3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hint="eastAsia" w:ascii="仿宋" w:hAnsi="仿宋" w:eastAsia="仿宋" w:cs="仿宋"/>
                <w:color w:val="000000"/>
                <w:sz w:val="24"/>
              </w:rPr>
              <w:t>持续优化政府采购营商环境。进一步加快政府采购数字化转型、提升政府采购透明度、降低政府采购交易成本、优化政府采购法治环境，促进政府采购公平竞争</w:t>
            </w:r>
            <w:r>
              <w:rPr>
                <w:rFonts w:hint="eastAsia" w:ascii="仿宋" w:hAnsi="仿宋" w:eastAsia="仿宋" w:cs="仿宋"/>
                <w:color w:val="000000"/>
                <w:kern w:val="0"/>
                <w:sz w:val="24"/>
                <w:lang w:bidi="ar"/>
              </w:rPr>
              <w:t>。</w:t>
            </w:r>
            <w:r>
              <w:rPr>
                <w:rFonts w:hint="eastAsia" w:ascii="仿宋" w:hAnsi="仿宋" w:eastAsia="仿宋" w:cs="仿宋"/>
                <w:color w:val="000000"/>
                <w:sz w:val="24"/>
              </w:rPr>
              <w:t>持续开展政府采购专项整治。重点整顿市场秩序，优化营商环境，健全法规体系，服务全国统一市场，促进产业发展</w:t>
            </w:r>
            <w:r>
              <w:rPr>
                <w:rFonts w:hint="eastAsia" w:ascii="仿宋" w:hAnsi="仿宋" w:eastAsia="仿宋" w:cs="仿宋"/>
                <w:color w:val="000000"/>
                <w:kern w:val="0"/>
                <w:sz w:val="24"/>
                <w:lang w:bidi="ar"/>
              </w:rPr>
              <w:t>。</w:t>
            </w:r>
          </w:p>
          <w:p>
            <w:pPr>
              <w:widowControl/>
              <w:spacing w:line="3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sz w:val="24"/>
              </w:rPr>
              <w:t>2.根据《湖北省政府集中采购目录及标准（2025年版）》，基于框架协议模式，对随县范围内协议供应商进行更新。</w:t>
            </w:r>
          </w:p>
          <w:p>
            <w:pPr>
              <w:widowControl/>
              <w:spacing w:line="36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3.持续加强政府采购监督和培训。利用线上线下等培训方式，对采购人、代理机构、评审专家分批次组织开展专项培训</w:t>
            </w:r>
            <w:r>
              <w:rPr>
                <w:rFonts w:hint="eastAsia" w:ascii="仿宋" w:hAnsi="仿宋" w:eastAsia="仿宋" w:cs="仿宋"/>
                <w:color w:val="000000"/>
                <w:kern w:val="0"/>
                <w:sz w:val="24"/>
                <w:lang w:bidi="ar"/>
              </w:rPr>
              <w:t>。</w:t>
            </w:r>
          </w:p>
        </w:tc>
        <w:tc>
          <w:tcPr>
            <w:tcW w:w="110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陶立兵</w:t>
            </w:r>
          </w:p>
        </w:tc>
      </w:tr>
      <w:tr>
        <w:tblPrEx>
          <w:tblCellMar>
            <w:top w:w="0" w:type="dxa"/>
            <w:left w:w="0" w:type="dxa"/>
            <w:bottom w:w="0" w:type="dxa"/>
            <w:right w:w="0" w:type="dxa"/>
          </w:tblCellMar>
        </w:tblPrEx>
        <w:trPr>
          <w:gridAfter w:val="1"/>
          <w:wAfter w:w="15" w:type="dxa"/>
          <w:trHeight w:val="2546" w:hRule="atLeast"/>
        </w:trPr>
        <w:tc>
          <w:tcPr>
            <w:tcW w:w="61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20</w:t>
            </w:r>
          </w:p>
        </w:tc>
        <w:tc>
          <w:tcPr>
            <w:tcW w:w="84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人事</w:t>
            </w:r>
          </w:p>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教育</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股</w:t>
            </w:r>
          </w:p>
        </w:tc>
        <w:tc>
          <w:tcPr>
            <w:tcW w:w="364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3"/>
              </w:numPr>
              <w:spacing w:line="3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进一步深化政治理论学习；</w:t>
            </w:r>
          </w:p>
          <w:p>
            <w:pPr>
              <w:widowControl/>
              <w:numPr>
                <w:ilvl w:val="0"/>
                <w:numId w:val="3"/>
              </w:numPr>
              <w:spacing w:line="3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进一步抓实党风廉政建设；</w:t>
            </w:r>
          </w:p>
          <w:p>
            <w:pPr>
              <w:widowControl/>
              <w:numPr>
                <w:ilvl w:val="0"/>
                <w:numId w:val="3"/>
              </w:numPr>
              <w:spacing w:line="3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进一步加强干部教育培训。</w:t>
            </w:r>
          </w:p>
        </w:tc>
        <w:tc>
          <w:tcPr>
            <w:tcW w:w="809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4"/>
              </w:numPr>
              <w:spacing w:line="3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重点围绕党的二十届三中全会精神，以主题党日、周周学、精品课堂、实地研学等为载体，扎实推进党的最新理论入脑入心。</w:t>
            </w:r>
          </w:p>
          <w:p>
            <w:pPr>
              <w:widowControl/>
              <w:numPr>
                <w:ilvl w:val="0"/>
                <w:numId w:val="4"/>
              </w:numPr>
              <w:spacing w:line="360" w:lineRule="exact"/>
              <w:jc w:val="left"/>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以清廉机关建设示范点单位为抓手，常态化开展党纪学习教育，不断完善清廉机关制度建设，持续推进干部作风转变</w:t>
            </w:r>
            <w:r>
              <w:rPr>
                <w:rFonts w:hint="eastAsia" w:ascii="仿宋" w:hAnsi="仿宋" w:eastAsia="仿宋" w:cs="仿宋"/>
                <w:color w:val="000000"/>
                <w:kern w:val="0"/>
                <w:sz w:val="24"/>
                <w:lang w:bidi="ar"/>
              </w:rPr>
              <w:t>。</w:t>
            </w:r>
          </w:p>
          <w:p>
            <w:pPr>
              <w:widowControl/>
              <w:numPr>
                <w:ilvl w:val="0"/>
                <w:numId w:val="4"/>
              </w:numPr>
              <w:spacing w:line="360" w:lineRule="exact"/>
              <w:jc w:val="left"/>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聚焦持续巩固、提升财政管理基础，对中青年干部开展“强基训练”“三比三拼”“提能增质”等特色培训活动，不断强化财政队伍建设。</w:t>
            </w:r>
          </w:p>
        </w:tc>
        <w:tc>
          <w:tcPr>
            <w:tcW w:w="1106"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赵  铭</w:t>
            </w:r>
          </w:p>
        </w:tc>
      </w:tr>
      <w:tr>
        <w:tblPrEx>
          <w:tblCellMar>
            <w:top w:w="0" w:type="dxa"/>
            <w:left w:w="0" w:type="dxa"/>
            <w:bottom w:w="0" w:type="dxa"/>
            <w:right w:w="0" w:type="dxa"/>
          </w:tblCellMar>
        </w:tblPrEx>
        <w:trPr>
          <w:gridAfter w:val="1"/>
          <w:wAfter w:w="15" w:type="dxa"/>
          <w:trHeight w:val="678" w:hRule="atLeast"/>
        </w:trPr>
        <w:tc>
          <w:tcPr>
            <w:tcW w:w="61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黑体" w:hAnsi="黑体" w:eastAsia="黑体" w:cs="仿宋"/>
                <w:color w:val="000000"/>
                <w:kern w:val="0"/>
                <w:sz w:val="24"/>
                <w:lang w:bidi="ar"/>
              </w:rPr>
              <w:t>序号</w:t>
            </w:r>
          </w:p>
        </w:tc>
        <w:tc>
          <w:tcPr>
            <w:tcW w:w="84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pPr>
              <w:widowControl/>
              <w:jc w:val="center"/>
              <w:textAlignment w:val="center"/>
              <w:rPr>
                <w:rFonts w:hint="eastAsia" w:ascii="仿宋" w:hAnsi="仿宋" w:eastAsia="仿宋" w:cs="仿宋"/>
                <w:color w:val="000000"/>
                <w:kern w:val="0"/>
                <w:sz w:val="24"/>
                <w:lang w:bidi="ar"/>
              </w:rPr>
            </w:pPr>
            <w:r>
              <w:rPr>
                <w:rFonts w:hint="eastAsia" w:ascii="黑体" w:hAnsi="黑体" w:eastAsia="黑体" w:cs="仿宋"/>
                <w:color w:val="000000"/>
                <w:kern w:val="0"/>
                <w:sz w:val="18"/>
                <w:szCs w:val="18"/>
                <w:lang w:bidi="ar"/>
              </w:rPr>
              <w:t>（股室）</w:t>
            </w:r>
          </w:p>
        </w:tc>
        <w:tc>
          <w:tcPr>
            <w:tcW w:w="364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黑体" w:hAnsi="黑体" w:eastAsia="黑体" w:cs="仿宋"/>
                <w:color w:val="000000"/>
                <w:kern w:val="0"/>
                <w:sz w:val="24"/>
                <w:lang w:bidi="ar"/>
              </w:rPr>
              <w:t>重点工作任务</w:t>
            </w:r>
          </w:p>
        </w:tc>
        <w:tc>
          <w:tcPr>
            <w:tcW w:w="809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黑体" w:hAnsi="黑体" w:eastAsia="黑体" w:cs="仿宋"/>
                <w:color w:val="000000"/>
                <w:kern w:val="0"/>
                <w:sz w:val="24"/>
                <w:lang w:bidi="ar"/>
              </w:rPr>
              <w:t>具体落实措施</w:t>
            </w:r>
          </w:p>
        </w:tc>
        <w:tc>
          <w:tcPr>
            <w:tcW w:w="1106"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黑体" w:hAnsi="黑体" w:eastAsia="黑体" w:cs="仿宋"/>
                <w:color w:val="000000"/>
                <w:kern w:val="0"/>
                <w:sz w:val="24"/>
                <w:lang w:bidi="ar"/>
              </w:rPr>
              <w:t>责任领导</w:t>
            </w:r>
          </w:p>
        </w:tc>
      </w:tr>
      <w:tr>
        <w:tblPrEx>
          <w:tblCellMar>
            <w:top w:w="0" w:type="dxa"/>
            <w:left w:w="0" w:type="dxa"/>
            <w:bottom w:w="0" w:type="dxa"/>
            <w:right w:w="0" w:type="dxa"/>
          </w:tblCellMar>
        </w:tblPrEx>
        <w:trPr>
          <w:gridAfter w:val="1"/>
          <w:wAfter w:w="15" w:type="dxa"/>
          <w:trHeight w:val="462" w:hRule="atLeast"/>
        </w:trPr>
        <w:tc>
          <w:tcPr>
            <w:tcW w:w="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21</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老干</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部股</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关心关爱退休老干部。</w:t>
            </w:r>
          </w:p>
        </w:tc>
        <w:tc>
          <w:tcPr>
            <w:tcW w:w="8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重阳节、春节对退休老干部进行走访慰问，组织退休干部参加集体活动。</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赵  铭</w:t>
            </w:r>
          </w:p>
        </w:tc>
      </w:tr>
      <w:tr>
        <w:tblPrEx>
          <w:tblCellMar>
            <w:top w:w="0" w:type="dxa"/>
            <w:left w:w="0" w:type="dxa"/>
            <w:bottom w:w="0" w:type="dxa"/>
            <w:right w:w="0" w:type="dxa"/>
          </w:tblCellMar>
        </w:tblPrEx>
        <w:trPr>
          <w:gridAfter w:val="1"/>
          <w:wAfter w:w="15" w:type="dxa"/>
          <w:trHeight w:val="1321" w:hRule="atLeast"/>
        </w:trPr>
        <w:tc>
          <w:tcPr>
            <w:tcW w:w="6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22</w:t>
            </w:r>
          </w:p>
        </w:tc>
        <w:tc>
          <w:tcPr>
            <w:tcW w:w="8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工会</w:t>
            </w:r>
          </w:p>
        </w:tc>
        <w:tc>
          <w:tcPr>
            <w:tcW w:w="3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1.组织开展工会活动；</w:t>
            </w:r>
          </w:p>
          <w:p>
            <w:pPr>
              <w:widowControl/>
              <w:spacing w:line="34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2.落实慰问探望制度；</w:t>
            </w:r>
          </w:p>
          <w:p>
            <w:pPr>
              <w:widowControl/>
              <w:spacing w:line="34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3.加大关心关爱贫困干部力度；</w:t>
            </w:r>
          </w:p>
          <w:p>
            <w:pPr>
              <w:widowControl/>
              <w:spacing w:line="34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4.落实工会福利。</w:t>
            </w:r>
          </w:p>
        </w:tc>
        <w:tc>
          <w:tcPr>
            <w:tcW w:w="80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hint="eastAsia" w:ascii="仿宋" w:hAnsi="仿宋" w:eastAsia="仿宋" w:cs="仿宋"/>
                <w:color w:val="000000"/>
                <w:sz w:val="24"/>
              </w:rPr>
              <w:t>.</w:t>
            </w:r>
            <w:r>
              <w:rPr>
                <w:rFonts w:hint="eastAsia" w:ascii="仿宋" w:hAnsi="仿宋" w:eastAsia="仿宋" w:cs="仿宋"/>
                <w:color w:val="000000"/>
                <w:kern w:val="0"/>
                <w:sz w:val="24"/>
                <w:lang w:bidi="ar"/>
              </w:rPr>
              <w:t>制定活动方案，按计划开展集体活动。</w:t>
            </w:r>
          </w:p>
          <w:p>
            <w:pPr>
              <w:widowControl/>
              <w:spacing w:line="3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w:t>
            </w:r>
            <w:r>
              <w:rPr>
                <w:rFonts w:hint="eastAsia" w:ascii="仿宋" w:hAnsi="仿宋" w:eastAsia="仿宋" w:cs="仿宋"/>
                <w:color w:val="000000"/>
                <w:sz w:val="24"/>
              </w:rPr>
              <w:t>.</w:t>
            </w:r>
            <w:r>
              <w:rPr>
                <w:rFonts w:hint="eastAsia" w:ascii="仿宋" w:hAnsi="仿宋" w:eastAsia="仿宋" w:cs="仿宋"/>
                <w:color w:val="000000"/>
                <w:kern w:val="0"/>
                <w:sz w:val="24"/>
                <w:lang w:bidi="ar"/>
              </w:rPr>
              <w:t>做好干部职工及亲属慰问相关工作。</w:t>
            </w:r>
          </w:p>
          <w:p>
            <w:pPr>
              <w:widowControl/>
              <w:spacing w:line="3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w:t>
            </w:r>
            <w:r>
              <w:rPr>
                <w:rFonts w:hint="eastAsia" w:ascii="仿宋" w:hAnsi="仿宋" w:eastAsia="仿宋" w:cs="仿宋"/>
                <w:color w:val="000000"/>
                <w:sz w:val="24"/>
              </w:rPr>
              <w:t>.</w:t>
            </w:r>
            <w:r>
              <w:rPr>
                <w:rFonts w:hint="eastAsia" w:ascii="仿宋" w:hAnsi="仿宋" w:eastAsia="仿宋" w:cs="仿宋"/>
                <w:color w:val="000000"/>
                <w:kern w:val="0"/>
                <w:sz w:val="24"/>
                <w:lang w:bidi="ar"/>
              </w:rPr>
              <w:t>做好扶贫帮困和送温暖活动，开展年末“送温暖”活动。</w:t>
            </w:r>
          </w:p>
          <w:p>
            <w:pPr>
              <w:widowControl/>
              <w:spacing w:line="3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w:t>
            </w:r>
            <w:r>
              <w:rPr>
                <w:rFonts w:hint="eastAsia" w:ascii="仿宋" w:hAnsi="仿宋" w:eastAsia="仿宋" w:cs="仿宋"/>
                <w:color w:val="000000"/>
                <w:sz w:val="24"/>
              </w:rPr>
              <w:t>.按照</w:t>
            </w:r>
            <w:r>
              <w:rPr>
                <w:rFonts w:hint="eastAsia" w:ascii="仿宋" w:hAnsi="仿宋" w:eastAsia="仿宋" w:cs="仿宋"/>
                <w:color w:val="000000"/>
                <w:kern w:val="0"/>
                <w:sz w:val="24"/>
                <w:lang w:bidi="ar"/>
              </w:rPr>
              <w:t>工会政策，落实全体干部职工工会福利。</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陶立兵</w:t>
            </w:r>
          </w:p>
        </w:tc>
      </w:tr>
      <w:tr>
        <w:tblPrEx>
          <w:tblCellMar>
            <w:top w:w="0" w:type="dxa"/>
            <w:left w:w="0" w:type="dxa"/>
            <w:bottom w:w="0" w:type="dxa"/>
            <w:right w:w="0" w:type="dxa"/>
          </w:tblCellMar>
        </w:tblPrEx>
        <w:trPr>
          <w:gridAfter w:val="1"/>
          <w:wAfter w:w="15" w:type="dxa"/>
          <w:trHeight w:val="674"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23</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团委</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hint="eastAsia" w:ascii="仿宋" w:hAnsi="仿宋" w:eastAsia="仿宋" w:cs="仿宋"/>
                <w:color w:val="000000"/>
                <w:sz w:val="24"/>
              </w:rPr>
              <w:t>.</w:t>
            </w:r>
            <w:r>
              <w:rPr>
                <w:rFonts w:hint="eastAsia" w:ascii="仿宋" w:hAnsi="仿宋" w:eastAsia="仿宋" w:cs="仿宋"/>
                <w:color w:val="000000"/>
                <w:kern w:val="0"/>
                <w:sz w:val="24"/>
                <w:lang w:bidi="ar"/>
              </w:rPr>
              <w:t>组织好“五四”青年节活动；</w:t>
            </w:r>
          </w:p>
          <w:p>
            <w:pPr>
              <w:widowControl/>
              <w:spacing w:line="3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w:t>
            </w:r>
            <w:r>
              <w:rPr>
                <w:rFonts w:hint="eastAsia" w:ascii="仿宋" w:hAnsi="仿宋" w:eastAsia="仿宋" w:cs="仿宋"/>
                <w:color w:val="000000"/>
                <w:sz w:val="24"/>
              </w:rPr>
              <w:t>.</w:t>
            </w:r>
            <w:r>
              <w:rPr>
                <w:rFonts w:hint="eastAsia" w:ascii="仿宋" w:hAnsi="仿宋" w:eastAsia="仿宋" w:cs="仿宋"/>
                <w:color w:val="000000"/>
                <w:kern w:val="0"/>
                <w:sz w:val="24"/>
                <w:lang w:bidi="ar"/>
              </w:rPr>
              <w:t>配合团县委开展各类活动。</w:t>
            </w:r>
          </w:p>
        </w:tc>
        <w:tc>
          <w:tcPr>
            <w:tcW w:w="8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hint="eastAsia" w:ascii="仿宋" w:hAnsi="仿宋" w:eastAsia="仿宋" w:cs="仿宋"/>
                <w:color w:val="000000"/>
                <w:sz w:val="24"/>
              </w:rPr>
              <w:t>.</w:t>
            </w:r>
            <w:r>
              <w:rPr>
                <w:rFonts w:hint="eastAsia" w:ascii="仿宋" w:hAnsi="仿宋" w:eastAsia="仿宋" w:cs="仿宋"/>
                <w:color w:val="000000"/>
                <w:kern w:val="0"/>
                <w:sz w:val="24"/>
                <w:lang w:bidi="ar"/>
              </w:rPr>
              <w:t>提前做好“五四”活动策划，制定活动方案，保障活动完美举办。</w:t>
            </w:r>
          </w:p>
          <w:p>
            <w:pPr>
              <w:widowControl/>
              <w:spacing w:line="3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w:t>
            </w:r>
            <w:r>
              <w:rPr>
                <w:rFonts w:hint="eastAsia" w:ascii="仿宋" w:hAnsi="仿宋" w:eastAsia="仿宋" w:cs="仿宋"/>
                <w:color w:val="000000"/>
                <w:sz w:val="24"/>
              </w:rPr>
              <w:t>.</w:t>
            </w:r>
            <w:r>
              <w:rPr>
                <w:rFonts w:hint="eastAsia" w:ascii="仿宋" w:hAnsi="仿宋" w:eastAsia="仿宋" w:cs="仿宋"/>
                <w:color w:val="000000"/>
                <w:kern w:val="0"/>
                <w:sz w:val="24"/>
                <w:lang w:bidi="ar"/>
              </w:rPr>
              <w:t>及时查收团县委活动通知，做好汇报，积极组织团员参加。</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sz w:val="24"/>
              </w:rPr>
              <w:t>陶立兵</w:t>
            </w:r>
          </w:p>
        </w:tc>
      </w:tr>
      <w:tr>
        <w:tblPrEx>
          <w:tblCellMar>
            <w:top w:w="0" w:type="dxa"/>
            <w:left w:w="0" w:type="dxa"/>
            <w:bottom w:w="0" w:type="dxa"/>
            <w:right w:w="0" w:type="dxa"/>
          </w:tblCellMar>
        </w:tblPrEx>
        <w:trPr>
          <w:gridAfter w:val="1"/>
          <w:wAfter w:w="15" w:type="dxa"/>
          <w:trHeight w:val="683"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24</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妇委会</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hint="eastAsia" w:ascii="仿宋" w:hAnsi="仿宋" w:eastAsia="仿宋" w:cs="仿宋"/>
                <w:color w:val="000000"/>
                <w:sz w:val="24"/>
              </w:rPr>
              <w:t>.</w:t>
            </w:r>
            <w:r>
              <w:rPr>
                <w:rFonts w:hint="eastAsia" w:ascii="仿宋" w:hAnsi="仿宋" w:eastAsia="仿宋" w:cs="仿宋"/>
                <w:color w:val="000000"/>
                <w:kern w:val="0"/>
                <w:sz w:val="24"/>
                <w:lang w:bidi="ar"/>
              </w:rPr>
              <w:t>开展庆“三八”主题活动；</w:t>
            </w:r>
          </w:p>
          <w:p>
            <w:pPr>
              <w:widowControl/>
              <w:spacing w:line="3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w:t>
            </w:r>
            <w:r>
              <w:rPr>
                <w:rFonts w:hint="eastAsia" w:ascii="仿宋" w:hAnsi="仿宋" w:eastAsia="仿宋" w:cs="仿宋"/>
                <w:color w:val="000000"/>
                <w:sz w:val="24"/>
              </w:rPr>
              <w:t>.</w:t>
            </w:r>
            <w:r>
              <w:rPr>
                <w:rFonts w:hint="eastAsia" w:ascii="仿宋" w:hAnsi="仿宋" w:eastAsia="仿宋" w:cs="仿宋"/>
                <w:color w:val="000000"/>
                <w:kern w:val="0"/>
                <w:sz w:val="24"/>
                <w:lang w:bidi="ar"/>
              </w:rPr>
              <w:t>配合县妇联开展各项活动。</w:t>
            </w:r>
          </w:p>
        </w:tc>
        <w:tc>
          <w:tcPr>
            <w:tcW w:w="8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hint="eastAsia" w:ascii="仿宋" w:hAnsi="仿宋" w:eastAsia="仿宋" w:cs="仿宋"/>
                <w:color w:val="000000"/>
                <w:sz w:val="24"/>
              </w:rPr>
              <w:t>.</w:t>
            </w:r>
            <w:r>
              <w:rPr>
                <w:rFonts w:hint="eastAsia" w:ascii="仿宋" w:hAnsi="仿宋" w:eastAsia="仿宋" w:cs="仿宋"/>
                <w:color w:val="000000"/>
                <w:kern w:val="0"/>
                <w:sz w:val="24"/>
                <w:lang w:bidi="ar"/>
              </w:rPr>
              <w:t>组织全局妇女干部职工开展爬山、徒步、拓展小游戏等户外游活动。</w:t>
            </w:r>
          </w:p>
          <w:p>
            <w:pPr>
              <w:widowControl/>
              <w:spacing w:line="3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w:t>
            </w:r>
            <w:r>
              <w:rPr>
                <w:rFonts w:hint="eastAsia" w:ascii="仿宋" w:hAnsi="仿宋" w:eastAsia="仿宋" w:cs="仿宋"/>
                <w:color w:val="000000"/>
                <w:sz w:val="24"/>
              </w:rPr>
              <w:t>.</w:t>
            </w:r>
            <w:r>
              <w:rPr>
                <w:rFonts w:hint="eastAsia" w:ascii="仿宋" w:hAnsi="仿宋" w:eastAsia="仿宋" w:cs="仿宋"/>
                <w:color w:val="000000"/>
                <w:kern w:val="0"/>
                <w:sz w:val="24"/>
                <w:lang w:bidi="ar"/>
              </w:rPr>
              <w:t>鼓励局妇女同志踊跃参加县妇联活动。</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sz w:val="24"/>
              </w:rPr>
              <w:t>陶立兵</w:t>
            </w:r>
          </w:p>
        </w:tc>
      </w:tr>
      <w:tr>
        <w:tblPrEx>
          <w:tblCellMar>
            <w:top w:w="0" w:type="dxa"/>
            <w:left w:w="0" w:type="dxa"/>
            <w:bottom w:w="0" w:type="dxa"/>
            <w:right w:w="0" w:type="dxa"/>
          </w:tblCellMar>
        </w:tblPrEx>
        <w:trPr>
          <w:gridAfter w:val="1"/>
          <w:wAfter w:w="15" w:type="dxa"/>
          <w:trHeight w:val="675"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25</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招商办</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完成年度招商任务。</w:t>
            </w:r>
          </w:p>
        </w:tc>
        <w:tc>
          <w:tcPr>
            <w:tcW w:w="8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广泛获取招商信息，提升专班招商能力，敏锐捕捉优质项目，推动签约项目落地开工。</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高  见</w:t>
            </w:r>
          </w:p>
        </w:tc>
      </w:tr>
      <w:tr>
        <w:tblPrEx>
          <w:tblCellMar>
            <w:top w:w="0" w:type="dxa"/>
            <w:left w:w="0" w:type="dxa"/>
            <w:bottom w:w="0" w:type="dxa"/>
            <w:right w:w="0" w:type="dxa"/>
          </w:tblCellMar>
        </w:tblPrEx>
        <w:trPr>
          <w:gridAfter w:val="1"/>
          <w:wAfter w:w="15" w:type="dxa"/>
          <w:trHeight w:val="2479"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26</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非税</w:t>
            </w:r>
          </w:p>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收入</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中心</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1.完成全年非税收入任务目标17900万元；</w:t>
            </w:r>
          </w:p>
          <w:p>
            <w:pPr>
              <w:widowControl/>
              <w:spacing w:line="34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2.优化营商环境，规范中介服务收费；</w:t>
            </w:r>
          </w:p>
          <w:p>
            <w:pPr>
              <w:widowControl/>
              <w:spacing w:line="34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3.开展财政票据监督检查；</w:t>
            </w:r>
          </w:p>
          <w:p>
            <w:pPr>
              <w:widowControl/>
              <w:spacing w:line="34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4.积极配合税务部门做好非税征管职责划转工作。</w:t>
            </w:r>
          </w:p>
        </w:tc>
        <w:tc>
          <w:tcPr>
            <w:tcW w:w="8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color w:val="000000"/>
                <w:sz w:val="24"/>
              </w:rPr>
              <w:t>.</w:t>
            </w:r>
            <w:r>
              <w:rPr>
                <w:rFonts w:hint="eastAsia" w:ascii="仿宋" w:hAnsi="仿宋" w:eastAsia="仿宋" w:cs="仿宋"/>
                <w:color w:val="000000"/>
                <w:kern w:val="0"/>
                <w:sz w:val="24"/>
              </w:rPr>
              <w:t>规范收支，强化预算管理。落实政策，规范收费行为。严管票据，坚持“以票控费”。加大监督稽查力度，减轻社会企业负担。2025年12月31日完成全年非税收入目标任务。</w:t>
            </w:r>
          </w:p>
          <w:p>
            <w:pPr>
              <w:widowControl/>
              <w:spacing w:line="340" w:lineRule="exact"/>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2.全面清理违法违规中介服务项目及收费。</w:t>
            </w:r>
          </w:p>
          <w:p>
            <w:pPr>
              <w:widowControl/>
              <w:spacing w:line="340" w:lineRule="exact"/>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3.对全县使用财政票据的用票单位进行全覆盖监督检查</w:t>
            </w:r>
            <w:r>
              <w:rPr>
                <w:rFonts w:hint="eastAsia" w:ascii="仿宋" w:hAnsi="仿宋" w:eastAsia="仿宋" w:cs="仿宋"/>
                <w:color w:val="000000"/>
                <w:kern w:val="0"/>
                <w:sz w:val="24"/>
                <w:lang w:bidi="ar"/>
              </w:rPr>
              <w:t>。</w:t>
            </w:r>
            <w:r>
              <w:rPr>
                <w:rFonts w:hint="eastAsia" w:ascii="仿宋" w:hAnsi="仿宋" w:eastAsia="仿宋" w:cs="仿宋"/>
                <w:color w:val="000000"/>
                <w:kern w:val="0"/>
                <w:sz w:val="24"/>
              </w:rPr>
              <w:t>3－4月份对县直及春季学校收费进行检查。5月份对卫生系统财政票据进行检查、核销。6-7月份重点对水利系统水资源收费收缴进行检查，对石材企业优化营商环境进行上门走访。8 月份重点对林业系统罚没收入进行检查；9－10月份对秋季学校收费进行督导检查。11月份对各乡镇财政所财政票据进行检查。12月份对全县当年的财政票据核销。</w:t>
            </w:r>
          </w:p>
          <w:p>
            <w:pPr>
              <w:widowControl/>
              <w:spacing w:line="340" w:lineRule="exact"/>
              <w:jc w:val="left"/>
              <w:textAlignment w:val="center"/>
              <w:rPr>
                <w:rFonts w:hint="eastAsia" w:ascii="仿宋" w:hAnsi="仿宋" w:eastAsia="仿宋" w:cs="仿宋"/>
                <w:color w:val="000000"/>
                <w:kern w:val="0"/>
                <w:sz w:val="24"/>
              </w:rPr>
            </w:pPr>
            <w:r>
              <w:rPr>
                <w:rFonts w:hint="eastAsia" w:ascii="仿宋" w:hAnsi="仿宋" w:eastAsia="仿宋" w:cs="仿宋"/>
                <w:color w:val="000000"/>
                <w:kern w:val="0"/>
                <w:sz w:val="24"/>
              </w:rPr>
              <w:t>4.根据上级文件要求，对要划转到税务部门征收的非税收入，积极配合税务部门做好划转工作。</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谢  力</w:t>
            </w:r>
          </w:p>
        </w:tc>
      </w:tr>
      <w:tr>
        <w:tblPrEx>
          <w:tblCellMar>
            <w:top w:w="0" w:type="dxa"/>
            <w:left w:w="0" w:type="dxa"/>
            <w:bottom w:w="0" w:type="dxa"/>
            <w:right w:w="0" w:type="dxa"/>
          </w:tblCellMar>
        </w:tblPrEx>
        <w:trPr>
          <w:gridAfter w:val="1"/>
          <w:wAfter w:w="15" w:type="dxa"/>
          <w:trHeight w:val="678"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黑体" w:hAnsi="黑体" w:eastAsia="黑体" w:cs="仿宋"/>
                <w:color w:val="000000"/>
                <w:kern w:val="0"/>
                <w:sz w:val="24"/>
                <w:lang w:bidi="ar"/>
              </w:rPr>
              <w:t>序号</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黑体" w:hAnsi="黑体" w:eastAsia="黑体" w:cs="仿宋"/>
                <w:color w:val="000000"/>
                <w:kern w:val="0"/>
                <w:sz w:val="24"/>
                <w:lang w:bidi="ar"/>
              </w:rPr>
            </w:pPr>
            <w:r>
              <w:rPr>
                <w:rFonts w:hint="eastAsia" w:ascii="黑体" w:hAnsi="黑体" w:eastAsia="黑体" w:cs="仿宋"/>
                <w:color w:val="000000"/>
                <w:kern w:val="0"/>
                <w:sz w:val="24"/>
                <w:lang w:bidi="ar"/>
              </w:rPr>
              <w:t>单位</w:t>
            </w:r>
          </w:p>
          <w:p>
            <w:pPr>
              <w:widowControl/>
              <w:jc w:val="center"/>
              <w:textAlignment w:val="center"/>
              <w:rPr>
                <w:rFonts w:hint="eastAsia" w:ascii="仿宋" w:hAnsi="仿宋" w:eastAsia="仿宋" w:cs="仿宋"/>
                <w:color w:val="000000"/>
                <w:kern w:val="0"/>
                <w:sz w:val="24"/>
                <w:lang w:bidi="ar"/>
              </w:rPr>
            </w:pPr>
            <w:r>
              <w:rPr>
                <w:rFonts w:hint="eastAsia" w:ascii="黑体" w:hAnsi="黑体" w:eastAsia="黑体" w:cs="仿宋"/>
                <w:color w:val="000000"/>
                <w:kern w:val="0"/>
                <w:sz w:val="18"/>
                <w:szCs w:val="18"/>
                <w:lang w:bidi="ar"/>
              </w:rPr>
              <w:t>（股室）</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黑体" w:hAnsi="黑体" w:eastAsia="黑体" w:cs="仿宋"/>
                <w:color w:val="000000"/>
                <w:kern w:val="0"/>
                <w:sz w:val="24"/>
                <w:lang w:bidi="ar"/>
              </w:rPr>
              <w:t>重点工作任务</w:t>
            </w:r>
          </w:p>
        </w:tc>
        <w:tc>
          <w:tcPr>
            <w:tcW w:w="8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hint="eastAsia" w:ascii="仿宋" w:hAnsi="仿宋" w:eastAsia="仿宋" w:cs="仿宋"/>
                <w:color w:val="000000"/>
                <w:kern w:val="0"/>
                <w:sz w:val="24"/>
              </w:rPr>
            </w:pPr>
            <w:r>
              <w:rPr>
                <w:rFonts w:hint="eastAsia" w:ascii="黑体" w:hAnsi="黑体" w:eastAsia="黑体" w:cs="仿宋"/>
                <w:color w:val="000000"/>
                <w:kern w:val="0"/>
                <w:sz w:val="24"/>
                <w:lang w:bidi="ar"/>
              </w:rPr>
              <w:t>具体落实措施</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黑体" w:hAnsi="黑体" w:eastAsia="黑体" w:cs="仿宋"/>
                <w:color w:val="000000"/>
                <w:kern w:val="0"/>
                <w:sz w:val="24"/>
                <w:lang w:bidi="ar"/>
              </w:rPr>
              <w:t>责任领导</w:t>
            </w:r>
          </w:p>
        </w:tc>
      </w:tr>
      <w:tr>
        <w:tblPrEx>
          <w:tblCellMar>
            <w:top w:w="0" w:type="dxa"/>
            <w:left w:w="0" w:type="dxa"/>
            <w:bottom w:w="0" w:type="dxa"/>
            <w:right w:w="0" w:type="dxa"/>
          </w:tblCellMar>
        </w:tblPrEx>
        <w:trPr>
          <w:gridAfter w:val="1"/>
          <w:wAfter w:w="15" w:type="dxa"/>
          <w:trHeight w:val="1529"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27</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农村</w:t>
            </w:r>
          </w:p>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财政</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管理局（农村股、综改办）</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hint="eastAsia" w:ascii="仿宋" w:hAnsi="仿宋" w:eastAsia="仿宋" w:cs="仿宋"/>
                <w:color w:val="000000"/>
                <w:sz w:val="24"/>
              </w:rPr>
              <w:t>.</w:t>
            </w:r>
            <w:r>
              <w:rPr>
                <w:rFonts w:hint="eastAsia" w:ascii="仿宋" w:hAnsi="仿宋" w:eastAsia="仿宋" w:cs="仿宋"/>
                <w:color w:val="000000"/>
                <w:kern w:val="0"/>
                <w:sz w:val="24"/>
                <w:lang w:bidi="ar"/>
              </w:rPr>
              <w:t>完成2024年美丽乡村试点省级验收工作，同时积极争取2025年省级美丽乡村试点名额；</w:t>
            </w:r>
          </w:p>
          <w:p>
            <w:pPr>
              <w:widowControl/>
              <w:jc w:val="left"/>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2</w:t>
            </w:r>
            <w:r>
              <w:rPr>
                <w:rFonts w:hint="eastAsia" w:ascii="仿宋" w:hAnsi="仿宋" w:eastAsia="仿宋" w:cs="仿宋"/>
                <w:color w:val="000000"/>
                <w:sz w:val="24"/>
              </w:rPr>
              <w:t>.</w:t>
            </w:r>
            <w:r>
              <w:rPr>
                <w:rFonts w:hint="eastAsia" w:ascii="仿宋" w:hAnsi="仿宋" w:eastAsia="仿宋" w:cs="仿宋"/>
                <w:color w:val="000000"/>
                <w:kern w:val="0"/>
                <w:sz w:val="24"/>
                <w:lang w:bidi="ar"/>
              </w:rPr>
              <w:t>完成2022年美丽乡村示范片绩效自评工作；</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w:t>
            </w:r>
            <w:r>
              <w:rPr>
                <w:rFonts w:hint="eastAsia" w:ascii="仿宋" w:hAnsi="仿宋" w:eastAsia="仿宋" w:cs="仿宋"/>
                <w:color w:val="000000"/>
                <w:spacing w:val="-10"/>
                <w:sz w:val="24"/>
              </w:rPr>
              <w:t>.完成2024年农村公益事业财政奖补项目绩效自评工作及2025年农村公益事业财政奖补项目申报工作；</w:t>
            </w:r>
          </w:p>
          <w:p>
            <w:pPr>
              <w:widowControl/>
              <w:jc w:val="left"/>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4</w:t>
            </w:r>
            <w:r>
              <w:rPr>
                <w:rFonts w:hint="eastAsia" w:ascii="仿宋" w:hAnsi="仿宋" w:eastAsia="仿宋" w:cs="仿宋"/>
                <w:color w:val="000000"/>
                <w:sz w:val="24"/>
              </w:rPr>
              <w:t>.</w:t>
            </w:r>
            <w:r>
              <w:rPr>
                <w:rFonts w:hint="eastAsia" w:ascii="仿宋" w:hAnsi="仿宋" w:eastAsia="仿宋" w:cs="仿宋"/>
                <w:color w:val="000000"/>
                <w:kern w:val="0"/>
                <w:sz w:val="24"/>
                <w:lang w:bidi="ar"/>
              </w:rPr>
              <w:t>完成2024年度乡镇财政基本信息报表上报工作；</w:t>
            </w:r>
          </w:p>
          <w:p>
            <w:pPr>
              <w:widowControl/>
              <w:jc w:val="left"/>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5</w:t>
            </w:r>
            <w:r>
              <w:rPr>
                <w:rFonts w:hint="eastAsia" w:ascii="仿宋" w:hAnsi="仿宋" w:eastAsia="仿宋" w:cs="仿宋"/>
                <w:color w:val="000000"/>
                <w:sz w:val="24"/>
              </w:rPr>
              <w:t>.</w:t>
            </w:r>
            <w:r>
              <w:rPr>
                <w:rFonts w:hint="eastAsia" w:ascii="仿宋" w:hAnsi="仿宋" w:eastAsia="仿宋" w:cs="仿宋"/>
                <w:color w:val="000000"/>
                <w:kern w:val="0"/>
                <w:sz w:val="24"/>
                <w:lang w:bidi="ar"/>
              </w:rPr>
              <w:t>及时拨付财政资金，完善资金台账，提高财政资金使用效益；</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6</w:t>
            </w:r>
            <w:r>
              <w:rPr>
                <w:rFonts w:hint="eastAsia" w:ascii="仿宋" w:hAnsi="仿宋" w:eastAsia="仿宋" w:cs="仿宋"/>
                <w:color w:val="000000"/>
                <w:sz w:val="24"/>
              </w:rPr>
              <w:t>.</w:t>
            </w:r>
            <w:r>
              <w:rPr>
                <w:rFonts w:hint="eastAsia" w:ascii="仿宋" w:hAnsi="仿宋" w:eastAsia="仿宋" w:cs="仿宋"/>
                <w:color w:val="000000"/>
                <w:kern w:val="0"/>
                <w:sz w:val="24"/>
                <w:lang w:bidi="ar"/>
              </w:rPr>
              <w:t>积极申报2025年乡镇财政监督管理专项资金项目。（“省级示范财政所”创建、危房维修改造补助）</w:t>
            </w:r>
          </w:p>
        </w:tc>
        <w:tc>
          <w:tcPr>
            <w:tcW w:w="8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w:t>
            </w:r>
            <w:r>
              <w:rPr>
                <w:rFonts w:hint="eastAsia" w:ascii="仿宋" w:hAnsi="仿宋" w:eastAsia="仿宋" w:cs="仿宋"/>
                <w:color w:val="000000"/>
                <w:sz w:val="24"/>
              </w:rPr>
              <w:t>.</w:t>
            </w:r>
            <w:r>
              <w:rPr>
                <w:rFonts w:hint="eastAsia" w:ascii="仿宋" w:hAnsi="仿宋" w:eastAsia="仿宋" w:cs="仿宋"/>
                <w:color w:val="000000"/>
                <w:kern w:val="0"/>
                <w:sz w:val="24"/>
                <w:lang w:bidi="ar"/>
              </w:rPr>
              <w:t>认真准备2024年美丽乡村建设试点本级初评验收材料，同时加强日常监督检查，确保项目建设如期保质完成，迎接市级复核及省级验收；以2024年美丽乡村建设试点建设成效为基础，综合考虑随县乡村实际情况，优先选择群众基础好、发展潜力大的村作为试点村积极向省财政厅申报。</w:t>
            </w:r>
          </w:p>
          <w:p>
            <w:pPr>
              <w:widowControl/>
              <w:spacing w:line="260" w:lineRule="exact"/>
              <w:jc w:val="left"/>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2</w:t>
            </w:r>
            <w:r>
              <w:rPr>
                <w:rFonts w:hint="eastAsia" w:ascii="仿宋" w:hAnsi="仿宋" w:eastAsia="仿宋" w:cs="仿宋"/>
                <w:color w:val="000000"/>
                <w:sz w:val="24"/>
              </w:rPr>
              <w:t>.</w:t>
            </w:r>
            <w:r>
              <w:rPr>
                <w:rFonts w:hint="eastAsia" w:ascii="仿宋" w:hAnsi="仿宋" w:eastAsia="仿宋" w:cs="仿宋"/>
                <w:color w:val="000000"/>
                <w:kern w:val="0"/>
                <w:sz w:val="24"/>
                <w:lang w:bidi="ar"/>
              </w:rPr>
              <w:t>根据省财政厅印发的《湖北省美丽乡村示范片建设绩效评价暂行办法》要求，准备绩效自评资料。</w:t>
            </w:r>
          </w:p>
          <w:p>
            <w:pPr>
              <w:widowControl/>
              <w:spacing w:line="2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3</w:t>
            </w:r>
            <w:r>
              <w:rPr>
                <w:rFonts w:hint="eastAsia" w:ascii="仿宋" w:hAnsi="仿宋" w:eastAsia="仿宋" w:cs="仿宋"/>
                <w:color w:val="000000"/>
                <w:spacing w:val="-10"/>
                <w:sz w:val="24"/>
              </w:rPr>
              <w:t>.准备2024年农村公益事业财政奖补项目实施方案、制度办法、自评报告、资金文件等，迎接市级、省级检查，同时及时组织开展2025年的项目申报工作，根据提交的申报资料组织专班开展项目现场踏勘和实地考察，择优确定建设项目，保障项目建设能发挥实效，切实解决村民日常生产生活中的急难愁盼问题</w:t>
            </w:r>
            <w:r>
              <w:rPr>
                <w:rFonts w:hint="eastAsia" w:ascii="仿宋" w:hAnsi="仿宋" w:eastAsia="仿宋" w:cs="仿宋"/>
                <w:color w:val="000000"/>
                <w:kern w:val="0"/>
                <w:sz w:val="24"/>
                <w:lang w:bidi="ar"/>
              </w:rPr>
              <w:t>。</w:t>
            </w:r>
          </w:p>
          <w:p>
            <w:pPr>
              <w:widowControl/>
              <w:spacing w:line="260" w:lineRule="exact"/>
              <w:jc w:val="left"/>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4</w:t>
            </w:r>
            <w:r>
              <w:rPr>
                <w:rFonts w:hint="eastAsia" w:ascii="仿宋" w:hAnsi="仿宋" w:eastAsia="仿宋" w:cs="仿宋"/>
                <w:color w:val="000000"/>
                <w:sz w:val="24"/>
              </w:rPr>
              <w:t>.</w:t>
            </w:r>
            <w:r>
              <w:rPr>
                <w:rFonts w:ascii="仿宋" w:hAnsi="仿宋" w:eastAsia="仿宋" w:cs="仿宋"/>
                <w:color w:val="000000"/>
                <w:kern w:val="0"/>
                <w:sz w:val="24"/>
                <w:lang w:bidi="ar"/>
              </w:rPr>
              <w:t>积极组织各地乡镇财政所开展乡镇财政基本信息报表编报工作，强化协调配合、严格数据审核，按时保质完成202</w:t>
            </w:r>
            <w:r>
              <w:rPr>
                <w:rFonts w:hint="eastAsia" w:ascii="仿宋" w:hAnsi="仿宋" w:eastAsia="仿宋" w:cs="仿宋"/>
                <w:color w:val="000000"/>
                <w:kern w:val="0"/>
                <w:sz w:val="24"/>
                <w:lang w:bidi="ar"/>
              </w:rPr>
              <w:t>4</w:t>
            </w:r>
            <w:r>
              <w:rPr>
                <w:rFonts w:ascii="仿宋" w:hAnsi="仿宋" w:eastAsia="仿宋" w:cs="仿宋"/>
                <w:color w:val="000000"/>
                <w:kern w:val="0"/>
                <w:sz w:val="24"/>
                <w:lang w:bidi="ar"/>
              </w:rPr>
              <w:t>年度乡镇财政基本信息报表编报工作</w:t>
            </w:r>
            <w:r>
              <w:rPr>
                <w:rFonts w:hint="eastAsia" w:ascii="仿宋" w:hAnsi="仿宋" w:eastAsia="仿宋" w:cs="仿宋"/>
                <w:color w:val="000000"/>
                <w:kern w:val="0"/>
                <w:sz w:val="24"/>
                <w:lang w:bidi="ar"/>
              </w:rPr>
              <w:t>；</w:t>
            </w:r>
          </w:p>
          <w:p>
            <w:pPr>
              <w:widowControl/>
              <w:spacing w:line="260" w:lineRule="exact"/>
              <w:jc w:val="left"/>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5</w:t>
            </w:r>
            <w:r>
              <w:rPr>
                <w:rFonts w:hint="eastAsia" w:ascii="仿宋" w:hAnsi="仿宋" w:eastAsia="仿宋" w:cs="仿宋"/>
                <w:color w:val="000000"/>
                <w:sz w:val="24"/>
              </w:rPr>
              <w:t>.</w:t>
            </w:r>
            <w:r>
              <w:rPr>
                <w:rFonts w:hint="eastAsia" w:ascii="仿宋" w:hAnsi="仿宋" w:eastAsia="仿宋" w:cs="仿宋"/>
                <w:color w:val="000000"/>
                <w:kern w:val="0"/>
                <w:sz w:val="24"/>
                <w:lang w:bidi="ar"/>
              </w:rPr>
              <w:t>及时拨付农村综改、村级组织运转、以钱养事、村级财务代理记账等财政资金，建立健全资金台账，设置2022年美丽乡村示范片资金专账，严格资金拨付审核，切实提高财政资金使用效益。</w:t>
            </w:r>
          </w:p>
          <w:p>
            <w:pPr>
              <w:widowControl/>
              <w:spacing w:line="2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6</w:t>
            </w:r>
            <w:r>
              <w:rPr>
                <w:rFonts w:hint="eastAsia" w:ascii="仿宋" w:hAnsi="仿宋" w:eastAsia="仿宋" w:cs="仿宋"/>
                <w:color w:val="000000"/>
                <w:sz w:val="24"/>
              </w:rPr>
              <w:t>.</w:t>
            </w:r>
            <w:r>
              <w:rPr>
                <w:rFonts w:hint="eastAsia" w:ascii="仿宋" w:hAnsi="仿宋" w:eastAsia="仿宋" w:cs="仿宋"/>
                <w:color w:val="000000"/>
                <w:kern w:val="0"/>
                <w:sz w:val="24"/>
                <w:lang w:bidi="ar"/>
              </w:rPr>
              <w:t>实地考察确定符合条件的财政所作为申报对象，督促财政所准备申报资料，严格审核申报资料并上报，大力支持财政所加强监管能力建设，提升乡镇财政治理效能。</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王  鹏</w:t>
            </w:r>
          </w:p>
        </w:tc>
      </w:tr>
      <w:tr>
        <w:tblPrEx>
          <w:tblCellMar>
            <w:top w:w="0" w:type="dxa"/>
            <w:left w:w="0" w:type="dxa"/>
            <w:bottom w:w="0" w:type="dxa"/>
            <w:right w:w="0" w:type="dxa"/>
          </w:tblCellMar>
        </w:tblPrEx>
        <w:trPr>
          <w:gridAfter w:val="1"/>
          <w:wAfter w:w="15" w:type="dxa"/>
          <w:trHeight w:val="1198"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28</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收付</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中心</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1.加强财政代编支付业务管理。</w:t>
            </w:r>
          </w:p>
          <w:p>
            <w:pPr>
              <w:widowControl/>
              <w:spacing w:line="30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2.加强往来资金账户、财政零余额账户的管理和监督。</w:t>
            </w:r>
          </w:p>
        </w:tc>
        <w:tc>
          <w:tcPr>
            <w:tcW w:w="8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1.强化财政代编支付业务审核，加快资金支付进度。</w:t>
            </w:r>
          </w:p>
          <w:p>
            <w:pPr>
              <w:widowControl/>
              <w:spacing w:line="260" w:lineRule="exact"/>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2.做好往来资金的指标录入、指标审核和计划下达；对财政零余额账户与银行及时沟通，确保银行做到每日清零。</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彭付军</w:t>
            </w:r>
          </w:p>
        </w:tc>
      </w:tr>
      <w:tr>
        <w:tblPrEx>
          <w:tblCellMar>
            <w:top w:w="0" w:type="dxa"/>
            <w:left w:w="0" w:type="dxa"/>
            <w:bottom w:w="0" w:type="dxa"/>
            <w:right w:w="0" w:type="dxa"/>
          </w:tblCellMar>
        </w:tblPrEx>
        <w:trPr>
          <w:gridAfter w:val="1"/>
          <w:wAfter w:w="15" w:type="dxa"/>
          <w:trHeight w:val="2163" w:hRule="atLeast"/>
        </w:trPr>
        <w:tc>
          <w:tcPr>
            <w:tcW w:w="6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29</w:t>
            </w:r>
          </w:p>
        </w:tc>
        <w:tc>
          <w:tcPr>
            <w:tcW w:w="8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会计</w:t>
            </w:r>
          </w:p>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服务</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中心</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widowControl/>
              <w:ind w:left="99" w:leftChars="47" w:hanging="1" w:firstLineChars="0"/>
              <w:jc w:val="left"/>
              <w:textAlignment w:val="center"/>
              <w:rPr>
                <w:rFonts w:hint="eastAsia" w:ascii="仿宋" w:hAnsi="仿宋" w:eastAsia="仿宋" w:cs="仿宋"/>
                <w:color w:val="000000"/>
                <w:sz w:val="24"/>
              </w:rPr>
            </w:pPr>
            <w:r>
              <w:rPr>
                <w:rFonts w:hint="eastAsia" w:ascii="仿宋" w:hAnsi="仿宋" w:eastAsia="仿宋" w:cs="仿宋"/>
                <w:color w:val="000000"/>
                <w:sz w:val="24"/>
              </w:rPr>
              <w:t>1.组织完成随县行政事业单位2024年度内控年报编制工作；</w:t>
            </w:r>
          </w:p>
          <w:p>
            <w:pPr>
              <w:pStyle w:val="15"/>
              <w:widowControl/>
              <w:ind w:left="99" w:firstLine="0" w:firstLineChars="0"/>
              <w:jc w:val="left"/>
              <w:textAlignment w:val="center"/>
              <w:rPr>
                <w:rFonts w:hint="eastAsia" w:ascii="仿宋" w:hAnsi="仿宋" w:eastAsia="仿宋" w:cs="仿宋"/>
                <w:color w:val="000000"/>
                <w:sz w:val="24"/>
              </w:rPr>
            </w:pPr>
            <w:r>
              <w:rPr>
                <w:rFonts w:hint="eastAsia" w:ascii="仿宋" w:hAnsi="仿宋" w:eastAsia="仿宋" w:cs="仿宋"/>
                <w:color w:val="000000"/>
                <w:sz w:val="24"/>
              </w:rPr>
              <w:t>2.配合市局完成2025年度初中高级会计资质考试审核及网络学习工作；</w:t>
            </w:r>
          </w:p>
          <w:p>
            <w:pPr>
              <w:pStyle w:val="15"/>
              <w:widowControl/>
              <w:ind w:left="99" w:firstLine="0" w:firstLineChars="0"/>
              <w:jc w:val="left"/>
              <w:textAlignment w:val="center"/>
              <w:rPr>
                <w:rFonts w:hint="eastAsia" w:ascii="仿宋" w:hAnsi="仿宋" w:eastAsia="仿宋" w:cs="仿宋"/>
                <w:color w:val="000000"/>
                <w:spacing w:val="-10"/>
                <w:sz w:val="24"/>
              </w:rPr>
            </w:pPr>
            <w:r>
              <w:rPr>
                <w:rFonts w:hint="eastAsia" w:ascii="仿宋" w:hAnsi="仿宋" w:eastAsia="仿宋" w:cs="仿宋"/>
                <w:color w:val="000000"/>
                <w:spacing w:val="-10"/>
                <w:sz w:val="24"/>
              </w:rPr>
              <w:t>3.组织完成省厅各项调研征询工作。</w:t>
            </w:r>
          </w:p>
        </w:tc>
        <w:tc>
          <w:tcPr>
            <w:tcW w:w="8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widowControl/>
              <w:spacing w:line="260" w:lineRule="exact"/>
              <w:ind w:firstLine="0" w:firstLineChars="0"/>
              <w:jc w:val="left"/>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1</w:t>
            </w:r>
            <w:r>
              <w:rPr>
                <w:rFonts w:hint="eastAsia" w:ascii="仿宋" w:hAnsi="仿宋" w:eastAsia="仿宋" w:cs="仿宋"/>
                <w:color w:val="000000"/>
                <w:sz w:val="24"/>
              </w:rPr>
              <w:t>.</w:t>
            </w:r>
            <w:r>
              <w:rPr>
                <w:rFonts w:hint="eastAsia" w:ascii="仿宋" w:hAnsi="仿宋" w:eastAsia="仿宋" w:cs="仿宋"/>
                <w:color w:val="000000"/>
                <w:kern w:val="0"/>
                <w:sz w:val="24"/>
                <w:lang w:bidi="ar"/>
              </w:rPr>
              <w:t>加强内控年报编制培训，督促引导随县行政事业单位完成2</w:t>
            </w:r>
            <w:r>
              <w:rPr>
                <w:rFonts w:ascii="仿宋" w:hAnsi="仿宋" w:eastAsia="仿宋" w:cs="仿宋"/>
                <w:color w:val="000000"/>
                <w:kern w:val="0"/>
                <w:sz w:val="24"/>
                <w:lang w:bidi="ar"/>
              </w:rPr>
              <w:t>024</w:t>
            </w:r>
            <w:r>
              <w:rPr>
                <w:rFonts w:hint="eastAsia" w:ascii="仿宋" w:hAnsi="仿宋" w:eastAsia="仿宋" w:cs="仿宋"/>
                <w:color w:val="000000"/>
                <w:kern w:val="0"/>
                <w:sz w:val="24"/>
                <w:lang w:bidi="ar"/>
              </w:rPr>
              <w:t>年度内控年报编制工作。</w:t>
            </w:r>
          </w:p>
          <w:p>
            <w:pPr>
              <w:pStyle w:val="15"/>
              <w:widowControl/>
              <w:spacing w:line="260" w:lineRule="exact"/>
              <w:ind w:left="-10" w:firstLine="10" w:firstLineChars="0"/>
              <w:jc w:val="left"/>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2</w:t>
            </w:r>
            <w:r>
              <w:rPr>
                <w:rFonts w:hint="eastAsia" w:ascii="仿宋" w:hAnsi="仿宋" w:eastAsia="仿宋" w:cs="仿宋"/>
                <w:color w:val="000000"/>
                <w:sz w:val="24"/>
              </w:rPr>
              <w:t>.</w:t>
            </w:r>
            <w:r>
              <w:rPr>
                <w:rFonts w:hint="eastAsia" w:ascii="仿宋" w:hAnsi="仿宋" w:eastAsia="仿宋" w:cs="仿宋"/>
                <w:color w:val="000000"/>
                <w:kern w:val="0"/>
                <w:sz w:val="24"/>
                <w:lang w:bidi="ar"/>
              </w:rPr>
              <w:t>完善会计从业人员平台信息采集，督促引导应试人员完成2</w:t>
            </w:r>
            <w:r>
              <w:rPr>
                <w:rFonts w:ascii="仿宋" w:hAnsi="仿宋" w:eastAsia="仿宋" w:cs="仿宋"/>
                <w:color w:val="000000"/>
                <w:kern w:val="0"/>
                <w:sz w:val="24"/>
                <w:lang w:bidi="ar"/>
              </w:rPr>
              <w:t>025</w:t>
            </w:r>
            <w:r>
              <w:rPr>
                <w:rFonts w:hint="eastAsia" w:ascii="仿宋" w:hAnsi="仿宋" w:eastAsia="仿宋" w:cs="仿宋"/>
                <w:color w:val="000000"/>
                <w:kern w:val="0"/>
                <w:sz w:val="24"/>
                <w:lang w:bidi="ar"/>
              </w:rPr>
              <w:t>年度初中高级会计资质考试审核及网络学习工作。</w:t>
            </w:r>
          </w:p>
          <w:p>
            <w:pPr>
              <w:pStyle w:val="15"/>
              <w:widowControl/>
              <w:spacing w:line="260" w:lineRule="exact"/>
              <w:ind w:firstLine="0" w:firstLineChars="0"/>
              <w:jc w:val="left"/>
              <w:textAlignment w:val="center"/>
              <w:rPr>
                <w:rFonts w:hint="eastAsia" w:ascii="仿宋" w:hAnsi="仿宋" w:eastAsia="仿宋" w:cs="仿宋"/>
                <w:color w:val="000000"/>
                <w:kern w:val="0"/>
                <w:sz w:val="24"/>
                <w:lang w:bidi="ar"/>
              </w:rPr>
            </w:pPr>
            <w:r>
              <w:rPr>
                <w:rFonts w:ascii="仿宋" w:hAnsi="仿宋" w:eastAsia="仿宋" w:cs="仿宋"/>
                <w:color w:val="000000"/>
                <w:kern w:val="0"/>
                <w:sz w:val="24"/>
                <w:lang w:bidi="ar"/>
              </w:rPr>
              <w:t>3</w:t>
            </w:r>
            <w:r>
              <w:rPr>
                <w:rFonts w:hint="eastAsia" w:ascii="仿宋" w:hAnsi="仿宋" w:eastAsia="仿宋" w:cs="仿宋"/>
                <w:color w:val="000000"/>
                <w:sz w:val="24"/>
              </w:rPr>
              <w:t>.</w:t>
            </w:r>
            <w:r>
              <w:rPr>
                <w:rFonts w:hint="eastAsia" w:ascii="仿宋" w:hAnsi="仿宋" w:eastAsia="仿宋" w:cs="仿宋"/>
                <w:color w:val="000000"/>
                <w:kern w:val="0"/>
                <w:sz w:val="24"/>
                <w:lang w:bidi="ar"/>
              </w:rPr>
              <w:t xml:space="preserve">加强宣传沟通，多种形式收集相关单位反馈意见及建议，完成上级各项调研征询工作。   </w:t>
            </w:r>
          </w:p>
        </w:tc>
        <w:tc>
          <w:tcPr>
            <w:tcW w:w="11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王  鹏</w:t>
            </w:r>
          </w:p>
        </w:tc>
      </w:tr>
    </w:tbl>
    <w:p>
      <w:pPr>
        <w:adjustRightInd w:val="0"/>
        <w:snapToGrid w:val="0"/>
        <w:jc w:val="left"/>
        <w:rPr>
          <w:rFonts w:hint="eastAsia" w:ascii="仿宋" w:hAnsi="仿宋" w:eastAsia="仿宋" w:cs="仿宋"/>
          <w:color w:val="000000"/>
          <w:kern w:val="0"/>
          <w:sz w:val="24"/>
          <w:lang w:bidi="ar"/>
        </w:rPr>
      </w:pPr>
    </w:p>
    <w:p/>
    <w:sectPr>
      <w:pgSz w:w="16840" w:h="11907" w:orient="landscape"/>
      <w:pgMar w:top="1418" w:right="1418" w:bottom="1418" w:left="141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4B18B"/>
    <w:multiLevelType w:val="singleLevel"/>
    <w:tmpl w:val="87C4B18B"/>
    <w:lvl w:ilvl="0" w:tentative="0">
      <w:start w:val="1"/>
      <w:numFmt w:val="decimal"/>
      <w:lvlText w:val="%1."/>
      <w:lvlJc w:val="left"/>
      <w:pPr>
        <w:tabs>
          <w:tab w:val="left" w:pos="312"/>
        </w:tabs>
      </w:pPr>
    </w:lvl>
  </w:abstractNum>
  <w:abstractNum w:abstractNumId="1">
    <w:nsid w:val="E5F72B2B"/>
    <w:multiLevelType w:val="singleLevel"/>
    <w:tmpl w:val="E5F72B2B"/>
    <w:lvl w:ilvl="0" w:tentative="0">
      <w:start w:val="1"/>
      <w:numFmt w:val="decimal"/>
      <w:lvlText w:val="%1."/>
      <w:lvlJc w:val="left"/>
      <w:pPr>
        <w:tabs>
          <w:tab w:val="left" w:pos="312"/>
        </w:tabs>
      </w:pPr>
    </w:lvl>
  </w:abstractNum>
  <w:abstractNum w:abstractNumId="2">
    <w:nsid w:val="EA003B29"/>
    <w:multiLevelType w:val="singleLevel"/>
    <w:tmpl w:val="EA003B29"/>
    <w:lvl w:ilvl="0" w:tentative="0">
      <w:start w:val="1"/>
      <w:numFmt w:val="decimal"/>
      <w:lvlText w:val="%1."/>
      <w:lvlJc w:val="left"/>
      <w:pPr>
        <w:tabs>
          <w:tab w:val="left" w:pos="312"/>
        </w:tabs>
      </w:pPr>
    </w:lvl>
  </w:abstractNum>
  <w:abstractNum w:abstractNumId="3">
    <w:nsid w:val="2094B815"/>
    <w:multiLevelType w:val="singleLevel"/>
    <w:tmpl w:val="2094B815"/>
    <w:lvl w:ilvl="0" w:tentative="0">
      <w:start w:val="1"/>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ZTU5NWI4MjkxODBjNTBmYzM4YTA5ODM0NTQ5MzkifQ=="/>
  </w:docVars>
  <w:rsids>
    <w:rsidRoot w:val="19B83037"/>
    <w:rsid w:val="00075DE2"/>
    <w:rsid w:val="001B6BB1"/>
    <w:rsid w:val="002E0DB1"/>
    <w:rsid w:val="00334D1F"/>
    <w:rsid w:val="004132FA"/>
    <w:rsid w:val="0048112D"/>
    <w:rsid w:val="004F4F44"/>
    <w:rsid w:val="005377B7"/>
    <w:rsid w:val="005863F6"/>
    <w:rsid w:val="006369B7"/>
    <w:rsid w:val="006D48D1"/>
    <w:rsid w:val="00A94B4E"/>
    <w:rsid w:val="00AE1610"/>
    <w:rsid w:val="00B15205"/>
    <w:rsid w:val="00B541F5"/>
    <w:rsid w:val="00B705C9"/>
    <w:rsid w:val="00B864D2"/>
    <w:rsid w:val="00B96E1F"/>
    <w:rsid w:val="00C82211"/>
    <w:rsid w:val="00C82525"/>
    <w:rsid w:val="00DD4349"/>
    <w:rsid w:val="00EB7FA0"/>
    <w:rsid w:val="00F01251"/>
    <w:rsid w:val="03082F4B"/>
    <w:rsid w:val="03804EDD"/>
    <w:rsid w:val="04D330E5"/>
    <w:rsid w:val="07A45794"/>
    <w:rsid w:val="09D14077"/>
    <w:rsid w:val="0AE6744B"/>
    <w:rsid w:val="0B27296A"/>
    <w:rsid w:val="139323BD"/>
    <w:rsid w:val="1404150D"/>
    <w:rsid w:val="143A6CDD"/>
    <w:rsid w:val="150F01C5"/>
    <w:rsid w:val="15671D54"/>
    <w:rsid w:val="15826B8D"/>
    <w:rsid w:val="17CF3F47"/>
    <w:rsid w:val="19B83037"/>
    <w:rsid w:val="1A1A55E6"/>
    <w:rsid w:val="1EEBF49C"/>
    <w:rsid w:val="1F8B663F"/>
    <w:rsid w:val="221C4942"/>
    <w:rsid w:val="2A1260AD"/>
    <w:rsid w:val="2B35419E"/>
    <w:rsid w:val="2F1453BB"/>
    <w:rsid w:val="2FEF2C1A"/>
    <w:rsid w:val="31CB6D6E"/>
    <w:rsid w:val="34EF1861"/>
    <w:rsid w:val="36541A28"/>
    <w:rsid w:val="38DE1A7D"/>
    <w:rsid w:val="3CDA396C"/>
    <w:rsid w:val="3EBB26CC"/>
    <w:rsid w:val="3EEC795F"/>
    <w:rsid w:val="3F7647CA"/>
    <w:rsid w:val="40B7508E"/>
    <w:rsid w:val="40F32B2A"/>
    <w:rsid w:val="4248556D"/>
    <w:rsid w:val="446472DA"/>
    <w:rsid w:val="44907574"/>
    <w:rsid w:val="4599E428"/>
    <w:rsid w:val="48547378"/>
    <w:rsid w:val="4A82670C"/>
    <w:rsid w:val="4B26353C"/>
    <w:rsid w:val="4BD5470E"/>
    <w:rsid w:val="4C043151"/>
    <w:rsid w:val="4C4636D2"/>
    <w:rsid w:val="4CBF59F6"/>
    <w:rsid w:val="512C66A4"/>
    <w:rsid w:val="52A45AAE"/>
    <w:rsid w:val="534F1162"/>
    <w:rsid w:val="54240834"/>
    <w:rsid w:val="552A1E7A"/>
    <w:rsid w:val="5836185D"/>
    <w:rsid w:val="5AB15883"/>
    <w:rsid w:val="5BFE3F02"/>
    <w:rsid w:val="65053D6A"/>
    <w:rsid w:val="65FF2984"/>
    <w:rsid w:val="68882CE8"/>
    <w:rsid w:val="6EED479B"/>
    <w:rsid w:val="6F887A72"/>
    <w:rsid w:val="6F984159"/>
    <w:rsid w:val="6FFEF1D7"/>
    <w:rsid w:val="73431539"/>
    <w:rsid w:val="746A66E1"/>
    <w:rsid w:val="75175B20"/>
    <w:rsid w:val="77E6F0C5"/>
    <w:rsid w:val="7B3D7962"/>
    <w:rsid w:val="7D584F27"/>
    <w:rsid w:val="7DAF2DED"/>
    <w:rsid w:val="7FBD5515"/>
    <w:rsid w:val="7FEF08BF"/>
    <w:rsid w:val="7FF4153D"/>
    <w:rsid w:val="B5BF937B"/>
    <w:rsid w:val="B6FD6563"/>
    <w:rsid w:val="BF7FF9D1"/>
    <w:rsid w:val="D76D45B1"/>
    <w:rsid w:val="DFFF498E"/>
    <w:rsid w:val="EFFF77EA"/>
    <w:rsid w:val="FCE75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Body Text First Indent 2"/>
    <w:basedOn w:val="3"/>
    <w:next w:val="1"/>
    <w:qFormat/>
    <w:uiPriority w:val="0"/>
    <w:pPr>
      <w:ind w:firstLine="420" w:firstLineChars="200"/>
    </w:pPr>
  </w:style>
  <w:style w:type="paragraph" w:styleId="5">
    <w:name w:val="Plain Text"/>
    <w:basedOn w:val="1"/>
    <w:qFormat/>
    <w:uiPriority w:val="0"/>
    <w:rPr>
      <w:rFonts w:hint="eastAsia" w:ascii="宋体" w:hAnsi="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Title"/>
    <w:basedOn w:val="1"/>
    <w:next w:val="1"/>
    <w:qFormat/>
    <w:uiPriority w:val="0"/>
    <w:pPr>
      <w:jc w:val="center"/>
      <w:outlineLvl w:val="0"/>
    </w:pPr>
    <w:rPr>
      <w:rFonts w:ascii="Calibri" w:hAnsi="Calibri" w:eastAsia="方正小标宋简体"/>
      <w:bCs/>
      <w:sz w:val="36"/>
      <w:szCs w:val="36"/>
    </w:rPr>
  </w:style>
  <w:style w:type="character" w:styleId="12">
    <w:name w:val="Strong"/>
    <w:basedOn w:val="11"/>
    <w:qFormat/>
    <w:uiPriority w:val="0"/>
    <w:rPr>
      <w:b/>
    </w:rPr>
  </w:style>
  <w:style w:type="character" w:styleId="13">
    <w:name w:val="page number"/>
    <w:qFormat/>
    <w:uiPriority w:val="0"/>
  </w:style>
  <w:style w:type="paragraph" w:customStyle="1" w:styleId="14">
    <w:name w:val="列表段落1"/>
    <w:basedOn w:val="1"/>
    <w:qFormat/>
    <w:uiPriority w:val="0"/>
    <w:pPr>
      <w:ind w:firstLine="420" w:firstLineChars="200"/>
    </w:pPr>
    <w:rPr>
      <w:rFonts w:ascii="Calibri" w:hAnsi="Calibri"/>
      <w:szCs w:val="21"/>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11</Pages>
  <Words>1520</Words>
  <Characters>8669</Characters>
  <Lines>72</Lines>
  <Paragraphs>20</Paragraphs>
  <TotalTime>937</TotalTime>
  <ScaleCrop>false</ScaleCrop>
  <LinksUpToDate>false</LinksUpToDate>
  <CharactersWithSpaces>10169</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2023-01-20T17:19:00Z</dcterms:created>
  <dc:creator>其叶蓁蓁</dc:creator>
  <cp:lastModifiedBy>可爱淘</cp:lastModifiedBy>
  <cp:lastPrinted>2025-02-12T16:23:00Z</cp:lastPrinted>
  <dcterms:modified xsi:type="dcterms:W3CDTF">2025-03-18T10:43:00Z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0C062960E3F5780BB4DDD8674E5B065E_43</vt:lpwstr>
  </property>
</Properties>
</file>