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48" w:name="_GoBack"/>
      <w:bookmarkEnd w:id="48"/>
    </w:p>
    <w:p/>
    <w:p/>
    <w:p/>
    <w:p/>
    <w:p>
      <w:pPr>
        <w:jc w:val="center"/>
        <w:rPr>
          <w:rFonts w:ascii="宋体" w:hAnsi="宋体" w:eastAsia="宋体"/>
          <w:b/>
          <w:bCs/>
          <w:sz w:val="44"/>
          <w:szCs w:val="44"/>
        </w:rPr>
      </w:pPr>
      <w:r>
        <w:rPr>
          <w:rFonts w:hint="eastAsia" w:ascii="宋体" w:hAnsi="宋体" w:eastAsia="宋体"/>
          <w:b/>
          <w:bCs/>
          <w:sz w:val="44"/>
          <w:szCs w:val="44"/>
        </w:rPr>
        <w:t>2024年随县公平竞争审查</w:t>
      </w:r>
    </w:p>
    <w:p>
      <w:pPr>
        <w:jc w:val="center"/>
        <w:rPr>
          <w:rFonts w:ascii="宋体" w:hAnsi="宋体" w:eastAsia="宋体"/>
          <w:b/>
          <w:bCs/>
          <w:sz w:val="36"/>
          <w:szCs w:val="36"/>
        </w:rPr>
      </w:pPr>
    </w:p>
    <w:p>
      <w:pPr>
        <w:jc w:val="center"/>
        <w:rPr>
          <w:rFonts w:ascii="宋体" w:hAnsi="宋体" w:eastAsia="宋体"/>
          <w:b/>
          <w:bCs/>
          <w:sz w:val="48"/>
          <w:szCs w:val="48"/>
        </w:rPr>
      </w:pPr>
      <w:r>
        <w:rPr>
          <w:rFonts w:hint="eastAsia" w:ascii="宋体" w:hAnsi="宋体" w:eastAsia="宋体"/>
          <w:b/>
          <w:bCs/>
          <w:sz w:val="48"/>
          <w:szCs w:val="48"/>
        </w:rPr>
        <w:t>第三方评估报告</w:t>
      </w: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楷体" w:hAnsi="楷体" w:eastAsia="楷体"/>
          <w:b/>
          <w:bCs/>
          <w:sz w:val="36"/>
          <w:szCs w:val="36"/>
        </w:rPr>
      </w:pPr>
      <w:r>
        <w:rPr>
          <w:rFonts w:hint="eastAsia" w:ascii="楷体" w:hAnsi="楷体" w:eastAsia="楷体"/>
          <w:b/>
          <w:bCs/>
          <w:sz w:val="36"/>
          <w:szCs w:val="36"/>
        </w:rPr>
        <w:t>湖北季梁律师事务所</w:t>
      </w:r>
    </w:p>
    <w:p>
      <w:pPr>
        <w:jc w:val="center"/>
        <w:rPr>
          <w:rFonts w:ascii="楷体" w:hAnsi="楷体" w:eastAsia="楷体"/>
          <w:b/>
          <w:bCs/>
          <w:sz w:val="36"/>
          <w:szCs w:val="36"/>
        </w:rPr>
      </w:pPr>
      <w:r>
        <w:rPr>
          <w:rFonts w:hint="eastAsia" w:ascii="楷体" w:hAnsi="楷体" w:eastAsia="楷体"/>
          <w:b/>
          <w:bCs/>
          <w:sz w:val="36"/>
          <w:szCs w:val="36"/>
        </w:rPr>
        <w:t>2024年7月</w:t>
      </w:r>
    </w:p>
    <w:p>
      <w:pPr>
        <w:jc w:val="center"/>
        <w:rPr>
          <w:rFonts w:ascii="楷体" w:hAnsi="楷体" w:eastAsia="楷体"/>
          <w:b/>
          <w:bCs/>
          <w:sz w:val="36"/>
          <w:szCs w:val="36"/>
        </w:rPr>
      </w:pPr>
    </w:p>
    <w:p>
      <w:pPr>
        <w:jc w:val="center"/>
        <w:rPr>
          <w:rFonts w:ascii="楷体" w:hAnsi="楷体" w:eastAsia="楷体"/>
          <w:b/>
          <w:bCs/>
          <w:sz w:val="36"/>
          <w:szCs w:val="36"/>
        </w:rPr>
      </w:pPr>
    </w:p>
    <w:p>
      <w:pPr>
        <w:jc w:val="center"/>
        <w:rPr>
          <w:rFonts w:ascii="楷体" w:hAnsi="楷体" w:eastAsia="楷体"/>
          <w:b/>
          <w:bCs/>
          <w:sz w:val="36"/>
          <w:szCs w:val="36"/>
        </w:rPr>
      </w:pPr>
    </w:p>
    <w:sdt>
      <w:sdtPr>
        <w:rPr>
          <w:rFonts w:asciiTheme="minorHAnsi" w:hAnsiTheme="minorHAnsi" w:eastAsiaTheme="minorEastAsia" w:cstheme="minorBidi"/>
          <w:b w:val="0"/>
          <w:bCs w:val="0"/>
          <w:color w:val="auto"/>
          <w:kern w:val="2"/>
          <w:sz w:val="21"/>
          <w:szCs w:val="22"/>
          <w:lang w:val="zh-CN"/>
        </w:rPr>
        <w:id w:val="-1"/>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28"/>
            <w:jc w:val="center"/>
            <w:rPr>
              <w:rFonts w:ascii="宋体" w:hAnsi="宋体" w:eastAsia="宋体"/>
              <w:color w:val="auto"/>
              <w:sz w:val="30"/>
              <w:szCs w:val="30"/>
            </w:rPr>
          </w:pPr>
          <w:r>
            <w:rPr>
              <w:rFonts w:ascii="宋体" w:hAnsi="宋体" w:eastAsia="宋体"/>
              <w:color w:val="auto"/>
              <w:sz w:val="30"/>
              <w:szCs w:val="30"/>
              <w:lang w:val="zh-CN"/>
            </w:rPr>
            <w:t>目录</w:t>
          </w:r>
        </w:p>
        <w:p>
          <w:pPr>
            <w:pStyle w:val="11"/>
            <w:tabs>
              <w:tab w:val="right" w:leader="dot" w:pos="8296"/>
            </w:tabs>
            <w:rPr>
              <w:rFonts w:eastAsiaTheme="minorEastAsia"/>
              <w:b w:val="0"/>
              <w:bCs w:val="0"/>
              <w:sz w:val="21"/>
              <w:szCs w:val="22"/>
            </w:rPr>
          </w:pPr>
          <w:r>
            <w:rPr>
              <w:b w:val="0"/>
              <w:bCs w:val="0"/>
            </w:rPr>
            <w:fldChar w:fldCharType="begin"/>
          </w:r>
          <w:r>
            <w:instrText xml:space="preserve">TOC \o "1-3" \h \z \u</w:instrText>
          </w:r>
          <w:r>
            <w:rPr>
              <w:b w:val="0"/>
              <w:bCs w:val="0"/>
            </w:rPr>
            <w:fldChar w:fldCharType="separate"/>
          </w:r>
          <w:r>
            <w:fldChar w:fldCharType="begin"/>
          </w:r>
          <w:r>
            <w:instrText xml:space="preserve"> HYPERLINK \l "_Toc171935242" </w:instrText>
          </w:r>
          <w:r>
            <w:fldChar w:fldCharType="separate"/>
          </w:r>
          <w:r>
            <w:rPr>
              <w:rStyle w:val="19"/>
              <w:rFonts w:ascii="宋体" w:hAnsi="宋体" w:eastAsia="宋体"/>
            </w:rPr>
            <w:t>一、前言</w:t>
          </w:r>
          <w:r>
            <w:tab/>
          </w:r>
          <w:r>
            <w:fldChar w:fldCharType="begin"/>
          </w:r>
          <w:r>
            <w:instrText xml:space="preserve"> PAGEREF _Toc171935242 \h </w:instrText>
          </w:r>
          <w:r>
            <w:fldChar w:fldCharType="separate"/>
          </w:r>
          <w:r>
            <w:t>1</w:t>
          </w:r>
          <w:r>
            <w:fldChar w:fldCharType="end"/>
          </w:r>
          <w:r>
            <w:fldChar w:fldCharType="end"/>
          </w:r>
        </w:p>
        <w:p>
          <w:pPr>
            <w:pStyle w:val="11"/>
            <w:tabs>
              <w:tab w:val="right" w:leader="dot" w:pos="8296"/>
            </w:tabs>
            <w:rPr>
              <w:rFonts w:eastAsiaTheme="minorEastAsia"/>
              <w:b w:val="0"/>
              <w:bCs w:val="0"/>
              <w:sz w:val="21"/>
              <w:szCs w:val="22"/>
            </w:rPr>
          </w:pPr>
          <w:r>
            <w:fldChar w:fldCharType="begin"/>
          </w:r>
          <w:r>
            <w:instrText xml:space="preserve"> HYPERLINK \l "_Toc171935243" </w:instrText>
          </w:r>
          <w:r>
            <w:fldChar w:fldCharType="separate"/>
          </w:r>
          <w:r>
            <w:rPr>
              <w:rStyle w:val="19"/>
              <w:rFonts w:ascii="宋体" w:hAnsi="宋体" w:eastAsia="宋体" w:cs="Times New Roman (正文 CS 字体)"/>
            </w:rPr>
            <w:t>二、公平竞争审查宏观政策、实施细则发展趋势及总结</w:t>
          </w:r>
          <w:r>
            <w:tab/>
          </w:r>
          <w:r>
            <w:fldChar w:fldCharType="begin"/>
          </w:r>
          <w:r>
            <w:instrText xml:space="preserve"> PAGEREF _Toc171935243 \h </w:instrText>
          </w:r>
          <w:r>
            <w:fldChar w:fldCharType="separate"/>
          </w:r>
          <w:r>
            <w:t>3</w:t>
          </w:r>
          <w:r>
            <w:fldChar w:fldCharType="end"/>
          </w:r>
          <w:r>
            <w:fldChar w:fldCharType="end"/>
          </w:r>
        </w:p>
        <w:p>
          <w:pPr>
            <w:pStyle w:val="14"/>
            <w:tabs>
              <w:tab w:val="right" w:leader="dot" w:pos="8296"/>
            </w:tabs>
            <w:rPr>
              <w:rFonts w:eastAsiaTheme="minorEastAsia"/>
              <w:i w:val="0"/>
              <w:iCs w:val="0"/>
              <w:sz w:val="21"/>
              <w:szCs w:val="22"/>
            </w:rPr>
          </w:pPr>
          <w:r>
            <w:fldChar w:fldCharType="begin"/>
          </w:r>
          <w:r>
            <w:instrText xml:space="preserve"> HYPERLINK \l "_Toc171935244" </w:instrText>
          </w:r>
          <w:r>
            <w:fldChar w:fldCharType="separate"/>
          </w:r>
          <w:r>
            <w:rPr>
              <w:rStyle w:val="19"/>
              <w:rFonts w:ascii="黑体" w:hAnsi="黑体" w:eastAsia="黑体"/>
            </w:rPr>
            <w:t>（一）宏观政策层面</w:t>
          </w:r>
          <w:r>
            <w:tab/>
          </w:r>
          <w:r>
            <w:fldChar w:fldCharType="begin"/>
          </w:r>
          <w:r>
            <w:instrText xml:space="preserve"> PAGEREF _Toc171935244 \h </w:instrText>
          </w:r>
          <w:r>
            <w:fldChar w:fldCharType="separate"/>
          </w:r>
          <w:r>
            <w:t>3</w:t>
          </w:r>
          <w:r>
            <w:fldChar w:fldCharType="end"/>
          </w:r>
          <w:r>
            <w:fldChar w:fldCharType="end"/>
          </w:r>
        </w:p>
        <w:p>
          <w:pPr>
            <w:pStyle w:val="14"/>
            <w:tabs>
              <w:tab w:val="right" w:leader="dot" w:pos="8296"/>
            </w:tabs>
            <w:rPr>
              <w:rFonts w:eastAsiaTheme="minorEastAsia"/>
              <w:i w:val="0"/>
              <w:iCs w:val="0"/>
              <w:sz w:val="21"/>
              <w:szCs w:val="22"/>
            </w:rPr>
          </w:pPr>
          <w:r>
            <w:fldChar w:fldCharType="begin"/>
          </w:r>
          <w:r>
            <w:instrText xml:space="preserve"> HYPERLINK \l "_Toc171935245" </w:instrText>
          </w:r>
          <w:r>
            <w:fldChar w:fldCharType="separate"/>
          </w:r>
          <w:r>
            <w:rPr>
              <w:rStyle w:val="19"/>
              <w:rFonts w:ascii="黑体" w:hAnsi="黑体" w:eastAsia="黑体"/>
            </w:rPr>
            <w:t>（二）实施细则层面</w:t>
          </w:r>
          <w:r>
            <w:tab/>
          </w:r>
          <w:r>
            <w:fldChar w:fldCharType="begin"/>
          </w:r>
          <w:r>
            <w:instrText xml:space="preserve"> PAGEREF _Toc171935245 \h </w:instrText>
          </w:r>
          <w:r>
            <w:fldChar w:fldCharType="separate"/>
          </w:r>
          <w:r>
            <w:t>5</w:t>
          </w:r>
          <w:r>
            <w:fldChar w:fldCharType="end"/>
          </w:r>
          <w:r>
            <w:fldChar w:fldCharType="end"/>
          </w:r>
        </w:p>
        <w:p>
          <w:pPr>
            <w:pStyle w:val="14"/>
            <w:tabs>
              <w:tab w:val="right" w:leader="dot" w:pos="8296"/>
            </w:tabs>
            <w:rPr>
              <w:rFonts w:eastAsiaTheme="minorEastAsia"/>
              <w:i w:val="0"/>
              <w:iCs w:val="0"/>
              <w:sz w:val="21"/>
              <w:szCs w:val="22"/>
            </w:rPr>
          </w:pPr>
          <w:r>
            <w:fldChar w:fldCharType="begin"/>
          </w:r>
          <w:r>
            <w:instrText xml:space="preserve"> HYPERLINK \l "_Toc171935246" </w:instrText>
          </w:r>
          <w:r>
            <w:fldChar w:fldCharType="separate"/>
          </w:r>
          <w:r>
            <w:rPr>
              <w:rStyle w:val="19"/>
              <w:rFonts w:ascii="黑体" w:hAnsi="黑体" w:eastAsia="黑体"/>
            </w:rPr>
            <w:t>（三）总结</w:t>
          </w:r>
          <w:r>
            <w:tab/>
          </w:r>
          <w:r>
            <w:fldChar w:fldCharType="begin"/>
          </w:r>
          <w:r>
            <w:instrText xml:space="preserve"> PAGEREF _Toc171935246 \h </w:instrText>
          </w:r>
          <w:r>
            <w:fldChar w:fldCharType="separate"/>
          </w:r>
          <w:r>
            <w:t>7</w:t>
          </w:r>
          <w:r>
            <w:fldChar w:fldCharType="end"/>
          </w:r>
          <w:r>
            <w:fldChar w:fldCharType="end"/>
          </w:r>
        </w:p>
        <w:p>
          <w:pPr>
            <w:pStyle w:val="11"/>
            <w:tabs>
              <w:tab w:val="right" w:leader="dot" w:pos="8296"/>
            </w:tabs>
            <w:rPr>
              <w:rFonts w:eastAsiaTheme="minorEastAsia"/>
              <w:b w:val="0"/>
              <w:bCs w:val="0"/>
              <w:sz w:val="21"/>
              <w:szCs w:val="22"/>
            </w:rPr>
          </w:pPr>
          <w:r>
            <w:fldChar w:fldCharType="begin"/>
          </w:r>
          <w:r>
            <w:instrText xml:space="preserve"> HYPERLINK \l "_Toc171935247" </w:instrText>
          </w:r>
          <w:r>
            <w:fldChar w:fldCharType="separate"/>
          </w:r>
          <w:r>
            <w:rPr>
              <w:rStyle w:val="19"/>
              <w:rFonts w:ascii="宋体" w:hAnsi="宋体" w:eastAsia="宋体" w:cs="Times New Roman (正文 CS 字体)"/>
            </w:rPr>
            <w:t>二、评估对象</w:t>
          </w:r>
          <w:r>
            <w:tab/>
          </w:r>
          <w:r>
            <w:fldChar w:fldCharType="begin"/>
          </w:r>
          <w:r>
            <w:instrText xml:space="preserve"> PAGEREF _Toc171935247 \h </w:instrText>
          </w:r>
          <w:r>
            <w:fldChar w:fldCharType="separate"/>
          </w:r>
          <w:r>
            <w:t>8</w:t>
          </w:r>
          <w:r>
            <w:fldChar w:fldCharType="end"/>
          </w:r>
          <w:r>
            <w:fldChar w:fldCharType="end"/>
          </w:r>
        </w:p>
        <w:p>
          <w:pPr>
            <w:pStyle w:val="11"/>
            <w:tabs>
              <w:tab w:val="right" w:leader="dot" w:pos="8296"/>
            </w:tabs>
            <w:rPr>
              <w:rFonts w:eastAsiaTheme="minorEastAsia"/>
              <w:b w:val="0"/>
              <w:bCs w:val="0"/>
              <w:sz w:val="21"/>
              <w:szCs w:val="22"/>
            </w:rPr>
          </w:pPr>
          <w:r>
            <w:fldChar w:fldCharType="begin"/>
          </w:r>
          <w:r>
            <w:instrText xml:space="preserve"> HYPERLINK \l "_Toc171935248" </w:instrText>
          </w:r>
          <w:r>
            <w:fldChar w:fldCharType="separate"/>
          </w:r>
          <w:r>
            <w:rPr>
              <w:rStyle w:val="19"/>
              <w:rFonts w:ascii="宋体" w:hAnsi="宋体" w:eastAsia="宋体" w:cs="Times New Roman (正文 CS 字体)"/>
            </w:rPr>
            <w:t>三、评估目标</w:t>
          </w:r>
          <w:r>
            <w:tab/>
          </w:r>
          <w:r>
            <w:fldChar w:fldCharType="begin"/>
          </w:r>
          <w:r>
            <w:instrText xml:space="preserve"> PAGEREF _Toc171935248 \h </w:instrText>
          </w:r>
          <w:r>
            <w:fldChar w:fldCharType="separate"/>
          </w:r>
          <w:r>
            <w:t>8</w:t>
          </w:r>
          <w:r>
            <w:fldChar w:fldCharType="end"/>
          </w:r>
          <w:r>
            <w:fldChar w:fldCharType="end"/>
          </w:r>
        </w:p>
        <w:p>
          <w:pPr>
            <w:pStyle w:val="11"/>
            <w:tabs>
              <w:tab w:val="right" w:leader="dot" w:pos="8296"/>
            </w:tabs>
            <w:rPr>
              <w:rFonts w:eastAsiaTheme="minorEastAsia"/>
              <w:b w:val="0"/>
              <w:bCs w:val="0"/>
              <w:sz w:val="21"/>
              <w:szCs w:val="22"/>
            </w:rPr>
          </w:pPr>
          <w:r>
            <w:fldChar w:fldCharType="begin"/>
          </w:r>
          <w:r>
            <w:instrText xml:space="preserve"> HYPERLINK \l "_Toc171935249" </w:instrText>
          </w:r>
          <w:r>
            <w:fldChar w:fldCharType="separate"/>
          </w:r>
          <w:r>
            <w:rPr>
              <w:rStyle w:val="19"/>
              <w:rFonts w:ascii="宋体" w:hAnsi="宋体" w:eastAsia="宋体" w:cs="Times New Roman (正文 CS 字体)"/>
            </w:rPr>
            <w:t>四、评估方法</w:t>
          </w:r>
          <w:r>
            <w:tab/>
          </w:r>
          <w:r>
            <w:fldChar w:fldCharType="begin"/>
          </w:r>
          <w:r>
            <w:instrText xml:space="preserve"> PAGEREF _Toc171935249 \h </w:instrText>
          </w:r>
          <w:r>
            <w:fldChar w:fldCharType="separate"/>
          </w:r>
          <w:r>
            <w:t>9</w:t>
          </w:r>
          <w:r>
            <w:fldChar w:fldCharType="end"/>
          </w:r>
          <w:r>
            <w:fldChar w:fldCharType="end"/>
          </w:r>
        </w:p>
        <w:p>
          <w:pPr>
            <w:pStyle w:val="11"/>
            <w:tabs>
              <w:tab w:val="right" w:leader="dot" w:pos="8296"/>
            </w:tabs>
            <w:rPr>
              <w:rFonts w:eastAsiaTheme="minorEastAsia"/>
              <w:b w:val="0"/>
              <w:bCs w:val="0"/>
              <w:sz w:val="21"/>
              <w:szCs w:val="22"/>
            </w:rPr>
          </w:pPr>
          <w:r>
            <w:fldChar w:fldCharType="begin"/>
          </w:r>
          <w:r>
            <w:instrText xml:space="preserve"> HYPERLINK \l "_Toc171935250" </w:instrText>
          </w:r>
          <w:r>
            <w:fldChar w:fldCharType="separate"/>
          </w:r>
          <w:r>
            <w:rPr>
              <w:rStyle w:val="19"/>
              <w:rFonts w:ascii="宋体" w:hAnsi="宋体" w:eastAsia="宋体" w:cs="Times New Roman (正文 CS 字体)"/>
            </w:rPr>
            <w:t>五、各成员单位2023年5月1日至2024年4月30日发文数据汇总与对比</w:t>
          </w:r>
          <w:r>
            <w:tab/>
          </w:r>
          <w:r>
            <w:fldChar w:fldCharType="begin"/>
          </w:r>
          <w:r>
            <w:instrText xml:space="preserve"> PAGEREF _Toc171935250 \h </w:instrText>
          </w:r>
          <w:r>
            <w:fldChar w:fldCharType="separate"/>
          </w:r>
          <w:r>
            <w:t>11</w:t>
          </w:r>
          <w:r>
            <w:fldChar w:fldCharType="end"/>
          </w:r>
          <w:r>
            <w:fldChar w:fldCharType="end"/>
          </w:r>
        </w:p>
        <w:p>
          <w:pPr>
            <w:pStyle w:val="14"/>
            <w:tabs>
              <w:tab w:val="right" w:leader="dot" w:pos="8296"/>
            </w:tabs>
            <w:rPr>
              <w:rFonts w:eastAsiaTheme="minorEastAsia"/>
              <w:i w:val="0"/>
              <w:iCs w:val="0"/>
              <w:sz w:val="21"/>
              <w:szCs w:val="22"/>
            </w:rPr>
          </w:pPr>
          <w:r>
            <w:fldChar w:fldCharType="begin"/>
          </w:r>
          <w:r>
            <w:instrText xml:space="preserve"> HYPERLINK \l "_Toc171935251" </w:instrText>
          </w:r>
          <w:r>
            <w:fldChar w:fldCharType="separate"/>
          </w:r>
          <w:r>
            <w:rPr>
              <w:rStyle w:val="19"/>
              <w:rFonts w:ascii="黑体" w:hAnsi="黑体" w:eastAsia="黑体"/>
            </w:rPr>
            <w:t>（一）各成员单位2023年5月1日至2024年4月30日发文情况汇总</w:t>
          </w:r>
          <w:r>
            <w:tab/>
          </w:r>
          <w:r>
            <w:fldChar w:fldCharType="begin"/>
          </w:r>
          <w:r>
            <w:instrText xml:space="preserve"> PAGEREF _Toc171935251 \h </w:instrText>
          </w:r>
          <w:r>
            <w:fldChar w:fldCharType="separate"/>
          </w:r>
          <w:r>
            <w:t>11</w:t>
          </w:r>
          <w:r>
            <w:fldChar w:fldCharType="end"/>
          </w:r>
          <w:r>
            <w:fldChar w:fldCharType="end"/>
          </w:r>
        </w:p>
        <w:p>
          <w:pPr>
            <w:pStyle w:val="14"/>
            <w:tabs>
              <w:tab w:val="right" w:leader="dot" w:pos="8296"/>
            </w:tabs>
            <w:rPr>
              <w:rFonts w:eastAsiaTheme="minorEastAsia"/>
              <w:i w:val="0"/>
              <w:iCs w:val="0"/>
              <w:sz w:val="21"/>
              <w:szCs w:val="22"/>
            </w:rPr>
          </w:pPr>
          <w:r>
            <w:fldChar w:fldCharType="begin"/>
          </w:r>
          <w:r>
            <w:instrText xml:space="preserve"> HYPERLINK \l "_Toc171935252" </w:instrText>
          </w:r>
          <w:r>
            <w:fldChar w:fldCharType="separate"/>
          </w:r>
          <w:r>
            <w:rPr>
              <w:rStyle w:val="19"/>
              <w:rFonts w:ascii="黑体" w:hAnsi="黑体" w:eastAsia="黑体"/>
            </w:rPr>
            <w:t>（二）各成员单位三次评估发文情况对比</w:t>
          </w:r>
          <w:r>
            <w:tab/>
          </w:r>
          <w:r>
            <w:fldChar w:fldCharType="begin"/>
          </w:r>
          <w:r>
            <w:instrText xml:space="preserve"> PAGEREF _Toc171935252 \h </w:instrText>
          </w:r>
          <w:r>
            <w:fldChar w:fldCharType="separate"/>
          </w:r>
          <w:r>
            <w:t>13</w:t>
          </w:r>
          <w:r>
            <w:fldChar w:fldCharType="end"/>
          </w:r>
          <w:r>
            <w:fldChar w:fldCharType="end"/>
          </w:r>
        </w:p>
        <w:p>
          <w:pPr>
            <w:pStyle w:val="14"/>
            <w:tabs>
              <w:tab w:val="right" w:leader="dot" w:pos="8296"/>
            </w:tabs>
            <w:rPr>
              <w:rFonts w:eastAsiaTheme="minorEastAsia"/>
              <w:i w:val="0"/>
              <w:iCs w:val="0"/>
              <w:sz w:val="21"/>
              <w:szCs w:val="22"/>
            </w:rPr>
          </w:pPr>
          <w:r>
            <w:fldChar w:fldCharType="begin"/>
          </w:r>
          <w:r>
            <w:instrText xml:space="preserve"> HYPERLINK \l "_Toc171935253" </w:instrText>
          </w:r>
          <w:r>
            <w:fldChar w:fldCharType="separate"/>
          </w:r>
          <w:r>
            <w:rPr>
              <w:rStyle w:val="19"/>
              <w:rFonts w:ascii="黑体" w:hAnsi="黑体" w:eastAsia="黑体"/>
            </w:rPr>
            <w:t>（三）总结</w:t>
          </w:r>
          <w:r>
            <w:tab/>
          </w:r>
          <w:r>
            <w:fldChar w:fldCharType="begin"/>
          </w:r>
          <w:r>
            <w:instrText xml:space="preserve"> PAGEREF _Toc171935253 \h </w:instrText>
          </w:r>
          <w:r>
            <w:fldChar w:fldCharType="separate"/>
          </w:r>
          <w:r>
            <w:t>16</w:t>
          </w:r>
          <w:r>
            <w:fldChar w:fldCharType="end"/>
          </w:r>
          <w:r>
            <w:fldChar w:fldCharType="end"/>
          </w:r>
        </w:p>
        <w:p>
          <w:pPr>
            <w:pStyle w:val="11"/>
            <w:tabs>
              <w:tab w:val="right" w:leader="dot" w:pos="8296"/>
            </w:tabs>
            <w:rPr>
              <w:rFonts w:eastAsiaTheme="minorEastAsia"/>
              <w:b w:val="0"/>
              <w:bCs w:val="0"/>
              <w:sz w:val="21"/>
              <w:szCs w:val="22"/>
            </w:rPr>
          </w:pPr>
          <w:r>
            <w:fldChar w:fldCharType="begin"/>
          </w:r>
          <w:r>
            <w:instrText xml:space="preserve"> HYPERLINK \l "_Toc171935254" </w:instrText>
          </w:r>
          <w:r>
            <w:fldChar w:fldCharType="separate"/>
          </w:r>
          <w:r>
            <w:rPr>
              <w:rStyle w:val="19"/>
              <w:rFonts w:ascii="宋体" w:hAnsi="宋体" w:eastAsia="宋体" w:cs="Times New Roman (正文 CS 字体)"/>
            </w:rPr>
            <w:t>六、涉嫌违反公平竞争原则的行政文件的个案分析</w:t>
          </w:r>
          <w:r>
            <w:tab/>
          </w:r>
          <w:r>
            <w:fldChar w:fldCharType="begin"/>
          </w:r>
          <w:r>
            <w:instrText xml:space="preserve"> PAGEREF _Toc171935254 \h </w:instrText>
          </w:r>
          <w:r>
            <w:fldChar w:fldCharType="separate"/>
          </w:r>
          <w:r>
            <w:t>17</w:t>
          </w:r>
          <w:r>
            <w:fldChar w:fldCharType="end"/>
          </w:r>
          <w:r>
            <w:fldChar w:fldCharType="end"/>
          </w:r>
        </w:p>
        <w:p>
          <w:pPr>
            <w:pStyle w:val="14"/>
            <w:tabs>
              <w:tab w:val="right" w:leader="dot" w:pos="8296"/>
            </w:tabs>
            <w:rPr>
              <w:rFonts w:eastAsiaTheme="minorEastAsia"/>
              <w:i w:val="0"/>
              <w:iCs w:val="0"/>
              <w:sz w:val="21"/>
              <w:szCs w:val="22"/>
            </w:rPr>
          </w:pPr>
          <w:r>
            <w:fldChar w:fldCharType="begin"/>
          </w:r>
          <w:r>
            <w:instrText xml:space="preserve"> HYPERLINK \l "_Toc171935255" </w:instrText>
          </w:r>
          <w:r>
            <w:fldChar w:fldCharType="separate"/>
          </w:r>
          <w:r>
            <w:rPr>
              <w:rStyle w:val="19"/>
              <w:rFonts w:ascii="黑体" w:hAnsi="黑体" w:eastAsia="黑体"/>
            </w:rPr>
            <w:t>（一）案例一</w:t>
          </w:r>
          <w:r>
            <w:tab/>
          </w:r>
          <w:r>
            <w:fldChar w:fldCharType="begin"/>
          </w:r>
          <w:r>
            <w:instrText xml:space="preserve"> PAGEREF _Toc171935255 \h </w:instrText>
          </w:r>
          <w:r>
            <w:fldChar w:fldCharType="separate"/>
          </w:r>
          <w:r>
            <w:t>17</w:t>
          </w:r>
          <w:r>
            <w:fldChar w:fldCharType="end"/>
          </w:r>
          <w:r>
            <w:fldChar w:fldCharType="end"/>
          </w:r>
        </w:p>
        <w:p>
          <w:pPr>
            <w:pStyle w:val="14"/>
            <w:tabs>
              <w:tab w:val="right" w:leader="dot" w:pos="8296"/>
            </w:tabs>
            <w:rPr>
              <w:rFonts w:eastAsiaTheme="minorEastAsia"/>
              <w:i w:val="0"/>
              <w:iCs w:val="0"/>
              <w:sz w:val="21"/>
              <w:szCs w:val="22"/>
            </w:rPr>
          </w:pPr>
          <w:r>
            <w:fldChar w:fldCharType="begin"/>
          </w:r>
          <w:r>
            <w:instrText xml:space="preserve"> HYPERLINK \l "_Toc171935256" </w:instrText>
          </w:r>
          <w:r>
            <w:fldChar w:fldCharType="separate"/>
          </w:r>
          <w:r>
            <w:rPr>
              <w:rStyle w:val="19"/>
              <w:rFonts w:ascii="黑体" w:hAnsi="黑体" w:eastAsia="黑体"/>
            </w:rPr>
            <w:t>（二）案例二</w:t>
          </w:r>
          <w:r>
            <w:tab/>
          </w:r>
          <w:r>
            <w:fldChar w:fldCharType="begin"/>
          </w:r>
          <w:r>
            <w:instrText xml:space="preserve"> PAGEREF _Toc171935256 \h </w:instrText>
          </w:r>
          <w:r>
            <w:fldChar w:fldCharType="separate"/>
          </w:r>
          <w:r>
            <w:t>19</w:t>
          </w:r>
          <w:r>
            <w:fldChar w:fldCharType="end"/>
          </w:r>
          <w:r>
            <w:fldChar w:fldCharType="end"/>
          </w:r>
        </w:p>
        <w:p>
          <w:pPr>
            <w:pStyle w:val="14"/>
            <w:tabs>
              <w:tab w:val="right" w:leader="dot" w:pos="8296"/>
            </w:tabs>
            <w:rPr>
              <w:rFonts w:eastAsiaTheme="minorEastAsia"/>
              <w:i w:val="0"/>
              <w:iCs w:val="0"/>
              <w:sz w:val="21"/>
              <w:szCs w:val="22"/>
            </w:rPr>
          </w:pPr>
          <w:r>
            <w:fldChar w:fldCharType="begin"/>
          </w:r>
          <w:r>
            <w:instrText xml:space="preserve"> HYPERLINK \l "_Toc171935257" </w:instrText>
          </w:r>
          <w:r>
            <w:fldChar w:fldCharType="separate"/>
          </w:r>
          <w:r>
            <w:rPr>
              <w:rStyle w:val="19"/>
              <w:rFonts w:ascii="黑体" w:hAnsi="黑体" w:eastAsia="黑体"/>
            </w:rPr>
            <w:t>（三）案例三</w:t>
          </w:r>
          <w:r>
            <w:tab/>
          </w:r>
          <w:r>
            <w:fldChar w:fldCharType="begin"/>
          </w:r>
          <w:r>
            <w:instrText xml:space="preserve"> PAGEREF _Toc171935257 \h </w:instrText>
          </w:r>
          <w:r>
            <w:fldChar w:fldCharType="separate"/>
          </w:r>
          <w:r>
            <w:t>20</w:t>
          </w:r>
          <w:r>
            <w:fldChar w:fldCharType="end"/>
          </w:r>
          <w:r>
            <w:fldChar w:fldCharType="end"/>
          </w:r>
        </w:p>
        <w:p>
          <w:pPr>
            <w:pStyle w:val="14"/>
            <w:tabs>
              <w:tab w:val="right" w:leader="dot" w:pos="8296"/>
            </w:tabs>
            <w:rPr>
              <w:rFonts w:eastAsiaTheme="minorEastAsia"/>
              <w:i w:val="0"/>
              <w:iCs w:val="0"/>
              <w:sz w:val="21"/>
              <w:szCs w:val="22"/>
            </w:rPr>
          </w:pPr>
          <w:r>
            <w:fldChar w:fldCharType="begin"/>
          </w:r>
          <w:r>
            <w:instrText xml:space="preserve"> HYPERLINK \l "_Toc171935258" </w:instrText>
          </w:r>
          <w:r>
            <w:fldChar w:fldCharType="separate"/>
          </w:r>
          <w:r>
            <w:rPr>
              <w:rStyle w:val="19"/>
              <w:rFonts w:ascii="黑体" w:hAnsi="黑体" w:eastAsia="黑体"/>
            </w:rPr>
            <w:t>（四）案例四</w:t>
          </w:r>
          <w:r>
            <w:tab/>
          </w:r>
          <w:r>
            <w:fldChar w:fldCharType="begin"/>
          </w:r>
          <w:r>
            <w:instrText xml:space="preserve"> PAGEREF _Toc171935258 \h </w:instrText>
          </w:r>
          <w:r>
            <w:fldChar w:fldCharType="separate"/>
          </w:r>
          <w:r>
            <w:t>22</w:t>
          </w:r>
          <w:r>
            <w:fldChar w:fldCharType="end"/>
          </w:r>
          <w:r>
            <w:fldChar w:fldCharType="end"/>
          </w:r>
        </w:p>
        <w:p>
          <w:pPr>
            <w:pStyle w:val="14"/>
            <w:tabs>
              <w:tab w:val="right" w:leader="dot" w:pos="8296"/>
            </w:tabs>
            <w:rPr>
              <w:rFonts w:eastAsiaTheme="minorEastAsia"/>
              <w:i w:val="0"/>
              <w:iCs w:val="0"/>
              <w:sz w:val="21"/>
              <w:szCs w:val="22"/>
            </w:rPr>
          </w:pPr>
          <w:r>
            <w:fldChar w:fldCharType="begin"/>
          </w:r>
          <w:r>
            <w:instrText xml:space="preserve"> HYPERLINK \l "_Toc171935259" </w:instrText>
          </w:r>
          <w:r>
            <w:fldChar w:fldCharType="separate"/>
          </w:r>
          <w:r>
            <w:rPr>
              <w:rStyle w:val="19"/>
              <w:rFonts w:ascii="黑体" w:hAnsi="黑体" w:eastAsia="黑体"/>
            </w:rPr>
            <w:t>（五）案例五</w:t>
          </w:r>
          <w:r>
            <w:tab/>
          </w:r>
          <w:r>
            <w:fldChar w:fldCharType="begin"/>
          </w:r>
          <w:r>
            <w:instrText xml:space="preserve"> PAGEREF _Toc171935259 \h </w:instrText>
          </w:r>
          <w:r>
            <w:fldChar w:fldCharType="separate"/>
          </w:r>
          <w:r>
            <w:t>24</w:t>
          </w:r>
          <w:r>
            <w:fldChar w:fldCharType="end"/>
          </w:r>
          <w:r>
            <w:fldChar w:fldCharType="end"/>
          </w:r>
        </w:p>
        <w:p>
          <w:pPr>
            <w:pStyle w:val="14"/>
            <w:tabs>
              <w:tab w:val="right" w:leader="dot" w:pos="8296"/>
            </w:tabs>
            <w:rPr>
              <w:rFonts w:eastAsiaTheme="minorEastAsia"/>
              <w:i w:val="0"/>
              <w:iCs w:val="0"/>
              <w:sz w:val="21"/>
              <w:szCs w:val="22"/>
            </w:rPr>
          </w:pPr>
          <w:r>
            <w:fldChar w:fldCharType="begin"/>
          </w:r>
          <w:r>
            <w:instrText xml:space="preserve"> HYPERLINK \l "_Toc171935260" </w:instrText>
          </w:r>
          <w:r>
            <w:fldChar w:fldCharType="separate"/>
          </w:r>
          <w:r>
            <w:rPr>
              <w:rStyle w:val="19"/>
              <w:rFonts w:ascii="黑体" w:hAnsi="黑体" w:eastAsia="黑体"/>
            </w:rPr>
            <w:t>（六）总结</w:t>
          </w:r>
          <w:r>
            <w:tab/>
          </w:r>
          <w:r>
            <w:fldChar w:fldCharType="begin"/>
          </w:r>
          <w:r>
            <w:instrText xml:space="preserve"> PAGEREF _Toc171935260 \h </w:instrText>
          </w:r>
          <w:r>
            <w:fldChar w:fldCharType="separate"/>
          </w:r>
          <w:r>
            <w:t>25</w:t>
          </w:r>
          <w:r>
            <w:fldChar w:fldCharType="end"/>
          </w:r>
          <w:r>
            <w:fldChar w:fldCharType="end"/>
          </w:r>
        </w:p>
        <w:p>
          <w:pPr>
            <w:pStyle w:val="11"/>
            <w:tabs>
              <w:tab w:val="right" w:leader="dot" w:pos="8296"/>
            </w:tabs>
            <w:rPr>
              <w:rFonts w:eastAsiaTheme="minorEastAsia"/>
              <w:b w:val="0"/>
              <w:bCs w:val="0"/>
              <w:sz w:val="21"/>
              <w:szCs w:val="22"/>
            </w:rPr>
          </w:pPr>
          <w:r>
            <w:fldChar w:fldCharType="begin"/>
          </w:r>
          <w:r>
            <w:instrText xml:space="preserve"> HYPERLINK \l "_Toc171935261" </w:instrText>
          </w:r>
          <w:r>
            <w:fldChar w:fldCharType="separate"/>
          </w:r>
          <w:r>
            <w:rPr>
              <w:rStyle w:val="19"/>
              <w:rFonts w:ascii="宋体" w:hAnsi="宋体" w:eastAsia="宋体" w:cs="Times New Roman (正文 CS 字体)"/>
            </w:rPr>
            <w:t>七、随县公平竞争审查工作开展情况的SWOT分析</w:t>
          </w:r>
          <w:r>
            <w:tab/>
          </w:r>
          <w:r>
            <w:fldChar w:fldCharType="begin"/>
          </w:r>
          <w:r>
            <w:instrText xml:space="preserve"> PAGEREF _Toc171935261 \h </w:instrText>
          </w:r>
          <w:r>
            <w:fldChar w:fldCharType="separate"/>
          </w:r>
          <w:r>
            <w:t>27</w:t>
          </w:r>
          <w:r>
            <w:fldChar w:fldCharType="end"/>
          </w:r>
          <w:r>
            <w:fldChar w:fldCharType="end"/>
          </w:r>
        </w:p>
        <w:p>
          <w:pPr>
            <w:pStyle w:val="14"/>
            <w:tabs>
              <w:tab w:val="right" w:leader="dot" w:pos="8296"/>
            </w:tabs>
            <w:rPr>
              <w:rFonts w:eastAsiaTheme="minorEastAsia"/>
              <w:i w:val="0"/>
              <w:iCs w:val="0"/>
              <w:sz w:val="21"/>
              <w:szCs w:val="22"/>
            </w:rPr>
          </w:pPr>
          <w:r>
            <w:fldChar w:fldCharType="begin"/>
          </w:r>
          <w:r>
            <w:instrText xml:space="preserve"> HYPERLINK \l "_Toc171935262" </w:instrText>
          </w:r>
          <w:r>
            <w:fldChar w:fldCharType="separate"/>
          </w:r>
          <w:r>
            <w:rPr>
              <w:rStyle w:val="19"/>
              <w:rFonts w:ascii="黑体" w:hAnsi="黑体" w:eastAsia="黑体"/>
            </w:rPr>
            <w:t>（一）SWOT分析法概述</w:t>
          </w:r>
          <w:r>
            <w:tab/>
          </w:r>
          <w:r>
            <w:fldChar w:fldCharType="begin"/>
          </w:r>
          <w:r>
            <w:instrText xml:space="preserve"> PAGEREF _Toc171935262 \h </w:instrText>
          </w:r>
          <w:r>
            <w:fldChar w:fldCharType="separate"/>
          </w:r>
          <w:r>
            <w:t>27</w:t>
          </w:r>
          <w:r>
            <w:fldChar w:fldCharType="end"/>
          </w:r>
          <w:r>
            <w:fldChar w:fldCharType="end"/>
          </w:r>
        </w:p>
        <w:p>
          <w:pPr>
            <w:pStyle w:val="14"/>
            <w:tabs>
              <w:tab w:val="right" w:leader="dot" w:pos="8296"/>
            </w:tabs>
            <w:rPr>
              <w:rFonts w:eastAsiaTheme="minorEastAsia"/>
              <w:i w:val="0"/>
              <w:iCs w:val="0"/>
              <w:sz w:val="21"/>
              <w:szCs w:val="22"/>
            </w:rPr>
          </w:pPr>
          <w:r>
            <w:fldChar w:fldCharType="begin"/>
          </w:r>
          <w:r>
            <w:instrText xml:space="preserve"> HYPERLINK \l "_Toc171935263" </w:instrText>
          </w:r>
          <w:r>
            <w:fldChar w:fldCharType="separate"/>
          </w:r>
          <w:r>
            <w:rPr>
              <w:rStyle w:val="19"/>
              <w:rFonts w:ascii="黑体" w:hAnsi="黑体" w:eastAsia="黑体"/>
            </w:rPr>
            <w:t>（二）运用SWOT分析法来评估随县公平竞争审查工作开展情况的必要性</w:t>
          </w:r>
          <w:r>
            <w:tab/>
          </w:r>
          <w:r>
            <w:fldChar w:fldCharType="begin"/>
          </w:r>
          <w:r>
            <w:instrText xml:space="preserve"> PAGEREF _Toc171935263 \h </w:instrText>
          </w:r>
          <w:r>
            <w:fldChar w:fldCharType="separate"/>
          </w:r>
          <w:r>
            <w:t>27</w:t>
          </w:r>
          <w:r>
            <w:fldChar w:fldCharType="end"/>
          </w:r>
          <w:r>
            <w:fldChar w:fldCharType="end"/>
          </w:r>
        </w:p>
        <w:p>
          <w:pPr>
            <w:pStyle w:val="14"/>
            <w:tabs>
              <w:tab w:val="right" w:leader="dot" w:pos="8296"/>
            </w:tabs>
            <w:rPr>
              <w:rFonts w:eastAsiaTheme="minorEastAsia"/>
              <w:i w:val="0"/>
              <w:iCs w:val="0"/>
              <w:sz w:val="21"/>
              <w:szCs w:val="22"/>
            </w:rPr>
          </w:pPr>
          <w:r>
            <w:fldChar w:fldCharType="begin"/>
          </w:r>
          <w:r>
            <w:instrText xml:space="preserve"> HYPERLINK \l "_Toc171935264" </w:instrText>
          </w:r>
          <w:r>
            <w:fldChar w:fldCharType="separate"/>
          </w:r>
          <w:r>
            <w:rPr>
              <w:rStyle w:val="19"/>
              <w:rFonts w:ascii="黑体" w:hAnsi="黑体" w:eastAsia="黑体"/>
            </w:rPr>
            <w:t>（三）随县公平竞争审查工作开展过程中的优势分析（S）</w:t>
          </w:r>
          <w:r>
            <w:tab/>
          </w:r>
          <w:r>
            <w:fldChar w:fldCharType="begin"/>
          </w:r>
          <w:r>
            <w:instrText xml:space="preserve"> PAGEREF _Toc171935264 \h </w:instrText>
          </w:r>
          <w:r>
            <w:fldChar w:fldCharType="separate"/>
          </w:r>
          <w:r>
            <w:t>28</w:t>
          </w:r>
          <w:r>
            <w:fldChar w:fldCharType="end"/>
          </w:r>
          <w:r>
            <w:fldChar w:fldCharType="end"/>
          </w:r>
        </w:p>
        <w:p>
          <w:pPr>
            <w:pStyle w:val="14"/>
            <w:tabs>
              <w:tab w:val="right" w:leader="dot" w:pos="8296"/>
            </w:tabs>
            <w:rPr>
              <w:rFonts w:eastAsiaTheme="minorEastAsia"/>
              <w:i w:val="0"/>
              <w:iCs w:val="0"/>
              <w:sz w:val="21"/>
              <w:szCs w:val="22"/>
            </w:rPr>
          </w:pPr>
          <w:r>
            <w:fldChar w:fldCharType="begin"/>
          </w:r>
          <w:r>
            <w:instrText xml:space="preserve"> HYPERLINK \l "_Toc171935265" </w:instrText>
          </w:r>
          <w:r>
            <w:fldChar w:fldCharType="separate"/>
          </w:r>
          <w:r>
            <w:rPr>
              <w:rStyle w:val="19"/>
              <w:rFonts w:ascii="黑体" w:hAnsi="黑体" w:eastAsia="黑体"/>
            </w:rPr>
            <w:t>（四）随县公平竞争审查工作开展过程中的劣势分析（W）</w:t>
          </w:r>
          <w:r>
            <w:tab/>
          </w:r>
          <w:r>
            <w:fldChar w:fldCharType="begin"/>
          </w:r>
          <w:r>
            <w:instrText xml:space="preserve"> PAGEREF _Toc171935265 \h </w:instrText>
          </w:r>
          <w:r>
            <w:fldChar w:fldCharType="separate"/>
          </w:r>
          <w:r>
            <w:t>28</w:t>
          </w:r>
          <w:r>
            <w:fldChar w:fldCharType="end"/>
          </w:r>
          <w:r>
            <w:fldChar w:fldCharType="end"/>
          </w:r>
        </w:p>
        <w:p>
          <w:pPr>
            <w:pStyle w:val="14"/>
            <w:tabs>
              <w:tab w:val="right" w:leader="dot" w:pos="8296"/>
            </w:tabs>
            <w:rPr>
              <w:rFonts w:eastAsiaTheme="minorEastAsia"/>
              <w:i w:val="0"/>
              <w:iCs w:val="0"/>
              <w:sz w:val="21"/>
              <w:szCs w:val="22"/>
            </w:rPr>
          </w:pPr>
          <w:r>
            <w:fldChar w:fldCharType="begin"/>
          </w:r>
          <w:r>
            <w:instrText xml:space="preserve"> HYPERLINK \l "_Toc171935266" </w:instrText>
          </w:r>
          <w:r>
            <w:fldChar w:fldCharType="separate"/>
          </w:r>
          <w:r>
            <w:rPr>
              <w:rStyle w:val="19"/>
              <w:rFonts w:ascii="黑体" w:hAnsi="黑体" w:eastAsia="黑体"/>
            </w:rPr>
            <w:t>（五）随县公平竞争审查工作开展过程中的机遇分析（O）</w:t>
          </w:r>
          <w:r>
            <w:tab/>
          </w:r>
          <w:r>
            <w:fldChar w:fldCharType="begin"/>
          </w:r>
          <w:r>
            <w:instrText xml:space="preserve"> PAGEREF _Toc171935266 \h </w:instrText>
          </w:r>
          <w:r>
            <w:fldChar w:fldCharType="separate"/>
          </w:r>
          <w:r>
            <w:t>29</w:t>
          </w:r>
          <w:r>
            <w:fldChar w:fldCharType="end"/>
          </w:r>
          <w:r>
            <w:fldChar w:fldCharType="end"/>
          </w:r>
        </w:p>
        <w:p>
          <w:pPr>
            <w:pStyle w:val="14"/>
            <w:tabs>
              <w:tab w:val="right" w:leader="dot" w:pos="8296"/>
            </w:tabs>
            <w:rPr>
              <w:rFonts w:eastAsiaTheme="minorEastAsia"/>
              <w:i w:val="0"/>
              <w:iCs w:val="0"/>
              <w:sz w:val="21"/>
              <w:szCs w:val="22"/>
            </w:rPr>
          </w:pPr>
          <w:r>
            <w:fldChar w:fldCharType="begin"/>
          </w:r>
          <w:r>
            <w:instrText xml:space="preserve"> HYPERLINK \l "_Toc171935267" </w:instrText>
          </w:r>
          <w:r>
            <w:fldChar w:fldCharType="separate"/>
          </w:r>
          <w:r>
            <w:rPr>
              <w:rStyle w:val="19"/>
              <w:rFonts w:ascii="黑体" w:hAnsi="黑体" w:eastAsia="黑体"/>
            </w:rPr>
            <w:t>（六）随县公平竞争审查工作开展过程中的威胁分析（T）</w:t>
          </w:r>
          <w:r>
            <w:tab/>
          </w:r>
          <w:r>
            <w:fldChar w:fldCharType="begin"/>
          </w:r>
          <w:r>
            <w:instrText xml:space="preserve"> PAGEREF _Toc171935267 \h </w:instrText>
          </w:r>
          <w:r>
            <w:fldChar w:fldCharType="separate"/>
          </w:r>
          <w:r>
            <w:t>30</w:t>
          </w:r>
          <w:r>
            <w:fldChar w:fldCharType="end"/>
          </w:r>
          <w:r>
            <w:fldChar w:fldCharType="end"/>
          </w:r>
        </w:p>
        <w:p>
          <w:pPr>
            <w:pStyle w:val="14"/>
            <w:tabs>
              <w:tab w:val="right" w:leader="dot" w:pos="8296"/>
            </w:tabs>
            <w:rPr>
              <w:rFonts w:eastAsiaTheme="minorEastAsia"/>
              <w:i w:val="0"/>
              <w:iCs w:val="0"/>
              <w:sz w:val="21"/>
              <w:szCs w:val="22"/>
            </w:rPr>
          </w:pPr>
          <w:r>
            <w:fldChar w:fldCharType="begin"/>
          </w:r>
          <w:r>
            <w:instrText xml:space="preserve"> HYPERLINK \l "_Toc171935268" </w:instrText>
          </w:r>
          <w:r>
            <w:fldChar w:fldCharType="separate"/>
          </w:r>
          <w:r>
            <w:rPr>
              <w:rStyle w:val="19"/>
              <w:rFonts w:ascii="黑体" w:hAnsi="黑体" w:eastAsia="黑体"/>
            </w:rPr>
            <w:t>（七）随县公平竞争审查工作开展情况SWOT分析矩阵</w:t>
          </w:r>
          <w:r>
            <w:tab/>
          </w:r>
          <w:r>
            <w:fldChar w:fldCharType="begin"/>
          </w:r>
          <w:r>
            <w:instrText xml:space="preserve"> PAGEREF _Toc171935268 \h </w:instrText>
          </w:r>
          <w:r>
            <w:fldChar w:fldCharType="separate"/>
          </w:r>
          <w:r>
            <w:t>30</w:t>
          </w:r>
          <w:r>
            <w:fldChar w:fldCharType="end"/>
          </w:r>
          <w:r>
            <w:fldChar w:fldCharType="end"/>
          </w:r>
        </w:p>
        <w:p>
          <w:pPr>
            <w:pStyle w:val="11"/>
            <w:tabs>
              <w:tab w:val="right" w:leader="dot" w:pos="8296"/>
            </w:tabs>
            <w:rPr>
              <w:rFonts w:eastAsiaTheme="minorEastAsia"/>
              <w:b w:val="0"/>
              <w:bCs w:val="0"/>
              <w:sz w:val="21"/>
              <w:szCs w:val="22"/>
            </w:rPr>
          </w:pPr>
          <w:r>
            <w:fldChar w:fldCharType="begin"/>
          </w:r>
          <w:r>
            <w:instrText xml:space="preserve"> HYPERLINK \l "_Toc171935269" </w:instrText>
          </w:r>
          <w:r>
            <w:fldChar w:fldCharType="separate"/>
          </w:r>
          <w:r>
            <w:rPr>
              <w:rStyle w:val="19"/>
              <w:rFonts w:ascii="宋体" w:hAnsi="宋体" w:eastAsia="宋体" w:cs="Times New Roman (正文 CS 字体)"/>
            </w:rPr>
            <w:t>八、随县公平竞争审查工作的完善路径</w:t>
          </w:r>
          <w:r>
            <w:tab/>
          </w:r>
          <w:r>
            <w:fldChar w:fldCharType="begin"/>
          </w:r>
          <w:r>
            <w:instrText xml:space="preserve"> PAGEREF _Toc171935269 \h </w:instrText>
          </w:r>
          <w:r>
            <w:fldChar w:fldCharType="separate"/>
          </w:r>
          <w:r>
            <w:t>31</w:t>
          </w:r>
          <w:r>
            <w:fldChar w:fldCharType="end"/>
          </w:r>
          <w:r>
            <w:fldChar w:fldCharType="end"/>
          </w:r>
        </w:p>
        <w:p>
          <w:pPr>
            <w:pStyle w:val="11"/>
            <w:tabs>
              <w:tab w:val="right" w:leader="dot" w:pos="8296"/>
            </w:tabs>
            <w:rPr>
              <w:rFonts w:eastAsiaTheme="minorEastAsia"/>
              <w:b w:val="0"/>
              <w:bCs w:val="0"/>
              <w:sz w:val="21"/>
              <w:szCs w:val="22"/>
            </w:rPr>
          </w:pPr>
          <w:r>
            <w:fldChar w:fldCharType="begin"/>
          </w:r>
          <w:r>
            <w:instrText xml:space="preserve"> HYPERLINK \l "_Toc171935270" </w:instrText>
          </w:r>
          <w:r>
            <w:fldChar w:fldCharType="separate"/>
          </w:r>
          <w:r>
            <w:rPr>
              <w:rStyle w:val="19"/>
              <w:rFonts w:ascii="宋体" w:hAnsi="宋体" w:eastAsia="宋体" w:cs="Times New Roman (正文 CS 字体)"/>
            </w:rPr>
            <w:t>九、结语</w:t>
          </w:r>
          <w:r>
            <w:tab/>
          </w:r>
          <w:r>
            <w:fldChar w:fldCharType="begin"/>
          </w:r>
          <w:r>
            <w:instrText xml:space="preserve"> PAGEREF _Toc171935270 \h </w:instrText>
          </w:r>
          <w:r>
            <w:fldChar w:fldCharType="separate"/>
          </w:r>
          <w:r>
            <w:t>32</w:t>
          </w:r>
          <w:r>
            <w:fldChar w:fldCharType="end"/>
          </w:r>
          <w:r>
            <w:fldChar w:fldCharType="end"/>
          </w:r>
        </w:p>
        <w:p>
          <w:r>
            <w:rPr>
              <w:b/>
              <w:bCs/>
            </w:rPr>
            <w:fldChar w:fldCharType="end"/>
          </w:r>
        </w:p>
      </w:sdtContent>
    </w:sdt>
    <w:p>
      <w:pPr>
        <w:widowControl/>
        <w:tabs>
          <w:tab w:val="left" w:leader="dot" w:pos="7510"/>
        </w:tabs>
        <w:jc w:val="left"/>
        <w:rPr>
          <w:rFonts w:ascii="宋体" w:hAnsi="宋体" w:eastAsia="宋体"/>
          <w:b/>
          <w:bCs/>
          <w:sz w:val="22"/>
        </w:rPr>
      </w:pPr>
    </w:p>
    <w:p>
      <w:pPr>
        <w:rPr>
          <w:rFonts w:ascii="楷体" w:hAnsi="楷体" w:eastAsia="楷体"/>
          <w:b/>
          <w:bCs/>
          <w:sz w:val="36"/>
          <w:szCs w:val="36"/>
        </w:rPr>
        <w:sectPr>
          <w:pgSz w:w="11906" w:h="16838"/>
          <w:pgMar w:top="1440" w:right="1800" w:bottom="1440" w:left="1800" w:header="851" w:footer="992" w:gutter="0"/>
          <w:cols w:space="425" w:num="1"/>
          <w:docGrid w:type="lines" w:linePitch="312" w:charSpace="0"/>
        </w:sectPr>
      </w:pPr>
    </w:p>
    <w:p>
      <w:pPr>
        <w:jc w:val="center"/>
        <w:rPr>
          <w:rFonts w:ascii="宋体" w:hAnsi="宋体" w:eastAsia="宋体"/>
          <w:b/>
          <w:bCs/>
          <w:sz w:val="32"/>
          <w:szCs w:val="32"/>
        </w:rPr>
      </w:pPr>
    </w:p>
    <w:p>
      <w:pPr>
        <w:pStyle w:val="2"/>
        <w:ind w:firstLine="602" w:firstLineChars="200"/>
        <w:rPr>
          <w:rFonts w:ascii="宋体" w:hAnsi="宋体" w:eastAsia="宋体"/>
          <w:sz w:val="30"/>
          <w:szCs w:val="30"/>
        </w:rPr>
      </w:pPr>
      <w:bookmarkStart w:id="0" w:name="_Toc171935242"/>
      <w:r>
        <w:rPr>
          <w:rFonts w:hint="eastAsia" w:ascii="宋体" w:hAnsi="宋体" w:eastAsia="宋体"/>
          <w:sz w:val="30"/>
          <w:szCs w:val="30"/>
        </w:rPr>
        <w:t>一、前言</w:t>
      </w:r>
      <w:bookmarkEnd w:id="0"/>
    </w:p>
    <w:p>
      <w:pPr>
        <w:spacing w:line="360" w:lineRule="auto"/>
        <w:ind w:firstLine="600" w:firstLineChars="200"/>
        <w:jc w:val="left"/>
        <w:rPr>
          <w:rFonts w:ascii="宋体" w:hAnsi="宋体" w:eastAsia="宋体"/>
          <w:color w:val="333333"/>
          <w:sz w:val="30"/>
          <w:szCs w:val="30"/>
          <w:shd w:val="clear" w:color="auto" w:fill="FFFFFF"/>
        </w:rPr>
      </w:pPr>
      <w:r>
        <w:rPr>
          <w:rFonts w:ascii="宋体" w:hAnsi="宋体" w:eastAsia="宋体"/>
          <w:color w:val="333333"/>
          <w:sz w:val="30"/>
          <w:szCs w:val="30"/>
          <w:shd w:val="clear" w:color="auto" w:fill="FFFFFF"/>
        </w:rPr>
        <w:t>2016年6月1日，国务院颁布《国务院关于在市场体系建设中建立公平竞争审查制度的意见》（国发〔2016〕34号），其中指出公平竞争是市场经济的基本原则，各级政府应当对排除、限制竞争的各类政策措施进行清理和废除。</w:t>
      </w:r>
      <w:r>
        <w:rPr>
          <w:rFonts w:hint="eastAsia" w:ascii="宋体" w:hAnsi="宋体" w:eastAsia="宋体"/>
          <w:color w:val="333333"/>
          <w:sz w:val="30"/>
          <w:szCs w:val="30"/>
          <w:shd w:val="clear" w:color="auto" w:fill="FFFFFF"/>
        </w:rPr>
        <w:t>上述意见也普遍被视作我国公平竞争审查制度的滥觞，标志着公平竞争审查制度作为一项国家层面的重大顶层设计在我国正式开始推进，《公平竞争审查制度实施细则》《公平竞争审查第三方评估实施指南》《招标投标领域公平竞争审查规则》《公平竞争审查条例》等配套文件也先后发布，为公平竞争审查制度的实践提供了更为具体的操作指引，进一步夯实了我国公平竞争审查的制度框架。</w:t>
      </w:r>
    </w:p>
    <w:p>
      <w:pPr>
        <w:spacing w:line="360" w:lineRule="auto"/>
        <w:ind w:firstLine="600" w:firstLineChars="200"/>
        <w:jc w:val="left"/>
        <w:rPr>
          <w:rFonts w:ascii="宋体" w:hAnsi="宋体" w:eastAsia="宋体"/>
          <w:color w:val="333333"/>
          <w:sz w:val="30"/>
          <w:szCs w:val="30"/>
          <w:shd w:val="clear" w:color="auto" w:fill="FFFFFF"/>
        </w:rPr>
      </w:pPr>
      <w:r>
        <w:rPr>
          <w:rFonts w:hint="eastAsia" w:ascii="宋体" w:hAnsi="宋体" w:eastAsia="宋体"/>
          <w:color w:val="333333"/>
          <w:sz w:val="30"/>
          <w:szCs w:val="30"/>
          <w:shd w:val="clear" w:color="auto" w:fill="FFFFFF"/>
        </w:rPr>
        <w:t>而随县作为湖北省最年轻的县，对于公平竞争审查工作一直保持着极高的热情，将其作为优化营商环境的重要一环，随县公平竞争审查工作联席会议办公室（随县市场监督管理局）也自2022年开始连续两年委托湖北季梁律师事务所对随县县直机关的存量规范性文件进行公平竞争审查评估，并制作了相应的评估报告。2024年5月，湖北季梁律师事务所再次受随县公平竞争审查工作联席会议办公室（随县市场监督管理局）的委托，成立项目组对县直的23个机关在2023年5月1日至2024年4月30日发布的行政文件进行公平竞争审查第三方评估，此次评估除了筛查违反公平竞争原则的行政文件外，还将结合前两次评估的情况，对随县的公平竞争审查工作实施情况进行一次全面的剖析。</w:t>
      </w:r>
    </w:p>
    <w:p>
      <w:pPr>
        <w:ind w:firstLine="600" w:firstLineChars="200"/>
        <w:jc w:val="left"/>
        <w:rPr>
          <w:rFonts w:ascii="宋体" w:hAnsi="宋体" w:eastAsia="宋体"/>
          <w:color w:val="333333"/>
          <w:sz w:val="30"/>
          <w:szCs w:val="30"/>
          <w:shd w:val="clear" w:color="auto" w:fill="FFFFFF"/>
        </w:rPr>
      </w:pPr>
      <w:r>
        <w:rPr>
          <w:rFonts w:hint="eastAsia" w:ascii="宋体" w:hAnsi="宋体" w:eastAsia="宋体"/>
          <w:color w:val="333333"/>
          <w:sz w:val="30"/>
          <w:szCs w:val="30"/>
          <w:shd w:val="clear" w:color="auto" w:fill="FFFFFF"/>
        </w:rPr>
        <w:t>在随县公平竞争审查工作联席会议办公室（随县市场监督管理局）的大力支持下，此次评估工作得以有序开展，随县县直的23个成员单位也对项目组的工作给予了全力配合，但囿于时间紧迫和经验有限，本报告内容难免存在管中窥豹的短板，诚请各位领导、专家和同仁予以指正。</w:t>
      </w:r>
    </w:p>
    <w:p>
      <w:pPr>
        <w:ind w:firstLine="600" w:firstLineChars="200"/>
        <w:jc w:val="left"/>
        <w:rPr>
          <w:rFonts w:ascii="宋体" w:hAnsi="宋体" w:eastAsia="宋体"/>
          <w:color w:val="333333"/>
          <w:sz w:val="30"/>
          <w:szCs w:val="30"/>
          <w:shd w:val="clear" w:color="auto" w:fill="FFFFFF"/>
        </w:rPr>
      </w:pPr>
    </w:p>
    <w:p>
      <w:pPr>
        <w:ind w:firstLine="600" w:firstLineChars="200"/>
        <w:jc w:val="left"/>
        <w:rPr>
          <w:rFonts w:ascii="宋体" w:hAnsi="宋体" w:eastAsia="宋体"/>
          <w:color w:val="333333"/>
          <w:sz w:val="30"/>
          <w:szCs w:val="30"/>
          <w:shd w:val="clear" w:color="auto" w:fill="FFFFFF"/>
        </w:rPr>
      </w:pPr>
      <w:r>
        <w:rPr>
          <w:rFonts w:hint="eastAsia" w:ascii="宋体" w:hAnsi="宋体" w:eastAsia="宋体"/>
          <w:color w:val="333333"/>
          <w:sz w:val="30"/>
          <w:szCs w:val="30"/>
          <w:shd w:val="clear" w:color="auto" w:fill="FFFFFF"/>
        </w:rPr>
        <w:t xml:space="preserve">          </w:t>
      </w:r>
    </w:p>
    <w:p>
      <w:pPr>
        <w:ind w:firstLine="600" w:firstLineChars="200"/>
        <w:jc w:val="left"/>
        <w:rPr>
          <w:rFonts w:ascii="宋体" w:hAnsi="宋体" w:eastAsia="宋体"/>
          <w:color w:val="333333"/>
          <w:sz w:val="30"/>
          <w:szCs w:val="30"/>
          <w:shd w:val="clear" w:color="auto" w:fill="FFFFFF"/>
        </w:rPr>
      </w:pPr>
      <w:r>
        <w:rPr>
          <w:rFonts w:hint="eastAsia" w:ascii="宋体" w:hAnsi="宋体" w:eastAsia="宋体"/>
          <w:color w:val="333333"/>
          <w:sz w:val="30"/>
          <w:szCs w:val="30"/>
          <w:shd w:val="clear" w:color="auto" w:fill="FFFFFF"/>
        </w:rPr>
        <w:t xml:space="preserve">                               湖北季梁律师事务所</w:t>
      </w:r>
    </w:p>
    <w:p>
      <w:pPr>
        <w:ind w:firstLine="600" w:firstLineChars="200"/>
        <w:jc w:val="left"/>
        <w:rPr>
          <w:rFonts w:ascii="宋体" w:hAnsi="宋体" w:eastAsia="宋体"/>
          <w:color w:val="333333"/>
          <w:sz w:val="30"/>
          <w:szCs w:val="30"/>
          <w:shd w:val="clear" w:color="auto" w:fill="FFFFFF"/>
        </w:rPr>
      </w:pPr>
      <w:r>
        <w:rPr>
          <w:rFonts w:hint="eastAsia" w:ascii="宋体" w:hAnsi="宋体" w:eastAsia="宋体"/>
          <w:color w:val="333333"/>
          <w:sz w:val="30"/>
          <w:szCs w:val="30"/>
          <w:shd w:val="clear" w:color="auto" w:fill="FFFFFF"/>
        </w:rPr>
        <w:t xml:space="preserve">                                 二○二四年七月</w:t>
      </w:r>
    </w:p>
    <w:p>
      <w:pPr>
        <w:ind w:firstLine="600" w:firstLineChars="200"/>
        <w:jc w:val="left"/>
        <w:rPr>
          <w:rFonts w:ascii="宋体" w:hAnsi="宋体" w:eastAsia="宋体"/>
          <w:color w:val="333333"/>
          <w:sz w:val="30"/>
          <w:szCs w:val="30"/>
          <w:shd w:val="clear" w:color="auto" w:fill="FFFFFF"/>
        </w:rPr>
      </w:pPr>
    </w:p>
    <w:p>
      <w:pPr>
        <w:ind w:firstLine="600" w:firstLineChars="200"/>
        <w:jc w:val="left"/>
        <w:rPr>
          <w:rFonts w:ascii="宋体" w:hAnsi="宋体" w:eastAsia="宋体"/>
          <w:color w:val="333333"/>
          <w:sz w:val="30"/>
          <w:szCs w:val="30"/>
          <w:shd w:val="clear" w:color="auto" w:fill="FFFFFF"/>
        </w:rPr>
      </w:pPr>
    </w:p>
    <w:p>
      <w:pPr>
        <w:ind w:firstLine="600" w:firstLineChars="200"/>
        <w:jc w:val="left"/>
        <w:rPr>
          <w:rFonts w:ascii="宋体" w:hAnsi="宋体" w:eastAsia="宋体"/>
          <w:color w:val="333333"/>
          <w:sz w:val="30"/>
          <w:szCs w:val="30"/>
          <w:shd w:val="clear" w:color="auto" w:fill="FFFFFF"/>
        </w:rPr>
      </w:pPr>
    </w:p>
    <w:p>
      <w:pPr>
        <w:ind w:firstLine="600" w:firstLineChars="200"/>
        <w:jc w:val="left"/>
        <w:rPr>
          <w:rFonts w:ascii="宋体" w:hAnsi="宋体" w:eastAsia="宋体"/>
          <w:color w:val="333333"/>
          <w:sz w:val="30"/>
          <w:szCs w:val="30"/>
          <w:shd w:val="clear" w:color="auto" w:fill="FFFFFF"/>
        </w:rPr>
      </w:pPr>
    </w:p>
    <w:p>
      <w:pPr>
        <w:ind w:firstLine="600" w:firstLineChars="200"/>
        <w:jc w:val="left"/>
        <w:rPr>
          <w:rFonts w:ascii="宋体" w:hAnsi="宋体" w:eastAsia="宋体"/>
          <w:color w:val="333333"/>
          <w:sz w:val="30"/>
          <w:szCs w:val="30"/>
          <w:shd w:val="clear" w:color="auto" w:fill="FFFFFF"/>
        </w:rPr>
      </w:pPr>
    </w:p>
    <w:p>
      <w:pPr>
        <w:ind w:firstLine="600" w:firstLineChars="200"/>
        <w:jc w:val="left"/>
        <w:rPr>
          <w:rFonts w:ascii="宋体" w:hAnsi="宋体" w:eastAsia="宋体"/>
          <w:color w:val="333333"/>
          <w:sz w:val="30"/>
          <w:szCs w:val="30"/>
          <w:shd w:val="clear" w:color="auto" w:fill="FFFFFF"/>
        </w:rPr>
      </w:pPr>
    </w:p>
    <w:p>
      <w:pPr>
        <w:pStyle w:val="2"/>
        <w:ind w:firstLine="602" w:firstLineChars="200"/>
        <w:rPr>
          <w:rFonts w:ascii="宋体" w:hAnsi="宋体" w:eastAsia="宋体" w:cs="Times New Roman (正文 CS 字体)"/>
          <w:sz w:val="30"/>
          <w:szCs w:val="30"/>
        </w:rPr>
      </w:pPr>
      <w:bookmarkStart w:id="1" w:name="_Toc171935243"/>
      <w:r>
        <w:rPr>
          <w:rFonts w:hint="eastAsia" w:ascii="宋体" w:hAnsi="宋体" w:eastAsia="宋体" w:cs="Times New Roman (正文 CS 字体)"/>
          <w:sz w:val="30"/>
          <w:szCs w:val="30"/>
        </w:rPr>
        <w:t>二、</w:t>
      </w:r>
      <w:bookmarkStart w:id="2" w:name="_Hlk164781592"/>
      <w:r>
        <w:rPr>
          <w:rFonts w:hint="eastAsia" w:ascii="宋体" w:hAnsi="宋体" w:eastAsia="宋体" w:cs="Times New Roman (正文 CS 字体)"/>
          <w:sz w:val="30"/>
          <w:szCs w:val="30"/>
        </w:rPr>
        <w:t>公平竞争审查宏观政策、实施细则</w:t>
      </w:r>
      <w:bookmarkEnd w:id="2"/>
      <w:r>
        <w:rPr>
          <w:rFonts w:hint="eastAsia" w:ascii="宋体" w:hAnsi="宋体" w:eastAsia="宋体" w:cs="Times New Roman (正文 CS 字体)"/>
          <w:sz w:val="30"/>
          <w:szCs w:val="30"/>
        </w:rPr>
        <w:t>发展趋势及总结</w:t>
      </w:r>
      <w:bookmarkEnd w:id="1"/>
    </w:p>
    <w:p>
      <w:pPr>
        <w:pStyle w:val="3"/>
        <w:spacing w:line="415" w:lineRule="auto"/>
        <w:ind w:firstLine="560" w:firstLineChars="200"/>
        <w:rPr>
          <w:rFonts w:ascii="黑体" w:hAnsi="黑体" w:eastAsia="黑体"/>
          <w:b w:val="0"/>
          <w:bCs w:val="0"/>
          <w:sz w:val="28"/>
          <w:szCs w:val="28"/>
        </w:rPr>
      </w:pPr>
      <w:bookmarkStart w:id="3" w:name="_Hlk164781497"/>
      <w:bookmarkStart w:id="4" w:name="_Toc171935244"/>
      <w:bookmarkStart w:id="5" w:name="_Hlk164780163"/>
      <w:r>
        <w:rPr>
          <w:rFonts w:hint="eastAsia" w:ascii="黑体" w:hAnsi="黑体" w:eastAsia="黑体"/>
          <w:b w:val="0"/>
          <w:bCs w:val="0"/>
          <w:sz w:val="28"/>
          <w:szCs w:val="28"/>
        </w:rPr>
        <w:t>（一）宏观政策层面</w:t>
      </w:r>
      <w:bookmarkEnd w:id="3"/>
      <w:bookmarkEnd w:id="4"/>
    </w:p>
    <w:bookmarkEnd w:id="5"/>
    <w:p>
      <w:r>
        <w:rPr>
          <w:rFonts w:hint="eastAsia"/>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560"/>
        <w:gridCol w:w="368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5" w:type="dxa"/>
            <w:shd w:val="clear" w:color="auto" w:fill="4472C4" w:themeFill="accent1"/>
            <w:vAlign w:val="center"/>
          </w:tcPr>
          <w:p>
            <w:pPr>
              <w:spacing w:line="360" w:lineRule="auto"/>
              <w:jc w:val="center"/>
              <w:rPr>
                <w:rFonts w:ascii="宋体" w:hAnsi="宋体" w:eastAsia="宋体"/>
                <w:b/>
                <w:bCs/>
                <w:color w:val="FFFFFF" w:themeColor="background1"/>
                <w:sz w:val="24"/>
                <w:szCs w:val="24"/>
                <w14:textFill>
                  <w14:solidFill>
                    <w14:schemeClr w14:val="bg1"/>
                  </w14:solidFill>
                </w14:textFill>
              </w:rPr>
            </w:pPr>
            <w:bookmarkStart w:id="6" w:name="_Hlk164780529"/>
            <w:r>
              <w:rPr>
                <w:rFonts w:hint="eastAsia" w:ascii="宋体" w:hAnsi="宋体" w:eastAsia="宋体"/>
                <w:b/>
                <w:bCs/>
                <w:color w:val="FFFFFF" w:themeColor="background1"/>
                <w:sz w:val="24"/>
                <w:szCs w:val="24"/>
                <w14:textFill>
                  <w14:solidFill>
                    <w14:schemeClr w14:val="bg1"/>
                  </w14:solidFill>
                </w14:textFill>
              </w:rPr>
              <w:t>发布时间</w:t>
            </w:r>
          </w:p>
        </w:tc>
        <w:tc>
          <w:tcPr>
            <w:tcW w:w="1560" w:type="dxa"/>
            <w:shd w:val="clear" w:color="auto" w:fill="4472C4" w:themeFill="accent1"/>
            <w:vAlign w:val="center"/>
          </w:tcPr>
          <w:p>
            <w:pPr>
              <w:spacing w:line="360" w:lineRule="auto"/>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文件名称</w:t>
            </w:r>
          </w:p>
        </w:tc>
        <w:tc>
          <w:tcPr>
            <w:tcW w:w="3681" w:type="dxa"/>
            <w:shd w:val="clear" w:color="auto" w:fill="4472C4" w:themeFill="accent1"/>
            <w:vAlign w:val="center"/>
          </w:tcPr>
          <w:p>
            <w:pPr>
              <w:spacing w:line="360" w:lineRule="auto"/>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对实施公平竞争审查制度的要求</w:t>
            </w:r>
          </w:p>
        </w:tc>
        <w:tc>
          <w:tcPr>
            <w:tcW w:w="1780" w:type="dxa"/>
            <w:shd w:val="clear" w:color="auto" w:fill="4472C4" w:themeFill="accent1"/>
            <w:vAlign w:val="center"/>
          </w:tcPr>
          <w:p>
            <w:pPr>
              <w:spacing w:line="360" w:lineRule="auto"/>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立法位阶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360" w:lineRule="auto"/>
              <w:jc w:val="center"/>
              <w:rPr>
                <w:rFonts w:ascii="宋体" w:hAnsi="宋体" w:eastAsia="宋体"/>
                <w:b/>
                <w:bCs/>
                <w:szCs w:val="21"/>
              </w:rPr>
            </w:pPr>
            <w:r>
              <w:rPr>
                <w:rFonts w:hint="eastAsia" w:ascii="宋体" w:hAnsi="宋体" w:eastAsia="宋体"/>
                <w:b/>
                <w:bCs/>
                <w:szCs w:val="21"/>
              </w:rPr>
              <w:t>2</w:t>
            </w:r>
            <w:r>
              <w:rPr>
                <w:rFonts w:ascii="宋体" w:hAnsi="宋体" w:eastAsia="宋体"/>
                <w:b/>
                <w:bCs/>
                <w:szCs w:val="21"/>
              </w:rPr>
              <w:t>016.</w:t>
            </w:r>
            <w:r>
              <w:rPr>
                <w:rFonts w:hint="eastAsia" w:ascii="宋体" w:hAnsi="宋体" w:eastAsia="宋体"/>
                <w:b/>
                <w:bCs/>
                <w:szCs w:val="21"/>
              </w:rPr>
              <w:t>6</w:t>
            </w:r>
          </w:p>
        </w:tc>
        <w:tc>
          <w:tcPr>
            <w:tcW w:w="1560" w:type="dxa"/>
            <w:vAlign w:val="center"/>
          </w:tcPr>
          <w:p>
            <w:pPr>
              <w:spacing w:line="360" w:lineRule="auto"/>
              <w:jc w:val="center"/>
              <w:rPr>
                <w:rFonts w:ascii="宋体" w:hAnsi="宋体" w:eastAsia="宋体"/>
                <w:b/>
                <w:bCs/>
                <w:szCs w:val="21"/>
              </w:rPr>
            </w:pPr>
            <w:r>
              <w:rPr>
                <w:rFonts w:hint="eastAsia" w:ascii="宋体" w:hAnsi="宋体" w:eastAsia="宋体"/>
                <w:b/>
                <w:bCs/>
                <w:szCs w:val="21"/>
              </w:rPr>
              <w:t>国务院关于在市场体系建设中建立公平竞争审查制度的意见</w:t>
            </w:r>
          </w:p>
        </w:tc>
        <w:tc>
          <w:tcPr>
            <w:tcW w:w="3681" w:type="dxa"/>
            <w:vAlign w:val="center"/>
          </w:tcPr>
          <w:p>
            <w:pPr>
              <w:spacing w:line="360" w:lineRule="auto"/>
              <w:jc w:val="center"/>
              <w:rPr>
                <w:rFonts w:ascii="宋体" w:hAnsi="宋体" w:eastAsia="宋体"/>
                <w:b/>
                <w:bCs/>
                <w:szCs w:val="21"/>
              </w:rPr>
            </w:pPr>
            <w:r>
              <w:rPr>
                <w:rFonts w:hint="eastAsia" w:ascii="宋体" w:hAnsi="宋体" w:eastAsia="宋体"/>
                <w:b/>
                <w:bCs/>
                <w:szCs w:val="21"/>
              </w:rPr>
              <w:t>公平竞争是市场经济的基本原则，是市场机制高效运行的重要基础；</w:t>
            </w:r>
            <w:r>
              <w:rPr>
                <w:rFonts w:hint="eastAsia" w:ascii="宋体" w:hAnsi="宋体" w:eastAsia="宋体"/>
                <w:b/>
                <w:bCs/>
                <w:color w:val="FF0000"/>
                <w:szCs w:val="21"/>
              </w:rPr>
              <w:t>规范政府有关行为，防止出台排除、限制竞争的政策措施，逐步清理废除妨碍全国统一市场和公平竞争的规定和做法</w:t>
            </w:r>
          </w:p>
        </w:tc>
        <w:tc>
          <w:tcPr>
            <w:tcW w:w="1780" w:type="dxa"/>
            <w:vAlign w:val="center"/>
          </w:tcPr>
          <w:p>
            <w:pPr>
              <w:spacing w:line="360" w:lineRule="auto"/>
              <w:jc w:val="center"/>
              <w:rPr>
                <w:rFonts w:ascii="宋体" w:hAnsi="宋体" w:eastAsia="宋体"/>
                <w:b/>
                <w:bCs/>
                <w:szCs w:val="21"/>
              </w:rPr>
            </w:pPr>
            <w:r>
              <w:rPr>
                <w:rFonts w:hint="eastAsia" w:ascii="宋体" w:hAnsi="宋体" w:eastAsia="宋体"/>
                <w:b/>
                <w:bCs/>
                <w:szCs w:val="21"/>
              </w:rPr>
              <w:t>国务院规范性文件</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360" w:lineRule="auto"/>
              <w:jc w:val="center"/>
              <w:rPr>
                <w:rFonts w:ascii="宋体" w:hAnsi="宋体" w:eastAsia="宋体"/>
                <w:b/>
                <w:bCs/>
                <w:szCs w:val="21"/>
              </w:rPr>
            </w:pPr>
            <w:r>
              <w:rPr>
                <w:rFonts w:hint="eastAsia" w:ascii="宋体" w:hAnsi="宋体" w:eastAsia="宋体"/>
                <w:b/>
                <w:bCs/>
                <w:szCs w:val="21"/>
              </w:rPr>
              <w:t>2</w:t>
            </w:r>
            <w:r>
              <w:rPr>
                <w:rFonts w:ascii="宋体" w:hAnsi="宋体" w:eastAsia="宋体"/>
                <w:b/>
                <w:bCs/>
                <w:szCs w:val="21"/>
              </w:rPr>
              <w:t>01</w:t>
            </w:r>
            <w:r>
              <w:rPr>
                <w:rFonts w:hint="eastAsia" w:ascii="宋体" w:hAnsi="宋体" w:eastAsia="宋体"/>
                <w:b/>
                <w:bCs/>
                <w:szCs w:val="21"/>
              </w:rPr>
              <w:t>7</w:t>
            </w:r>
            <w:r>
              <w:rPr>
                <w:rFonts w:ascii="宋体" w:hAnsi="宋体" w:eastAsia="宋体"/>
                <w:b/>
                <w:bCs/>
                <w:szCs w:val="21"/>
              </w:rPr>
              <w:t>.</w:t>
            </w:r>
            <w:r>
              <w:rPr>
                <w:rFonts w:hint="eastAsia" w:ascii="宋体" w:hAnsi="宋体" w:eastAsia="宋体"/>
                <w:b/>
                <w:bCs/>
                <w:szCs w:val="21"/>
              </w:rPr>
              <w:t>9</w:t>
            </w:r>
          </w:p>
        </w:tc>
        <w:tc>
          <w:tcPr>
            <w:tcW w:w="1560" w:type="dxa"/>
            <w:vAlign w:val="center"/>
          </w:tcPr>
          <w:p>
            <w:pPr>
              <w:spacing w:line="360" w:lineRule="auto"/>
              <w:jc w:val="center"/>
              <w:rPr>
                <w:rFonts w:ascii="宋体" w:hAnsi="宋体" w:eastAsia="宋体"/>
                <w:b/>
                <w:bCs/>
                <w:szCs w:val="21"/>
              </w:rPr>
            </w:pPr>
            <w:r>
              <w:rPr>
                <w:rFonts w:hint="eastAsia" w:ascii="宋体" w:hAnsi="宋体" w:eastAsia="宋体"/>
                <w:b/>
                <w:bCs/>
                <w:szCs w:val="21"/>
              </w:rPr>
              <w:t>中共中央、国务院关于营造企业家健康成长环境弘扬优秀企业家精神更好发挥企业家作用的意见</w:t>
            </w:r>
          </w:p>
        </w:tc>
        <w:tc>
          <w:tcPr>
            <w:tcW w:w="3681" w:type="dxa"/>
            <w:vAlign w:val="center"/>
          </w:tcPr>
          <w:p>
            <w:pPr>
              <w:spacing w:line="360" w:lineRule="auto"/>
              <w:jc w:val="center"/>
              <w:rPr>
                <w:rFonts w:ascii="宋体" w:hAnsi="宋体" w:eastAsia="宋体"/>
                <w:b/>
                <w:bCs/>
                <w:szCs w:val="21"/>
              </w:rPr>
            </w:pPr>
            <w:r>
              <w:rPr>
                <w:rFonts w:hint="eastAsia" w:ascii="宋体" w:hAnsi="宋体" w:eastAsia="宋体"/>
                <w:b/>
                <w:bCs/>
                <w:color w:val="FF0000"/>
                <w:szCs w:val="21"/>
              </w:rPr>
              <w:t>落实公平竞争审查制度，确立竞争政策基础性地位</w:t>
            </w:r>
            <w:r>
              <w:rPr>
                <w:rFonts w:hint="eastAsia" w:ascii="宋体" w:hAnsi="宋体" w:eastAsia="宋体"/>
                <w:b/>
                <w:bCs/>
                <w:szCs w:val="21"/>
              </w:rPr>
              <w:t>；反对垄断和不正当竞争，反对地方保护、依法清理废除妨碍全国统一市场和公平竞争的规定和做法，完善权利平等、机会平等、规则平等的市场环境，促进各种所有制经济依法依规平等使用生产要素、公开公正参与市场竞争、同等受到法律保护</w:t>
            </w:r>
          </w:p>
        </w:tc>
        <w:tc>
          <w:tcPr>
            <w:tcW w:w="1780" w:type="dxa"/>
            <w:vAlign w:val="center"/>
          </w:tcPr>
          <w:p>
            <w:pPr>
              <w:spacing w:line="360" w:lineRule="auto"/>
              <w:jc w:val="center"/>
              <w:rPr>
                <w:rFonts w:ascii="宋体" w:hAnsi="宋体" w:eastAsia="宋体"/>
                <w:b/>
                <w:bCs/>
                <w:szCs w:val="21"/>
              </w:rPr>
            </w:pPr>
            <w:r>
              <w:rPr>
                <w:rFonts w:hint="eastAsia" w:ascii="宋体" w:hAnsi="宋体" w:eastAsia="宋体"/>
                <w:b/>
                <w:bCs/>
                <w:szCs w:val="21"/>
              </w:rPr>
              <w:t>党内法规制度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360" w:lineRule="auto"/>
              <w:jc w:val="center"/>
              <w:rPr>
                <w:rFonts w:ascii="宋体" w:hAnsi="宋体" w:eastAsia="宋体"/>
                <w:b/>
                <w:bCs/>
                <w:szCs w:val="21"/>
              </w:rPr>
            </w:pPr>
            <w:r>
              <w:rPr>
                <w:rFonts w:hint="eastAsia" w:ascii="宋体" w:hAnsi="宋体" w:eastAsia="宋体"/>
                <w:b/>
                <w:bCs/>
                <w:szCs w:val="21"/>
              </w:rPr>
              <w:t>2</w:t>
            </w:r>
            <w:r>
              <w:rPr>
                <w:rFonts w:ascii="宋体" w:hAnsi="宋体" w:eastAsia="宋体"/>
                <w:b/>
                <w:bCs/>
                <w:szCs w:val="21"/>
              </w:rPr>
              <w:t>018.</w:t>
            </w:r>
            <w:r>
              <w:rPr>
                <w:rFonts w:hint="eastAsia" w:ascii="宋体" w:hAnsi="宋体" w:eastAsia="宋体"/>
                <w:b/>
                <w:bCs/>
                <w:szCs w:val="21"/>
              </w:rPr>
              <w:t>9</w:t>
            </w:r>
          </w:p>
        </w:tc>
        <w:tc>
          <w:tcPr>
            <w:tcW w:w="1560" w:type="dxa"/>
            <w:vAlign w:val="center"/>
          </w:tcPr>
          <w:p>
            <w:pPr>
              <w:spacing w:line="360" w:lineRule="auto"/>
              <w:jc w:val="center"/>
              <w:rPr>
                <w:rFonts w:ascii="宋体" w:hAnsi="宋体" w:eastAsia="宋体"/>
                <w:b/>
                <w:bCs/>
                <w:szCs w:val="21"/>
              </w:rPr>
            </w:pPr>
            <w:r>
              <w:rPr>
                <w:rFonts w:hint="eastAsia" w:ascii="宋体" w:hAnsi="宋体" w:eastAsia="宋体"/>
                <w:b/>
                <w:bCs/>
                <w:szCs w:val="21"/>
              </w:rPr>
              <w:t>中共中央、国务院关于完善促进消费体制机制 进一步激发居民消费潜力的若干意见</w:t>
            </w:r>
          </w:p>
        </w:tc>
        <w:tc>
          <w:tcPr>
            <w:tcW w:w="3681" w:type="dxa"/>
            <w:vAlign w:val="center"/>
          </w:tcPr>
          <w:p>
            <w:pPr>
              <w:spacing w:line="360" w:lineRule="auto"/>
              <w:jc w:val="center"/>
              <w:rPr>
                <w:rFonts w:ascii="宋体" w:hAnsi="宋体" w:eastAsia="宋体"/>
                <w:b/>
                <w:bCs/>
                <w:szCs w:val="21"/>
              </w:rPr>
            </w:pPr>
            <w:r>
              <w:rPr>
                <w:rFonts w:hint="eastAsia" w:ascii="宋体" w:hAnsi="宋体" w:eastAsia="宋体"/>
                <w:b/>
                <w:bCs/>
                <w:szCs w:val="21"/>
              </w:rPr>
              <w:t>全面实施公平竞争审查制度，</w:t>
            </w:r>
            <w:r>
              <w:rPr>
                <w:rFonts w:hint="eastAsia" w:ascii="宋体" w:hAnsi="宋体" w:eastAsia="宋体"/>
                <w:b/>
                <w:bCs/>
                <w:color w:val="FF0000"/>
                <w:szCs w:val="21"/>
              </w:rPr>
              <w:t>加快建立全国统一、开放、竞争、有序的市场体系，打破地域分割和市场分割</w:t>
            </w:r>
          </w:p>
        </w:tc>
        <w:tc>
          <w:tcPr>
            <w:tcW w:w="1780" w:type="dxa"/>
            <w:vAlign w:val="center"/>
          </w:tcPr>
          <w:p>
            <w:pPr>
              <w:spacing w:line="360" w:lineRule="auto"/>
              <w:jc w:val="center"/>
              <w:rPr>
                <w:rFonts w:ascii="宋体" w:hAnsi="宋体" w:eastAsia="宋体"/>
                <w:b/>
                <w:bCs/>
                <w:szCs w:val="21"/>
              </w:rPr>
            </w:pPr>
            <w:r>
              <w:rPr>
                <w:rFonts w:hint="eastAsia" w:ascii="宋体" w:hAnsi="宋体" w:eastAsia="宋体"/>
                <w:b/>
                <w:bCs/>
                <w:szCs w:val="21"/>
              </w:rPr>
              <w:t>党内法规制度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360" w:lineRule="auto"/>
              <w:jc w:val="center"/>
              <w:rPr>
                <w:rFonts w:ascii="宋体" w:hAnsi="宋体" w:eastAsia="宋体"/>
                <w:b/>
                <w:bCs/>
                <w:szCs w:val="21"/>
              </w:rPr>
            </w:pPr>
            <w:r>
              <w:rPr>
                <w:rFonts w:hint="eastAsia" w:ascii="宋体" w:hAnsi="宋体" w:eastAsia="宋体"/>
                <w:b/>
                <w:bCs/>
                <w:szCs w:val="21"/>
              </w:rPr>
              <w:t>2</w:t>
            </w:r>
            <w:r>
              <w:rPr>
                <w:rFonts w:ascii="宋体" w:hAnsi="宋体" w:eastAsia="宋体"/>
                <w:b/>
                <w:bCs/>
                <w:szCs w:val="21"/>
              </w:rPr>
              <w:t>01</w:t>
            </w:r>
            <w:r>
              <w:rPr>
                <w:rFonts w:hint="eastAsia" w:ascii="宋体" w:hAnsi="宋体" w:eastAsia="宋体"/>
                <w:b/>
                <w:bCs/>
                <w:szCs w:val="21"/>
              </w:rPr>
              <w:t>9</w:t>
            </w:r>
            <w:r>
              <w:rPr>
                <w:rFonts w:ascii="宋体" w:hAnsi="宋体" w:eastAsia="宋体"/>
                <w:b/>
                <w:bCs/>
                <w:szCs w:val="21"/>
              </w:rPr>
              <w:t>.</w:t>
            </w:r>
            <w:r>
              <w:rPr>
                <w:rFonts w:hint="eastAsia" w:ascii="宋体" w:hAnsi="宋体" w:eastAsia="宋体"/>
                <w:b/>
                <w:bCs/>
                <w:szCs w:val="21"/>
              </w:rPr>
              <w:t>10</w:t>
            </w:r>
          </w:p>
        </w:tc>
        <w:tc>
          <w:tcPr>
            <w:tcW w:w="1560" w:type="dxa"/>
            <w:vAlign w:val="center"/>
          </w:tcPr>
          <w:p>
            <w:pPr>
              <w:spacing w:line="360" w:lineRule="auto"/>
              <w:jc w:val="center"/>
              <w:rPr>
                <w:rFonts w:ascii="宋体" w:hAnsi="宋体" w:eastAsia="宋体"/>
                <w:b/>
                <w:bCs/>
                <w:szCs w:val="21"/>
              </w:rPr>
            </w:pPr>
            <w:r>
              <w:rPr>
                <w:rFonts w:hint="eastAsia" w:ascii="宋体" w:hAnsi="宋体" w:eastAsia="宋体"/>
                <w:b/>
                <w:bCs/>
                <w:szCs w:val="21"/>
              </w:rPr>
              <w:t>中共中央关于坚持和完善中国特色社会主义制度 推进国家治理体系和治理能力现代化若干问题的决定</w:t>
            </w:r>
          </w:p>
        </w:tc>
        <w:tc>
          <w:tcPr>
            <w:tcW w:w="3681" w:type="dxa"/>
            <w:vAlign w:val="center"/>
          </w:tcPr>
          <w:p>
            <w:pPr>
              <w:spacing w:line="360" w:lineRule="auto"/>
              <w:jc w:val="center"/>
              <w:rPr>
                <w:rFonts w:ascii="宋体" w:hAnsi="宋体" w:eastAsia="宋体"/>
                <w:b/>
                <w:bCs/>
                <w:szCs w:val="21"/>
              </w:rPr>
            </w:pPr>
            <w:r>
              <w:rPr>
                <w:rFonts w:hint="eastAsia" w:ascii="宋体" w:hAnsi="宋体" w:eastAsia="宋体"/>
                <w:b/>
                <w:bCs/>
                <w:szCs w:val="21"/>
              </w:rPr>
              <w:t>加快完善社会主义市场经济体制；完善高标准市场体系，</w:t>
            </w:r>
            <w:r>
              <w:rPr>
                <w:rFonts w:hint="eastAsia" w:ascii="宋体" w:hAnsi="宋体" w:eastAsia="宋体"/>
                <w:b/>
                <w:bCs/>
                <w:color w:val="FF0000"/>
                <w:szCs w:val="21"/>
              </w:rPr>
              <w:t>完善公平竞争审查制度，全面实施市场准入负面清单制度</w:t>
            </w:r>
            <w:r>
              <w:rPr>
                <w:rFonts w:hint="eastAsia" w:ascii="宋体" w:hAnsi="宋体" w:eastAsia="宋体"/>
                <w:b/>
                <w:bCs/>
                <w:szCs w:val="21"/>
              </w:rPr>
              <w:t>，改革生产许可制度，健全破产制度；强化竞争政策基础地位，落实公平竞争审查制度，加强和改进反垄断和反不正当竞争执法</w:t>
            </w:r>
          </w:p>
        </w:tc>
        <w:tc>
          <w:tcPr>
            <w:tcW w:w="1780" w:type="dxa"/>
            <w:vAlign w:val="center"/>
          </w:tcPr>
          <w:p>
            <w:pPr>
              <w:spacing w:line="360" w:lineRule="auto"/>
              <w:jc w:val="center"/>
              <w:rPr>
                <w:rFonts w:ascii="宋体" w:hAnsi="宋体" w:eastAsia="宋体"/>
                <w:b/>
                <w:bCs/>
                <w:szCs w:val="21"/>
              </w:rPr>
            </w:pPr>
            <w:r>
              <w:rPr>
                <w:rFonts w:hint="eastAsia" w:ascii="宋体" w:hAnsi="宋体" w:eastAsia="宋体"/>
                <w:b/>
                <w:bCs/>
                <w:szCs w:val="21"/>
              </w:rPr>
              <w:t>党内法规制度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360" w:lineRule="auto"/>
              <w:jc w:val="center"/>
              <w:rPr>
                <w:rFonts w:ascii="宋体" w:hAnsi="宋体" w:eastAsia="宋体"/>
                <w:b/>
                <w:bCs/>
                <w:szCs w:val="21"/>
              </w:rPr>
            </w:pPr>
            <w:r>
              <w:rPr>
                <w:rFonts w:hint="eastAsia" w:ascii="宋体" w:hAnsi="宋体" w:eastAsia="宋体"/>
                <w:b/>
                <w:bCs/>
                <w:szCs w:val="21"/>
              </w:rPr>
              <w:t>2019.10</w:t>
            </w:r>
          </w:p>
        </w:tc>
        <w:tc>
          <w:tcPr>
            <w:tcW w:w="1560" w:type="dxa"/>
            <w:vAlign w:val="center"/>
          </w:tcPr>
          <w:p>
            <w:pPr>
              <w:spacing w:line="360" w:lineRule="auto"/>
              <w:jc w:val="center"/>
              <w:rPr>
                <w:rFonts w:ascii="宋体" w:hAnsi="宋体" w:eastAsia="宋体"/>
                <w:b/>
                <w:bCs/>
                <w:szCs w:val="21"/>
              </w:rPr>
            </w:pPr>
            <w:r>
              <w:rPr>
                <w:rFonts w:hint="eastAsia" w:ascii="宋体" w:hAnsi="宋体" w:eastAsia="宋体"/>
                <w:b/>
                <w:bCs/>
                <w:szCs w:val="21"/>
              </w:rPr>
              <w:t>优化营商环境条例</w:t>
            </w:r>
          </w:p>
        </w:tc>
        <w:tc>
          <w:tcPr>
            <w:tcW w:w="3681" w:type="dxa"/>
            <w:vAlign w:val="center"/>
          </w:tcPr>
          <w:p>
            <w:pPr>
              <w:spacing w:line="360" w:lineRule="auto"/>
              <w:jc w:val="center"/>
              <w:rPr>
                <w:rFonts w:ascii="宋体" w:hAnsi="宋体" w:eastAsia="宋体"/>
                <w:b/>
                <w:bCs/>
                <w:szCs w:val="21"/>
              </w:rPr>
            </w:pPr>
            <w:r>
              <w:rPr>
                <w:rFonts w:hint="eastAsia" w:ascii="宋体" w:hAnsi="宋体" w:eastAsia="宋体"/>
                <w:b/>
                <w:bCs/>
                <w:szCs w:val="21"/>
              </w:rPr>
              <w:t>政府有关部门应当加大反垄断和反不正当竞争执法力度，有效预防和制止市场经济活动中的垄断行为、不正当竞争行为以及</w:t>
            </w:r>
            <w:r>
              <w:rPr>
                <w:rFonts w:hint="eastAsia" w:ascii="宋体" w:hAnsi="宋体" w:eastAsia="宋体"/>
                <w:b/>
                <w:bCs/>
                <w:color w:val="FF0000"/>
                <w:szCs w:val="21"/>
              </w:rPr>
              <w:t>滥用行政权力排除、限制竞争的行为，营造公平竞争的市场环境</w:t>
            </w:r>
          </w:p>
        </w:tc>
        <w:tc>
          <w:tcPr>
            <w:tcW w:w="1780" w:type="dxa"/>
            <w:vAlign w:val="center"/>
          </w:tcPr>
          <w:p>
            <w:pPr>
              <w:spacing w:line="360" w:lineRule="auto"/>
              <w:jc w:val="center"/>
              <w:rPr>
                <w:rFonts w:ascii="宋体" w:hAnsi="宋体" w:eastAsia="宋体"/>
                <w:b/>
                <w:bCs/>
                <w:szCs w:val="21"/>
              </w:rPr>
            </w:pPr>
            <w:r>
              <w:rPr>
                <w:rFonts w:hint="eastAsia" w:ascii="宋体" w:hAnsi="宋体" w:eastAsia="宋体"/>
                <w:b/>
                <w:bCs/>
                <w:szCs w:val="21"/>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360" w:lineRule="auto"/>
              <w:jc w:val="center"/>
              <w:rPr>
                <w:rFonts w:ascii="宋体" w:hAnsi="宋体" w:eastAsia="宋体"/>
                <w:b/>
                <w:bCs/>
                <w:szCs w:val="21"/>
              </w:rPr>
            </w:pPr>
            <w:r>
              <w:rPr>
                <w:rFonts w:hint="eastAsia" w:ascii="宋体" w:hAnsi="宋体" w:eastAsia="宋体"/>
                <w:b/>
                <w:bCs/>
                <w:szCs w:val="21"/>
              </w:rPr>
              <w:t>2</w:t>
            </w:r>
            <w:r>
              <w:rPr>
                <w:rFonts w:ascii="宋体" w:hAnsi="宋体" w:eastAsia="宋体"/>
                <w:b/>
                <w:bCs/>
                <w:szCs w:val="21"/>
              </w:rPr>
              <w:t>0</w:t>
            </w:r>
            <w:r>
              <w:rPr>
                <w:rFonts w:hint="eastAsia" w:ascii="宋体" w:hAnsi="宋体" w:eastAsia="宋体"/>
                <w:b/>
                <w:bCs/>
                <w:szCs w:val="21"/>
              </w:rPr>
              <w:t>21</w:t>
            </w:r>
            <w:r>
              <w:rPr>
                <w:rFonts w:ascii="宋体" w:hAnsi="宋体" w:eastAsia="宋体"/>
                <w:b/>
                <w:bCs/>
                <w:szCs w:val="21"/>
              </w:rPr>
              <w:t>.</w:t>
            </w:r>
            <w:r>
              <w:rPr>
                <w:rFonts w:hint="eastAsia" w:ascii="宋体" w:hAnsi="宋体" w:eastAsia="宋体"/>
                <w:b/>
                <w:bCs/>
                <w:szCs w:val="21"/>
              </w:rPr>
              <w:t>1</w:t>
            </w:r>
          </w:p>
        </w:tc>
        <w:tc>
          <w:tcPr>
            <w:tcW w:w="1560" w:type="dxa"/>
            <w:vAlign w:val="center"/>
          </w:tcPr>
          <w:p>
            <w:pPr>
              <w:spacing w:line="360" w:lineRule="auto"/>
              <w:jc w:val="center"/>
              <w:rPr>
                <w:rFonts w:ascii="宋体" w:hAnsi="宋体" w:eastAsia="宋体"/>
                <w:b/>
                <w:bCs/>
                <w:szCs w:val="21"/>
              </w:rPr>
            </w:pPr>
            <w:r>
              <w:rPr>
                <w:rFonts w:hint="eastAsia" w:ascii="宋体" w:hAnsi="宋体" w:eastAsia="宋体"/>
                <w:b/>
                <w:bCs/>
                <w:szCs w:val="21"/>
              </w:rPr>
              <w:t>中共中央办公厅、国务院办公厅印发《建设高标准市场体系行动方案》</w:t>
            </w:r>
          </w:p>
        </w:tc>
        <w:tc>
          <w:tcPr>
            <w:tcW w:w="3681" w:type="dxa"/>
            <w:vAlign w:val="center"/>
          </w:tcPr>
          <w:p>
            <w:pPr>
              <w:spacing w:line="360" w:lineRule="auto"/>
              <w:jc w:val="center"/>
              <w:rPr>
                <w:rFonts w:ascii="宋体" w:hAnsi="宋体" w:eastAsia="宋体"/>
                <w:b/>
                <w:bCs/>
                <w:szCs w:val="21"/>
              </w:rPr>
            </w:pPr>
            <w:r>
              <w:rPr>
                <w:rFonts w:hint="eastAsia" w:ascii="宋体" w:hAnsi="宋体" w:eastAsia="宋体"/>
                <w:b/>
                <w:bCs/>
                <w:color w:val="FF0000"/>
                <w:szCs w:val="21"/>
              </w:rPr>
              <w:t>增强公平竞争审查制度刚性约束</w:t>
            </w:r>
            <w:r>
              <w:rPr>
                <w:rFonts w:hint="eastAsia" w:ascii="宋体" w:hAnsi="宋体" w:eastAsia="宋体"/>
                <w:b/>
                <w:bCs/>
                <w:szCs w:val="21"/>
              </w:rPr>
              <w:t>；探索建立公平竞争审查举报处理和回应机制，及时核查举报涉及的问题；健全公平竞争审查机制，进一步明确和细化纳入审查范围的政策措施类别；出台公平竞争审查例外规定适用指南，建立例外规定动态调整和重大事项实时调整机制；研究制定行业性审查规则，进一步细化认定标准</w:t>
            </w:r>
          </w:p>
        </w:tc>
        <w:tc>
          <w:tcPr>
            <w:tcW w:w="1780" w:type="dxa"/>
            <w:vAlign w:val="center"/>
          </w:tcPr>
          <w:p>
            <w:pPr>
              <w:spacing w:line="360" w:lineRule="auto"/>
              <w:jc w:val="center"/>
              <w:rPr>
                <w:rFonts w:ascii="宋体" w:hAnsi="宋体" w:eastAsia="宋体"/>
                <w:b/>
                <w:bCs/>
                <w:szCs w:val="21"/>
              </w:rPr>
            </w:pPr>
            <w:r>
              <w:rPr>
                <w:rFonts w:hint="eastAsia" w:ascii="宋体" w:hAnsi="宋体" w:eastAsia="宋体"/>
                <w:b/>
                <w:bCs/>
                <w:szCs w:val="21"/>
              </w:rPr>
              <w:t>党内法规制度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360" w:lineRule="auto"/>
              <w:jc w:val="center"/>
              <w:rPr>
                <w:rFonts w:ascii="宋体" w:hAnsi="宋体" w:eastAsia="宋体"/>
                <w:b/>
                <w:bCs/>
                <w:szCs w:val="21"/>
              </w:rPr>
            </w:pPr>
            <w:r>
              <w:rPr>
                <w:rFonts w:hint="eastAsia" w:ascii="宋体" w:hAnsi="宋体" w:eastAsia="宋体"/>
                <w:b/>
                <w:bCs/>
                <w:szCs w:val="21"/>
              </w:rPr>
              <w:t>2</w:t>
            </w:r>
            <w:r>
              <w:rPr>
                <w:rFonts w:ascii="宋体" w:hAnsi="宋体" w:eastAsia="宋体"/>
                <w:b/>
                <w:bCs/>
                <w:szCs w:val="21"/>
              </w:rPr>
              <w:t>02</w:t>
            </w:r>
            <w:r>
              <w:rPr>
                <w:rFonts w:hint="eastAsia" w:ascii="宋体" w:hAnsi="宋体" w:eastAsia="宋体"/>
                <w:b/>
                <w:bCs/>
                <w:szCs w:val="21"/>
              </w:rPr>
              <w:t>2</w:t>
            </w:r>
            <w:r>
              <w:rPr>
                <w:rFonts w:ascii="宋体" w:hAnsi="宋体" w:eastAsia="宋体"/>
                <w:b/>
                <w:bCs/>
                <w:szCs w:val="21"/>
              </w:rPr>
              <w:t>.1</w:t>
            </w:r>
            <w:r>
              <w:rPr>
                <w:rFonts w:hint="eastAsia" w:ascii="宋体" w:hAnsi="宋体" w:eastAsia="宋体"/>
                <w:b/>
                <w:bCs/>
                <w:szCs w:val="21"/>
              </w:rPr>
              <w:t>0</w:t>
            </w:r>
          </w:p>
        </w:tc>
        <w:tc>
          <w:tcPr>
            <w:tcW w:w="1560" w:type="dxa"/>
            <w:vAlign w:val="center"/>
          </w:tcPr>
          <w:p>
            <w:pPr>
              <w:spacing w:line="360" w:lineRule="auto"/>
              <w:jc w:val="center"/>
              <w:rPr>
                <w:rFonts w:ascii="宋体" w:hAnsi="宋体" w:eastAsia="宋体"/>
                <w:b/>
                <w:bCs/>
                <w:szCs w:val="21"/>
              </w:rPr>
            </w:pPr>
            <w:r>
              <w:rPr>
                <w:rFonts w:hint="eastAsia" w:ascii="宋体" w:hAnsi="宋体" w:eastAsia="宋体"/>
                <w:b/>
                <w:bCs/>
                <w:szCs w:val="21"/>
              </w:rPr>
              <w:t>中国共产党第二十次全国代表大会报告</w:t>
            </w:r>
          </w:p>
        </w:tc>
        <w:tc>
          <w:tcPr>
            <w:tcW w:w="3681" w:type="dxa"/>
            <w:vAlign w:val="center"/>
          </w:tcPr>
          <w:p>
            <w:pPr>
              <w:spacing w:line="360" w:lineRule="auto"/>
              <w:jc w:val="center"/>
              <w:rPr>
                <w:rFonts w:ascii="宋体" w:hAnsi="宋体" w:eastAsia="宋体"/>
                <w:b/>
                <w:bCs/>
                <w:szCs w:val="21"/>
              </w:rPr>
            </w:pPr>
            <w:r>
              <w:rPr>
                <w:rFonts w:hint="eastAsia" w:ascii="宋体" w:hAnsi="宋体" w:eastAsia="宋体"/>
                <w:b/>
                <w:bCs/>
                <w:color w:val="FF0000"/>
                <w:szCs w:val="21"/>
              </w:rPr>
              <w:t>完善产权保护、市场准入、公平竞争、社会信用等市场经济基础制度，优化营商环境</w:t>
            </w:r>
          </w:p>
        </w:tc>
        <w:tc>
          <w:tcPr>
            <w:tcW w:w="1780" w:type="dxa"/>
            <w:vAlign w:val="center"/>
          </w:tcPr>
          <w:p>
            <w:pPr>
              <w:spacing w:line="360" w:lineRule="auto"/>
              <w:jc w:val="center"/>
              <w:rPr>
                <w:rFonts w:ascii="宋体" w:hAnsi="宋体" w:eastAsia="宋体"/>
                <w:b/>
                <w:bCs/>
                <w:szCs w:val="21"/>
              </w:rPr>
            </w:pPr>
            <w:r>
              <w:rPr>
                <w:rFonts w:hint="eastAsia" w:ascii="宋体" w:hAnsi="宋体" w:eastAsia="宋体"/>
                <w:b/>
                <w:bCs/>
                <w:szCs w:val="21"/>
              </w:rPr>
              <w:t>党内法规制度</w:t>
            </w:r>
          </w:p>
        </w:tc>
      </w:tr>
    </w:tbl>
    <w:p>
      <w:pPr>
        <w:jc w:val="center"/>
      </w:pPr>
    </w:p>
    <w:p>
      <w:pPr>
        <w:jc w:val="center"/>
      </w:pPr>
    </w:p>
    <w:p>
      <w:pPr>
        <w:jc w:val="center"/>
      </w:pPr>
    </w:p>
    <w:p>
      <w:pPr>
        <w:jc w:val="center"/>
      </w:pPr>
    </w:p>
    <w:p>
      <w:pPr>
        <w:jc w:val="center"/>
      </w:pPr>
    </w:p>
    <w:p/>
    <w:p/>
    <w:p>
      <w:pPr>
        <w:pStyle w:val="3"/>
        <w:spacing w:line="415" w:lineRule="auto"/>
        <w:ind w:firstLine="560" w:firstLineChars="200"/>
        <w:rPr>
          <w:rFonts w:ascii="黑体" w:hAnsi="黑体" w:eastAsia="黑体"/>
          <w:b w:val="0"/>
          <w:bCs w:val="0"/>
          <w:sz w:val="28"/>
          <w:szCs w:val="28"/>
        </w:rPr>
      </w:pPr>
      <w:bookmarkStart w:id="7" w:name="_Toc171935245"/>
      <w:r>
        <w:rPr>
          <w:rFonts w:hint="eastAsia" w:ascii="黑体" w:hAnsi="黑体" w:eastAsia="黑体"/>
          <w:b w:val="0"/>
          <w:bCs w:val="0"/>
          <w:sz w:val="28"/>
          <w:szCs w:val="28"/>
        </w:rPr>
        <w:t>（二）实施细则层面</w:t>
      </w:r>
      <w:bookmarkEnd w:id="7"/>
    </w:p>
    <w:p>
      <w:r>
        <w:rPr>
          <w:rFonts w:hint="eastAsia"/>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560"/>
        <w:gridCol w:w="368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shd w:val="clear" w:color="auto" w:fill="4472C4" w:themeFill="accent1"/>
            <w:vAlign w:val="center"/>
          </w:tcPr>
          <w:p>
            <w:pPr>
              <w:spacing w:line="360" w:lineRule="auto"/>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发布时间</w:t>
            </w:r>
          </w:p>
        </w:tc>
        <w:tc>
          <w:tcPr>
            <w:tcW w:w="1560" w:type="dxa"/>
            <w:shd w:val="clear" w:color="auto" w:fill="4472C4" w:themeFill="accent1"/>
            <w:vAlign w:val="center"/>
          </w:tcPr>
          <w:p>
            <w:pPr>
              <w:spacing w:line="360" w:lineRule="auto"/>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文件名称</w:t>
            </w:r>
          </w:p>
        </w:tc>
        <w:tc>
          <w:tcPr>
            <w:tcW w:w="3681" w:type="dxa"/>
            <w:shd w:val="clear" w:color="auto" w:fill="4472C4" w:themeFill="accent1"/>
            <w:vAlign w:val="center"/>
          </w:tcPr>
          <w:p>
            <w:pPr>
              <w:spacing w:line="360" w:lineRule="auto"/>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核心内容</w:t>
            </w:r>
          </w:p>
        </w:tc>
        <w:tc>
          <w:tcPr>
            <w:tcW w:w="1780" w:type="dxa"/>
            <w:shd w:val="clear" w:color="auto" w:fill="4472C4" w:themeFill="accent1"/>
            <w:vAlign w:val="center"/>
          </w:tcPr>
          <w:p>
            <w:pPr>
              <w:spacing w:line="360" w:lineRule="auto"/>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立法位阶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360" w:lineRule="auto"/>
              <w:jc w:val="center"/>
              <w:rPr>
                <w:rFonts w:ascii="宋体" w:hAnsi="宋体" w:eastAsia="宋体"/>
                <w:b/>
                <w:bCs/>
                <w:szCs w:val="21"/>
              </w:rPr>
            </w:pPr>
            <w:r>
              <w:rPr>
                <w:rFonts w:hint="eastAsia" w:ascii="宋体" w:hAnsi="宋体" w:eastAsia="宋体"/>
                <w:b/>
                <w:bCs/>
                <w:szCs w:val="21"/>
              </w:rPr>
              <w:t>2</w:t>
            </w:r>
            <w:r>
              <w:rPr>
                <w:rFonts w:ascii="宋体" w:hAnsi="宋体" w:eastAsia="宋体"/>
                <w:b/>
                <w:bCs/>
                <w:szCs w:val="21"/>
              </w:rPr>
              <w:t>01</w:t>
            </w:r>
            <w:r>
              <w:rPr>
                <w:rFonts w:hint="eastAsia" w:ascii="宋体" w:hAnsi="宋体" w:eastAsia="宋体"/>
                <w:b/>
                <w:bCs/>
                <w:szCs w:val="21"/>
              </w:rPr>
              <w:t>7</w:t>
            </w:r>
            <w:r>
              <w:rPr>
                <w:rFonts w:ascii="宋体" w:hAnsi="宋体" w:eastAsia="宋体"/>
                <w:b/>
                <w:bCs/>
                <w:szCs w:val="21"/>
              </w:rPr>
              <w:t>.</w:t>
            </w:r>
            <w:r>
              <w:rPr>
                <w:rFonts w:hint="eastAsia" w:ascii="宋体" w:hAnsi="宋体" w:eastAsia="宋体"/>
                <w:b/>
                <w:bCs/>
                <w:szCs w:val="21"/>
              </w:rPr>
              <w:t>10</w:t>
            </w:r>
          </w:p>
        </w:tc>
        <w:tc>
          <w:tcPr>
            <w:tcW w:w="1560" w:type="dxa"/>
            <w:vAlign w:val="center"/>
          </w:tcPr>
          <w:p>
            <w:pPr>
              <w:spacing w:line="360" w:lineRule="auto"/>
              <w:jc w:val="left"/>
              <w:rPr>
                <w:rFonts w:ascii="宋体" w:hAnsi="宋体" w:eastAsia="宋体"/>
                <w:b/>
                <w:bCs/>
                <w:szCs w:val="21"/>
              </w:rPr>
            </w:pPr>
            <w:r>
              <w:rPr>
                <w:rFonts w:hint="eastAsia" w:ascii="宋体" w:hAnsi="宋体" w:eastAsia="宋体"/>
                <w:b/>
                <w:bCs/>
                <w:szCs w:val="21"/>
              </w:rPr>
              <w:t>公平竞争审查制度实施细则（暂行）</w:t>
            </w:r>
          </w:p>
        </w:tc>
        <w:tc>
          <w:tcPr>
            <w:tcW w:w="3681" w:type="dxa"/>
            <w:vAlign w:val="center"/>
          </w:tcPr>
          <w:p>
            <w:pPr>
              <w:spacing w:line="360" w:lineRule="auto"/>
              <w:jc w:val="left"/>
              <w:rPr>
                <w:rFonts w:ascii="宋体" w:hAnsi="宋体" w:eastAsia="宋体"/>
                <w:b/>
                <w:bCs/>
                <w:szCs w:val="21"/>
              </w:rPr>
            </w:pPr>
            <w:r>
              <w:rPr>
                <w:rFonts w:hint="eastAsia" w:ascii="宋体" w:hAnsi="宋体" w:eastAsia="宋体"/>
                <w:b/>
                <w:bCs/>
                <w:szCs w:val="21"/>
              </w:rPr>
              <w:t>行政机关以及法律法规授权的具有管理公共事务职能的组织，</w:t>
            </w:r>
            <w:r>
              <w:rPr>
                <w:rFonts w:hint="eastAsia" w:ascii="宋体" w:hAnsi="宋体" w:eastAsia="宋体"/>
                <w:b/>
                <w:bCs/>
                <w:color w:val="FF0000"/>
                <w:szCs w:val="21"/>
              </w:rPr>
              <w:t>在制定市场准入、产业发展、招商引资、招标投标、政府采购、经营行为规范、资质标准等涉及市场主体经济活动的规章、规范性文件和其他政策措施时</w:t>
            </w:r>
            <w:r>
              <w:rPr>
                <w:rFonts w:hint="eastAsia" w:ascii="宋体" w:hAnsi="宋体" w:eastAsia="宋体"/>
                <w:b/>
                <w:bCs/>
                <w:szCs w:val="21"/>
              </w:rPr>
              <w:t>，应当进行公平竞争审查，评估对市场竞争的影响，防止排除、限制市场竞争</w:t>
            </w:r>
          </w:p>
        </w:tc>
        <w:tc>
          <w:tcPr>
            <w:tcW w:w="1780" w:type="dxa"/>
            <w:vAlign w:val="center"/>
          </w:tcPr>
          <w:p>
            <w:pPr>
              <w:spacing w:line="360" w:lineRule="auto"/>
              <w:jc w:val="center"/>
              <w:rPr>
                <w:rFonts w:ascii="宋体" w:hAnsi="宋体" w:eastAsia="宋体"/>
                <w:b/>
                <w:bCs/>
                <w:szCs w:val="21"/>
              </w:rPr>
            </w:pPr>
            <w:r>
              <w:rPr>
                <w:rFonts w:hint="eastAsia" w:ascii="宋体" w:hAnsi="宋体" w:eastAsia="宋体"/>
                <w:b/>
                <w:bCs/>
                <w:szCs w:val="21"/>
              </w:rPr>
              <w:t>部门规范性文件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360" w:lineRule="auto"/>
              <w:jc w:val="center"/>
              <w:rPr>
                <w:rFonts w:ascii="宋体" w:hAnsi="宋体" w:eastAsia="宋体"/>
                <w:b/>
                <w:bCs/>
                <w:szCs w:val="21"/>
              </w:rPr>
            </w:pPr>
            <w:r>
              <w:rPr>
                <w:rFonts w:hint="eastAsia" w:ascii="宋体" w:hAnsi="宋体" w:eastAsia="宋体"/>
                <w:b/>
                <w:bCs/>
                <w:szCs w:val="21"/>
              </w:rPr>
              <w:t>2019.2</w:t>
            </w:r>
          </w:p>
        </w:tc>
        <w:tc>
          <w:tcPr>
            <w:tcW w:w="1560" w:type="dxa"/>
            <w:vAlign w:val="center"/>
          </w:tcPr>
          <w:p>
            <w:pPr>
              <w:spacing w:line="360" w:lineRule="auto"/>
              <w:jc w:val="left"/>
              <w:rPr>
                <w:rFonts w:ascii="宋体" w:hAnsi="宋体" w:eastAsia="宋体"/>
                <w:b/>
                <w:bCs/>
                <w:szCs w:val="21"/>
              </w:rPr>
            </w:pPr>
            <w:r>
              <w:rPr>
                <w:rFonts w:hint="eastAsia" w:ascii="宋体" w:hAnsi="宋体" w:eastAsia="宋体"/>
                <w:b/>
                <w:bCs/>
                <w:szCs w:val="21"/>
              </w:rPr>
              <w:t>公平竞争审查第三方评估实施指南</w:t>
            </w:r>
          </w:p>
        </w:tc>
        <w:tc>
          <w:tcPr>
            <w:tcW w:w="3681" w:type="dxa"/>
            <w:vAlign w:val="center"/>
          </w:tcPr>
          <w:p>
            <w:pPr>
              <w:spacing w:line="360" w:lineRule="auto"/>
              <w:jc w:val="left"/>
              <w:rPr>
                <w:rFonts w:ascii="宋体" w:hAnsi="宋体" w:eastAsia="宋体"/>
                <w:b/>
                <w:bCs/>
                <w:szCs w:val="21"/>
              </w:rPr>
            </w:pPr>
            <w:r>
              <w:rPr>
                <w:rFonts w:hint="eastAsia" w:ascii="宋体" w:hAnsi="宋体" w:eastAsia="宋体"/>
                <w:b/>
                <w:bCs/>
                <w:szCs w:val="21"/>
              </w:rPr>
              <w:t>本指南所称第三方评估，是</w:t>
            </w:r>
            <w:r>
              <w:rPr>
                <w:rFonts w:hint="eastAsia" w:ascii="宋体" w:hAnsi="宋体" w:eastAsia="宋体"/>
                <w:b/>
                <w:bCs/>
                <w:color w:val="FF0000"/>
                <w:szCs w:val="21"/>
              </w:rPr>
              <w:t>指受政策制定机关委托，由利害关系方以外的组织机构，依据一定的标准和程序，运用科学、系统、规范的评估方法，对有关政策措施进行公平竞争评估，或者对公平竞争审查其他有关工作进行评估</w:t>
            </w:r>
            <w:r>
              <w:rPr>
                <w:rFonts w:hint="eastAsia" w:ascii="宋体" w:hAnsi="宋体" w:eastAsia="宋体"/>
                <w:b/>
                <w:bCs/>
                <w:szCs w:val="21"/>
              </w:rPr>
              <w:t>，形成评估报告供政策制定机关决策参考的活动</w:t>
            </w:r>
          </w:p>
        </w:tc>
        <w:tc>
          <w:tcPr>
            <w:tcW w:w="1780" w:type="dxa"/>
            <w:vAlign w:val="center"/>
          </w:tcPr>
          <w:p>
            <w:pPr>
              <w:spacing w:line="360" w:lineRule="auto"/>
              <w:jc w:val="center"/>
              <w:rPr>
                <w:rFonts w:ascii="宋体" w:hAnsi="宋体" w:eastAsia="宋体"/>
                <w:b/>
                <w:bCs/>
                <w:szCs w:val="21"/>
              </w:rPr>
            </w:pPr>
            <w:r>
              <w:rPr>
                <w:rFonts w:hint="eastAsia" w:ascii="宋体" w:hAnsi="宋体" w:eastAsia="宋体"/>
                <w:b/>
                <w:bCs/>
                <w:szCs w:val="21"/>
              </w:rPr>
              <w:t>部门规范性文件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360" w:lineRule="auto"/>
              <w:jc w:val="center"/>
              <w:rPr>
                <w:rFonts w:ascii="宋体" w:hAnsi="宋体" w:eastAsia="宋体"/>
                <w:b/>
                <w:bCs/>
                <w:szCs w:val="21"/>
              </w:rPr>
            </w:pPr>
            <w:r>
              <w:rPr>
                <w:rFonts w:hint="eastAsia" w:ascii="宋体" w:hAnsi="宋体" w:eastAsia="宋体"/>
                <w:b/>
                <w:bCs/>
                <w:szCs w:val="21"/>
              </w:rPr>
              <w:t>2021.2</w:t>
            </w:r>
          </w:p>
        </w:tc>
        <w:tc>
          <w:tcPr>
            <w:tcW w:w="1560" w:type="dxa"/>
            <w:vAlign w:val="center"/>
          </w:tcPr>
          <w:p>
            <w:pPr>
              <w:spacing w:line="360" w:lineRule="auto"/>
              <w:jc w:val="left"/>
              <w:rPr>
                <w:rFonts w:ascii="宋体" w:hAnsi="宋体" w:eastAsia="宋体"/>
                <w:b/>
                <w:bCs/>
                <w:szCs w:val="21"/>
              </w:rPr>
            </w:pPr>
            <w:r>
              <w:rPr>
                <w:rFonts w:hint="eastAsia" w:ascii="宋体" w:hAnsi="宋体" w:eastAsia="宋体"/>
                <w:b/>
                <w:bCs/>
                <w:szCs w:val="21"/>
              </w:rPr>
              <w:t>公平竞争审查制度实施细则</w:t>
            </w:r>
          </w:p>
        </w:tc>
        <w:tc>
          <w:tcPr>
            <w:tcW w:w="3681" w:type="dxa"/>
            <w:vAlign w:val="center"/>
          </w:tcPr>
          <w:p>
            <w:pPr>
              <w:spacing w:line="360" w:lineRule="auto"/>
              <w:jc w:val="left"/>
              <w:rPr>
                <w:rFonts w:ascii="宋体" w:hAnsi="宋体" w:eastAsia="宋体"/>
                <w:b/>
                <w:bCs/>
                <w:szCs w:val="21"/>
              </w:rPr>
            </w:pPr>
            <w:r>
              <w:rPr>
                <w:rFonts w:hint="eastAsia" w:ascii="宋体" w:hAnsi="宋体" w:eastAsia="宋体"/>
                <w:b/>
                <w:bCs/>
                <w:szCs w:val="21"/>
              </w:rPr>
              <w:t>行政机关以及法律、法规授权的具有管理公共事务职能的组织，在制定市场准入和退出、产业发展、招商引资、招标投标、政府采购、经营行为规范、资质标准等涉及</w:t>
            </w:r>
            <w:r>
              <w:rPr>
                <w:rFonts w:hint="eastAsia" w:ascii="宋体" w:hAnsi="宋体" w:eastAsia="宋体"/>
                <w:b/>
                <w:bCs/>
                <w:color w:val="FF0000"/>
                <w:szCs w:val="21"/>
              </w:rPr>
              <w:t>市场主体经济活动的规章、规范性文件、其他政策性文件以及“一事一议”形式的具体政策措施时</w:t>
            </w:r>
            <w:r>
              <w:rPr>
                <w:rFonts w:hint="eastAsia" w:ascii="宋体" w:hAnsi="宋体" w:eastAsia="宋体"/>
                <w:b/>
                <w:bCs/>
                <w:szCs w:val="21"/>
              </w:rPr>
              <w:t>，应当进行公平竞争审查，评估对市场竞争的影响，防止排除、限制市场竞争</w:t>
            </w:r>
          </w:p>
        </w:tc>
        <w:tc>
          <w:tcPr>
            <w:tcW w:w="1780" w:type="dxa"/>
            <w:vAlign w:val="center"/>
          </w:tcPr>
          <w:p>
            <w:pPr>
              <w:spacing w:line="360" w:lineRule="auto"/>
              <w:jc w:val="center"/>
              <w:rPr>
                <w:rFonts w:ascii="宋体" w:hAnsi="宋体" w:eastAsia="宋体"/>
                <w:b/>
                <w:bCs/>
                <w:szCs w:val="21"/>
              </w:rPr>
            </w:pPr>
            <w:r>
              <w:rPr>
                <w:rFonts w:hint="eastAsia" w:ascii="宋体" w:hAnsi="宋体" w:eastAsia="宋体"/>
                <w:b/>
                <w:bCs/>
                <w:szCs w:val="21"/>
              </w:rPr>
              <w:t>部门规范性文件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360" w:lineRule="auto"/>
              <w:jc w:val="center"/>
              <w:rPr>
                <w:rFonts w:ascii="宋体" w:hAnsi="宋体" w:eastAsia="宋体"/>
                <w:b/>
                <w:bCs/>
                <w:szCs w:val="21"/>
              </w:rPr>
            </w:pPr>
            <w:r>
              <w:rPr>
                <w:rFonts w:hint="eastAsia" w:ascii="宋体" w:hAnsi="宋体" w:eastAsia="宋体"/>
                <w:b/>
                <w:bCs/>
                <w:szCs w:val="21"/>
              </w:rPr>
              <w:t>2022.6</w:t>
            </w:r>
          </w:p>
        </w:tc>
        <w:tc>
          <w:tcPr>
            <w:tcW w:w="1560" w:type="dxa"/>
            <w:vAlign w:val="center"/>
          </w:tcPr>
          <w:p>
            <w:pPr>
              <w:spacing w:line="360" w:lineRule="auto"/>
              <w:jc w:val="left"/>
              <w:rPr>
                <w:rFonts w:hint="eastAsia" w:ascii="宋体" w:hAnsi="宋体" w:eastAsia="宋体"/>
                <w:b/>
                <w:bCs/>
                <w:szCs w:val="21"/>
                <w:lang w:eastAsia="zh-CN"/>
              </w:rPr>
            </w:pPr>
            <w:r>
              <w:rPr>
                <w:rFonts w:hint="eastAsia" w:ascii="宋体" w:hAnsi="宋体" w:eastAsia="宋体"/>
                <w:b/>
                <w:bCs/>
                <w:szCs w:val="21"/>
                <w:lang w:eastAsia="zh-CN"/>
              </w:rPr>
              <w:t>中华人民共和国反垄断法</w:t>
            </w:r>
          </w:p>
        </w:tc>
        <w:tc>
          <w:tcPr>
            <w:tcW w:w="3681" w:type="dxa"/>
            <w:vAlign w:val="center"/>
          </w:tcPr>
          <w:p>
            <w:pPr>
              <w:spacing w:line="360" w:lineRule="auto"/>
              <w:jc w:val="left"/>
              <w:rPr>
                <w:rFonts w:ascii="宋体" w:hAnsi="宋体" w:eastAsia="宋体"/>
                <w:b/>
                <w:bCs/>
                <w:szCs w:val="21"/>
              </w:rPr>
            </w:pPr>
            <w:r>
              <w:rPr>
                <w:rFonts w:hint="eastAsia" w:ascii="宋体" w:hAnsi="宋体" w:eastAsia="宋体"/>
                <w:b/>
                <w:bCs/>
                <w:szCs w:val="21"/>
              </w:rPr>
              <w:t>行政机关和法律、法规授权的具有管理公共事务职能的组织在制定涉及市场主体经济活动的规定时，应当进行公平竞争审查；行政机关和法律、法规授权的具有管理公共事务职能的组织滥用行政权力，实施排除、限制竞争行为的，由上级机关责令改正；</w:t>
            </w:r>
            <w:r>
              <w:rPr>
                <w:rFonts w:hint="eastAsia" w:ascii="宋体" w:hAnsi="宋体" w:eastAsia="宋体"/>
                <w:b/>
                <w:bCs/>
                <w:color w:val="FF0000"/>
                <w:szCs w:val="21"/>
              </w:rPr>
              <w:t>对直接负责的主管人员和其他直接责任人员依法给予处分</w:t>
            </w:r>
          </w:p>
        </w:tc>
        <w:tc>
          <w:tcPr>
            <w:tcW w:w="1780" w:type="dxa"/>
            <w:vAlign w:val="center"/>
          </w:tcPr>
          <w:p>
            <w:pPr>
              <w:spacing w:line="360" w:lineRule="auto"/>
              <w:jc w:val="center"/>
              <w:rPr>
                <w:rFonts w:ascii="宋体" w:hAnsi="宋体" w:eastAsia="宋体"/>
                <w:b/>
                <w:bCs/>
                <w:szCs w:val="21"/>
              </w:rPr>
            </w:pPr>
            <w:r>
              <w:rPr>
                <w:rFonts w:hint="eastAsia" w:ascii="宋体" w:hAnsi="宋体" w:eastAsia="宋体"/>
                <w:b/>
                <w:bCs/>
                <w:szCs w:val="21"/>
              </w:rPr>
              <w:t>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360" w:lineRule="auto"/>
              <w:jc w:val="center"/>
              <w:rPr>
                <w:rFonts w:ascii="宋体" w:hAnsi="宋体" w:eastAsia="宋体"/>
                <w:b/>
                <w:bCs/>
                <w:szCs w:val="21"/>
              </w:rPr>
            </w:pPr>
            <w:r>
              <w:rPr>
                <w:rFonts w:hint="eastAsia" w:ascii="宋体" w:hAnsi="宋体" w:eastAsia="宋体"/>
                <w:b/>
                <w:bCs/>
                <w:szCs w:val="21"/>
              </w:rPr>
              <w:t>2023.4</w:t>
            </w:r>
          </w:p>
        </w:tc>
        <w:tc>
          <w:tcPr>
            <w:tcW w:w="1560" w:type="dxa"/>
            <w:vAlign w:val="center"/>
          </w:tcPr>
          <w:p>
            <w:pPr>
              <w:spacing w:line="360" w:lineRule="auto"/>
              <w:jc w:val="left"/>
              <w:rPr>
                <w:rFonts w:ascii="宋体" w:hAnsi="宋体" w:eastAsia="宋体"/>
                <w:b/>
                <w:bCs/>
                <w:szCs w:val="21"/>
              </w:rPr>
            </w:pPr>
            <w:bookmarkStart w:id="8" w:name="_Hlk164783336"/>
            <w:r>
              <w:rPr>
                <w:rFonts w:hint="eastAsia" w:ascii="宋体" w:hAnsi="宋体" w:eastAsia="宋体"/>
                <w:b/>
                <w:bCs/>
                <w:szCs w:val="21"/>
              </w:rPr>
              <w:t>公平竞争审查第三方评估实施指南</w:t>
            </w:r>
            <w:bookmarkEnd w:id="8"/>
          </w:p>
        </w:tc>
        <w:tc>
          <w:tcPr>
            <w:tcW w:w="3681" w:type="dxa"/>
            <w:vAlign w:val="center"/>
          </w:tcPr>
          <w:p>
            <w:pPr>
              <w:spacing w:line="360" w:lineRule="auto"/>
              <w:jc w:val="left"/>
              <w:rPr>
                <w:rFonts w:ascii="宋体" w:hAnsi="宋体" w:eastAsia="宋体"/>
                <w:b/>
                <w:bCs/>
                <w:szCs w:val="21"/>
              </w:rPr>
            </w:pPr>
            <w:r>
              <w:rPr>
                <w:rFonts w:hint="eastAsia" w:ascii="宋体" w:hAnsi="宋体" w:eastAsia="宋体"/>
                <w:b/>
                <w:bCs/>
                <w:szCs w:val="21"/>
              </w:rPr>
              <w:t>本指南所称第三方评估，是指</w:t>
            </w:r>
            <w:r>
              <w:rPr>
                <w:rFonts w:hint="eastAsia" w:ascii="宋体" w:hAnsi="宋体" w:eastAsia="宋体"/>
                <w:b/>
                <w:bCs/>
                <w:color w:val="FF0000"/>
                <w:szCs w:val="21"/>
              </w:rPr>
              <w:t>各级公平竞争审查工作联席会议办公室或者各政策制定机关根据职责</w:t>
            </w:r>
            <w:r>
              <w:rPr>
                <w:rFonts w:hint="eastAsia" w:ascii="宋体" w:hAnsi="宋体" w:eastAsia="宋体"/>
                <w:b/>
                <w:bCs/>
                <w:szCs w:val="21"/>
              </w:rPr>
              <w:t>，委托第三方机构，依据本指南规定的标准和程序，运用科学、系统、规范的评估方法，</w:t>
            </w:r>
            <w:r>
              <w:rPr>
                <w:rFonts w:hint="eastAsia" w:ascii="宋体" w:hAnsi="宋体" w:eastAsia="宋体"/>
                <w:b/>
                <w:bCs/>
                <w:color w:val="FF0000"/>
                <w:szCs w:val="21"/>
              </w:rPr>
              <w:t>对本地区或者本部门公平竞争审查制度实施情况、有关政策措施以及公平竞争审查其他有关工作进行评估，</w:t>
            </w:r>
            <w:r>
              <w:rPr>
                <w:rFonts w:hint="eastAsia" w:ascii="宋体" w:hAnsi="宋体" w:eastAsia="宋体"/>
                <w:b/>
                <w:bCs/>
                <w:szCs w:val="21"/>
              </w:rPr>
              <w:t>形成评估报告供委托单位或者其他有关政府部门决策参考的活动</w:t>
            </w:r>
          </w:p>
        </w:tc>
        <w:tc>
          <w:tcPr>
            <w:tcW w:w="1780" w:type="dxa"/>
            <w:vAlign w:val="center"/>
          </w:tcPr>
          <w:p>
            <w:pPr>
              <w:spacing w:line="360" w:lineRule="auto"/>
              <w:jc w:val="center"/>
              <w:rPr>
                <w:rFonts w:ascii="宋体" w:hAnsi="宋体" w:eastAsia="宋体"/>
                <w:b/>
                <w:bCs/>
                <w:szCs w:val="21"/>
              </w:rPr>
            </w:pPr>
            <w:r>
              <w:rPr>
                <w:rFonts w:hint="eastAsia" w:ascii="宋体" w:hAnsi="宋体" w:eastAsia="宋体"/>
                <w:b/>
                <w:bCs/>
                <w:szCs w:val="21"/>
              </w:rPr>
              <w:t>部门规范性文件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360" w:lineRule="auto"/>
              <w:jc w:val="center"/>
              <w:rPr>
                <w:rFonts w:ascii="宋体" w:hAnsi="宋体" w:eastAsia="宋体"/>
                <w:b/>
                <w:bCs/>
                <w:szCs w:val="21"/>
              </w:rPr>
            </w:pPr>
            <w:r>
              <w:rPr>
                <w:rFonts w:hint="eastAsia" w:ascii="宋体" w:hAnsi="宋体" w:eastAsia="宋体"/>
                <w:b/>
                <w:bCs/>
                <w:szCs w:val="21"/>
              </w:rPr>
              <w:t>2024.3</w:t>
            </w:r>
          </w:p>
        </w:tc>
        <w:tc>
          <w:tcPr>
            <w:tcW w:w="1560" w:type="dxa"/>
            <w:vAlign w:val="center"/>
          </w:tcPr>
          <w:p>
            <w:pPr>
              <w:spacing w:line="360" w:lineRule="auto"/>
              <w:jc w:val="left"/>
              <w:rPr>
                <w:rFonts w:ascii="宋体" w:hAnsi="宋体" w:eastAsia="宋体"/>
                <w:b/>
                <w:bCs/>
                <w:szCs w:val="21"/>
              </w:rPr>
            </w:pPr>
            <w:r>
              <w:rPr>
                <w:rFonts w:hint="eastAsia" w:ascii="宋体" w:hAnsi="宋体" w:eastAsia="宋体"/>
                <w:b/>
                <w:bCs/>
                <w:szCs w:val="21"/>
              </w:rPr>
              <w:t>招标投标领域公平竞争审查规则</w:t>
            </w:r>
          </w:p>
        </w:tc>
        <w:tc>
          <w:tcPr>
            <w:tcW w:w="3681" w:type="dxa"/>
            <w:vAlign w:val="center"/>
          </w:tcPr>
          <w:p>
            <w:pPr>
              <w:spacing w:line="360" w:lineRule="auto"/>
              <w:jc w:val="left"/>
              <w:rPr>
                <w:rFonts w:ascii="宋体" w:hAnsi="宋体" w:eastAsia="宋体"/>
                <w:b/>
                <w:bCs/>
                <w:szCs w:val="21"/>
              </w:rPr>
            </w:pPr>
            <w:r>
              <w:rPr>
                <w:rFonts w:hint="eastAsia" w:ascii="宋体" w:hAnsi="宋体" w:eastAsia="宋体"/>
                <w:b/>
                <w:bCs/>
                <w:szCs w:val="21"/>
              </w:rPr>
              <w:t>本规则所称公平竞争审查，是指行政机关和法律、法规授权的具有管理公共事务职能的组织</w:t>
            </w:r>
            <w:r>
              <w:rPr>
                <w:rFonts w:hint="eastAsia" w:ascii="宋体" w:hAnsi="宋体" w:eastAsia="宋体"/>
                <w:b/>
                <w:bCs/>
                <w:color w:val="FF0000"/>
                <w:szCs w:val="21"/>
              </w:rPr>
              <w:t>对拟制定的招标投标领域涉及经营主体经济活动的规章、行政规范性文件、其他政策性文件以及具体政策措施是否存在排除、限制竞争情形进行审查评估的活动</w:t>
            </w:r>
          </w:p>
        </w:tc>
        <w:tc>
          <w:tcPr>
            <w:tcW w:w="1780" w:type="dxa"/>
            <w:vAlign w:val="center"/>
          </w:tcPr>
          <w:p>
            <w:pPr>
              <w:spacing w:line="360" w:lineRule="auto"/>
              <w:jc w:val="center"/>
              <w:rPr>
                <w:rFonts w:ascii="宋体" w:hAnsi="宋体" w:eastAsia="宋体"/>
                <w:b/>
                <w:bCs/>
                <w:szCs w:val="21"/>
              </w:rPr>
            </w:pPr>
            <w:r>
              <w:rPr>
                <w:rFonts w:hint="eastAsia" w:ascii="宋体" w:hAnsi="宋体" w:eastAsia="宋体"/>
                <w:b/>
                <w:bCs/>
                <w:szCs w:val="21"/>
              </w:rPr>
              <w:t>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360" w:lineRule="auto"/>
              <w:jc w:val="center"/>
              <w:rPr>
                <w:rFonts w:ascii="宋体" w:hAnsi="宋体" w:eastAsia="宋体"/>
                <w:b/>
                <w:bCs/>
                <w:szCs w:val="21"/>
              </w:rPr>
            </w:pPr>
            <w:r>
              <w:rPr>
                <w:rFonts w:hint="eastAsia" w:ascii="宋体" w:hAnsi="宋体" w:eastAsia="宋体"/>
                <w:b/>
                <w:bCs/>
                <w:szCs w:val="21"/>
              </w:rPr>
              <w:t>2024.6</w:t>
            </w:r>
          </w:p>
        </w:tc>
        <w:tc>
          <w:tcPr>
            <w:tcW w:w="1560" w:type="dxa"/>
            <w:vAlign w:val="center"/>
          </w:tcPr>
          <w:p>
            <w:pPr>
              <w:spacing w:line="360" w:lineRule="auto"/>
              <w:jc w:val="left"/>
              <w:rPr>
                <w:rFonts w:ascii="宋体" w:hAnsi="宋体" w:eastAsia="宋体"/>
                <w:b/>
                <w:bCs/>
                <w:szCs w:val="21"/>
              </w:rPr>
            </w:pPr>
            <w:r>
              <w:rPr>
                <w:rFonts w:hint="eastAsia" w:ascii="宋体" w:hAnsi="宋体" w:eastAsia="宋体"/>
                <w:b/>
                <w:bCs/>
                <w:szCs w:val="21"/>
              </w:rPr>
              <w:t>公平竞争审查条例</w:t>
            </w:r>
          </w:p>
        </w:tc>
        <w:tc>
          <w:tcPr>
            <w:tcW w:w="3681" w:type="dxa"/>
            <w:vAlign w:val="center"/>
          </w:tcPr>
          <w:p>
            <w:pPr>
              <w:spacing w:line="360" w:lineRule="auto"/>
              <w:jc w:val="left"/>
              <w:rPr>
                <w:rFonts w:ascii="宋体" w:hAnsi="宋体" w:eastAsia="宋体"/>
                <w:b/>
                <w:bCs/>
                <w:szCs w:val="21"/>
              </w:rPr>
            </w:pPr>
            <w:r>
              <w:rPr>
                <w:rFonts w:ascii="宋体" w:hAnsi="宋体" w:eastAsia="宋体"/>
                <w:b/>
                <w:bCs/>
                <w:szCs w:val="21"/>
              </w:rPr>
              <w:t>起草涉及经营者经济活动的</w:t>
            </w:r>
            <w:r>
              <w:rPr>
                <w:rFonts w:ascii="宋体" w:hAnsi="宋体" w:eastAsia="宋体"/>
                <w:b/>
                <w:bCs/>
                <w:color w:val="FF0000"/>
                <w:szCs w:val="21"/>
              </w:rPr>
              <w:t>法律、行政法规、地方性法规、规章、规范性文件以及具体政策措施</w:t>
            </w:r>
            <w:r>
              <w:rPr>
                <w:rFonts w:ascii="宋体" w:hAnsi="宋体" w:eastAsia="宋体"/>
                <w:b/>
                <w:bCs/>
                <w:szCs w:val="21"/>
              </w:rPr>
              <w:t>（以下统称政策措施），行政机关和法律、法规授权的具有管理公共事务职能的组织（以下统称起草单位）应当依照本条例规定开展公平竞争审查</w:t>
            </w:r>
          </w:p>
          <w:p>
            <w:pPr>
              <w:spacing w:line="360" w:lineRule="auto"/>
              <w:jc w:val="left"/>
              <w:rPr>
                <w:rFonts w:ascii="宋体" w:hAnsi="宋体" w:eastAsia="宋体"/>
                <w:b/>
                <w:bCs/>
                <w:szCs w:val="21"/>
              </w:rPr>
            </w:pPr>
            <w:r>
              <w:rPr>
                <w:rFonts w:ascii="宋体" w:hAnsi="宋体" w:eastAsia="宋体"/>
                <w:b/>
                <w:bCs/>
                <w:color w:val="FF0000"/>
                <w:szCs w:val="21"/>
              </w:rPr>
              <w:t>县级以上人民政府将公平竞争审查工作情况纳入法治政府建设、优化营商环境等考核评价内容</w:t>
            </w:r>
          </w:p>
        </w:tc>
        <w:tc>
          <w:tcPr>
            <w:tcW w:w="1780" w:type="dxa"/>
            <w:vAlign w:val="center"/>
          </w:tcPr>
          <w:p>
            <w:pPr>
              <w:spacing w:line="360" w:lineRule="auto"/>
              <w:jc w:val="center"/>
              <w:rPr>
                <w:rFonts w:ascii="宋体" w:hAnsi="宋体" w:eastAsia="宋体"/>
                <w:b/>
                <w:bCs/>
                <w:szCs w:val="21"/>
              </w:rPr>
            </w:pPr>
            <w:r>
              <w:rPr>
                <w:rFonts w:hint="eastAsia" w:ascii="宋体" w:hAnsi="宋体" w:eastAsia="宋体"/>
                <w:b/>
                <w:bCs/>
                <w:szCs w:val="21"/>
              </w:rPr>
              <w:t>行政法规</w:t>
            </w:r>
          </w:p>
        </w:tc>
      </w:tr>
    </w:tbl>
    <w:p/>
    <w:p>
      <w:pPr>
        <w:pStyle w:val="3"/>
        <w:spacing w:line="415" w:lineRule="auto"/>
        <w:ind w:firstLine="560" w:firstLineChars="200"/>
        <w:rPr>
          <w:rFonts w:ascii="黑体" w:hAnsi="黑体" w:eastAsia="黑体"/>
          <w:b w:val="0"/>
          <w:bCs w:val="0"/>
          <w:sz w:val="28"/>
          <w:szCs w:val="28"/>
        </w:rPr>
      </w:pPr>
      <w:bookmarkStart w:id="9" w:name="_Toc171935246"/>
      <w:r>
        <w:rPr>
          <w:rFonts w:hint="eastAsia" w:ascii="黑体" w:hAnsi="黑体" w:eastAsia="黑体"/>
          <w:b w:val="0"/>
          <w:bCs w:val="0"/>
          <w:sz w:val="28"/>
          <w:szCs w:val="28"/>
        </w:rPr>
        <w:t>（三）总结</w:t>
      </w:r>
      <w:bookmarkEnd w:id="9"/>
    </w:p>
    <w:p>
      <w:pPr>
        <w:rPr>
          <w:rFonts w:ascii="宋体" w:hAnsi="宋体" w:eastAsia="宋体"/>
          <w:sz w:val="30"/>
          <w:szCs w:val="30"/>
        </w:rPr>
      </w:pPr>
      <w:r>
        <w:rPr>
          <w:rFonts w:hint="eastAsia"/>
        </w:rPr>
        <w:t xml:space="preserve">       </w:t>
      </w:r>
      <w:r>
        <w:rPr>
          <w:rFonts w:hint="eastAsia" w:ascii="宋体" w:hAnsi="宋体" w:eastAsia="宋体"/>
          <w:sz w:val="30"/>
          <w:szCs w:val="30"/>
        </w:rPr>
        <w:t>前述</w:t>
      </w:r>
      <w:bookmarkStart w:id="10" w:name="_Hlk164781631"/>
      <w:r>
        <w:rPr>
          <w:rFonts w:hint="eastAsia" w:ascii="宋体" w:hAnsi="宋体" w:eastAsia="宋体"/>
          <w:sz w:val="30"/>
          <w:szCs w:val="30"/>
        </w:rPr>
        <w:t>公平竞争审查宏观政策、实施细则</w:t>
      </w:r>
      <w:bookmarkEnd w:id="10"/>
      <w:r>
        <w:rPr>
          <w:rFonts w:hint="eastAsia" w:ascii="宋体" w:hAnsi="宋体" w:eastAsia="宋体"/>
          <w:sz w:val="30"/>
          <w:szCs w:val="30"/>
        </w:rPr>
        <w:t>乃是本次第三方评估的指导依据，通过回溯公平竞争审查宏观政策、实施细则的发展趋势，可以看出在宏观政策层面，公平竞争审查的位阶呈逐步提升的态势，经历了与反垄断、反不正当竞争等制度捆绑并列到相对独立的全国统一大市场的支柱性制度，再到市场经济基础制度的变化；而在实施细则层面，则呈现出审查领域和对象的逐步深入和细化的态势。但综合上述发展态势，仍可发现公平竞争审查实施层面的相关文件的立法位阶并不高，多为部门规范性文件，只有《中华人民共和国反垄断法》一部法律级别的文件，而该法对于审查不力的惩戒也限于对相关工作人员进行处分，并未直接波及审查机关，这也就导致大多数审查机关只将工作重点放在书面制度的构建上，对于具体的审查工作的主观积极性并不高。</w:t>
      </w:r>
    </w:p>
    <w:p>
      <w:pPr>
        <w:rPr>
          <w:rFonts w:ascii="宋体" w:hAnsi="宋体" w:eastAsia="宋体"/>
          <w:sz w:val="30"/>
          <w:szCs w:val="30"/>
        </w:rPr>
      </w:pPr>
      <w:r>
        <w:rPr>
          <w:rFonts w:hint="eastAsia" w:ascii="宋体" w:hAnsi="宋体" w:eastAsia="宋体"/>
          <w:sz w:val="30"/>
          <w:szCs w:val="30"/>
        </w:rPr>
        <w:t xml:space="preserve">    在本次第三方评估进行期间，国务院于2024年6月16日发布《公平竞争审查条例》（国令783号，2024年8月1日施行），相较于此前的《公平竞争审查制度实施细则》等文件，《公平竞争审查条例》对审查标准等进行了调整完善，也明确了“</w:t>
      </w:r>
      <w:r>
        <w:rPr>
          <w:rFonts w:ascii="宋体" w:hAnsi="宋体" w:eastAsia="宋体"/>
          <w:sz w:val="30"/>
          <w:szCs w:val="30"/>
        </w:rPr>
        <w:t>县级以上人民政府将公平竞争审查工作情况纳入法治政府建设、优化营商环境等考核评价内容</w:t>
      </w:r>
      <w:r>
        <w:rPr>
          <w:rFonts w:hint="eastAsia" w:ascii="宋体" w:hAnsi="宋体" w:eastAsia="宋体"/>
          <w:sz w:val="30"/>
          <w:szCs w:val="30"/>
        </w:rPr>
        <w:t>”。同时，《公平竞争审查条例》作为一部行政法规，后续也将制定出台配套的实施细则，该实施细则应当会对公平竞争审查工作的约束监督保障机制作更为细化的规定，可能会在一定程度上扭转目前公平竞争审查机关“主观上不愿审，客观上审不了”的被动局面。</w:t>
      </w:r>
    </w:p>
    <w:p>
      <w:pPr>
        <w:pStyle w:val="2"/>
        <w:ind w:firstLine="602" w:firstLineChars="200"/>
        <w:rPr>
          <w:rFonts w:ascii="宋体" w:hAnsi="宋体" w:eastAsia="宋体" w:cs="Times New Roman (正文 CS 字体)"/>
          <w:sz w:val="30"/>
          <w:szCs w:val="30"/>
        </w:rPr>
      </w:pPr>
      <w:bookmarkStart w:id="11" w:name="_Hlk83824112"/>
      <w:bookmarkStart w:id="12" w:name="_Toc171935247"/>
      <w:bookmarkStart w:id="13" w:name="_Hlk164783173"/>
      <w:r>
        <w:rPr>
          <w:rFonts w:hint="eastAsia" w:ascii="宋体" w:hAnsi="宋体" w:eastAsia="宋体" w:cs="Times New Roman (正文 CS 字体)"/>
          <w:sz w:val="30"/>
          <w:szCs w:val="30"/>
        </w:rPr>
        <w:t>二、评估对象</w:t>
      </w:r>
      <w:bookmarkEnd w:id="11"/>
      <w:bookmarkEnd w:id="12"/>
      <w:bookmarkStart w:id="14" w:name="_Hlk164781512"/>
    </w:p>
    <w:bookmarkEnd w:id="13"/>
    <w:bookmarkEnd w:id="14"/>
    <w:p>
      <w:pPr>
        <w:spacing w:line="360" w:lineRule="auto"/>
        <w:ind w:firstLine="600" w:firstLineChars="200"/>
        <w:rPr>
          <w:rFonts w:ascii="宋体" w:hAnsi="宋体" w:eastAsia="宋体"/>
          <w:sz w:val="30"/>
          <w:szCs w:val="30"/>
        </w:rPr>
      </w:pPr>
      <w:r>
        <w:rPr>
          <w:rFonts w:hint="eastAsia" w:ascii="宋体" w:hAnsi="宋体" w:eastAsia="宋体"/>
          <w:sz w:val="30"/>
          <w:szCs w:val="30"/>
        </w:rPr>
        <w:t>本次公平竞争审查第三方评估所涉对象为随县公平竞争审查工作联席会议办公室所辖23个成员单位2023年5月</w:t>
      </w:r>
      <w:r>
        <w:rPr>
          <w:rFonts w:ascii="宋体" w:hAnsi="宋体" w:eastAsia="宋体"/>
          <w:sz w:val="30"/>
          <w:szCs w:val="30"/>
        </w:rPr>
        <w:t>1</w:t>
      </w:r>
      <w:r>
        <w:rPr>
          <w:rFonts w:hint="eastAsia" w:ascii="宋体" w:hAnsi="宋体" w:eastAsia="宋体"/>
          <w:sz w:val="30"/>
          <w:szCs w:val="30"/>
        </w:rPr>
        <w:t>日至2024年4月</w:t>
      </w:r>
      <w:r>
        <w:rPr>
          <w:rFonts w:ascii="宋体" w:hAnsi="宋体" w:eastAsia="宋体"/>
          <w:sz w:val="30"/>
          <w:szCs w:val="30"/>
        </w:rPr>
        <w:t>3</w:t>
      </w:r>
      <w:r>
        <w:rPr>
          <w:rFonts w:hint="eastAsia" w:ascii="宋体" w:hAnsi="宋体" w:eastAsia="宋体"/>
          <w:sz w:val="30"/>
          <w:szCs w:val="30"/>
        </w:rPr>
        <w:t>0日所发布的涉及市场主体经济活动的相关行政文件。</w:t>
      </w:r>
    </w:p>
    <w:p>
      <w:pPr>
        <w:pStyle w:val="2"/>
        <w:ind w:firstLine="602" w:firstLineChars="200"/>
        <w:rPr>
          <w:rFonts w:ascii="宋体" w:hAnsi="宋体" w:eastAsia="宋体" w:cs="Times New Roman (正文 CS 字体)"/>
          <w:sz w:val="30"/>
          <w:szCs w:val="30"/>
        </w:rPr>
      </w:pPr>
      <w:bookmarkStart w:id="15" w:name="_Toc171935248"/>
      <w:r>
        <w:rPr>
          <w:rFonts w:hint="eastAsia" w:ascii="宋体" w:hAnsi="宋体" w:eastAsia="宋体" w:cs="Times New Roman (正文 CS 字体)"/>
          <w:sz w:val="30"/>
          <w:szCs w:val="30"/>
        </w:rPr>
        <w:t>三、评估目标</w:t>
      </w:r>
      <w:bookmarkEnd w:id="15"/>
    </w:p>
    <w:p>
      <w:pPr>
        <w:spacing w:line="360" w:lineRule="auto"/>
        <w:ind w:firstLine="600" w:firstLineChars="200"/>
        <w:rPr>
          <w:rFonts w:ascii="宋体" w:hAnsi="宋体" w:eastAsia="宋体"/>
          <w:sz w:val="30"/>
          <w:szCs w:val="30"/>
        </w:rPr>
      </w:pPr>
      <w:r>
        <w:rPr>
          <w:rFonts w:hint="eastAsia" w:ascii="宋体" w:hAnsi="宋体" w:eastAsia="宋体"/>
          <w:sz w:val="30"/>
          <w:szCs w:val="30"/>
        </w:rPr>
        <w:t>本次评估的目标是厘清随县公平竞争审查联席会议下辖的23个成员单位的存量政策措施，秉持“提出问题、分析问题、解决问题”的原则，依照《公平竞争审查第三方评估实施指南》《公平竞争审查制度实施细则》等相关文件的规定，对23个成员单位所发布的存量政策措施进行公平竞争审查，并根据审查情况做出评估并提出可复制推广的完善建议。</w:t>
      </w:r>
    </w:p>
    <w:p>
      <w:pPr>
        <w:spacing w:line="360" w:lineRule="auto"/>
        <w:ind w:firstLine="600" w:firstLineChars="200"/>
        <w:rPr>
          <w:rFonts w:ascii="宋体" w:hAnsi="宋体" w:eastAsia="宋体"/>
          <w:sz w:val="30"/>
          <w:szCs w:val="30"/>
        </w:rPr>
      </w:pPr>
    </w:p>
    <w:p>
      <w:pPr>
        <w:pStyle w:val="2"/>
        <w:ind w:firstLine="602" w:firstLineChars="200"/>
        <w:rPr>
          <w:rFonts w:ascii="宋体" w:hAnsi="宋体" w:eastAsia="宋体" w:cs="Times New Roman (正文 CS 字体)"/>
          <w:sz w:val="30"/>
          <w:szCs w:val="30"/>
        </w:rPr>
      </w:pPr>
      <w:bookmarkStart w:id="16" w:name="_Toc171935249"/>
      <w:r>
        <w:rPr>
          <w:rFonts w:hint="eastAsia" w:ascii="宋体" w:hAnsi="宋体" w:eastAsia="宋体" w:cs="Times New Roman (正文 CS 字体)"/>
          <w:sz w:val="30"/>
          <w:szCs w:val="30"/>
        </w:rPr>
        <w:t>四、评估方法</w:t>
      </w:r>
      <w:bookmarkEnd w:id="16"/>
    </w:p>
    <w:p>
      <w:pPr>
        <w:rPr>
          <w:rFonts w:ascii="宋体" w:hAnsi="宋体" w:eastAsia="宋体"/>
          <w:sz w:val="30"/>
          <w:szCs w:val="30"/>
        </w:rPr>
      </w:pPr>
      <w:r>
        <w:rPr>
          <w:rFonts w:hint="eastAsia"/>
        </w:rPr>
        <w:t xml:space="preserve">     </w:t>
      </w:r>
      <w:r>
        <w:rPr>
          <w:rFonts w:hint="eastAsia" w:ascii="宋体" w:hAnsi="宋体" w:eastAsia="宋体"/>
          <w:sz w:val="30"/>
          <w:szCs w:val="30"/>
        </w:rPr>
        <w:t xml:space="preserve"> 本次第三方评估项目组采取定性分析以及定量分析的方法开展评估工作，具体方法如下：</w:t>
      </w:r>
    </w:p>
    <w:p>
      <w:pPr>
        <w:ind w:firstLine="600" w:firstLineChars="200"/>
        <w:rPr>
          <w:rFonts w:ascii="宋体" w:hAnsi="宋体" w:eastAsia="宋体"/>
          <w:sz w:val="30"/>
          <w:szCs w:val="30"/>
        </w:rPr>
      </w:pPr>
      <w:r>
        <w:rPr>
          <w:rFonts w:ascii="宋体" w:hAnsi="宋体" w:eastAsia="宋体"/>
          <w:sz w:val="30"/>
          <w:szCs w:val="30"/>
        </w:rPr>
        <w:t>1.梳理</w:t>
      </w:r>
      <w:r>
        <w:rPr>
          <w:rFonts w:hint="eastAsia" w:ascii="宋体" w:hAnsi="宋体" w:eastAsia="宋体"/>
          <w:sz w:val="30"/>
          <w:szCs w:val="30"/>
        </w:rPr>
        <w:t>23个成员单位在2023年5月1日至2023年4月30日所制发的</w:t>
      </w:r>
      <w:r>
        <w:rPr>
          <w:rFonts w:ascii="宋体" w:hAnsi="宋体" w:eastAsia="宋体"/>
          <w:sz w:val="30"/>
          <w:szCs w:val="30"/>
        </w:rPr>
        <w:t>行政文件以及“一事一议”形式的具体政策措施，作为</w:t>
      </w:r>
      <w:r>
        <w:rPr>
          <w:rFonts w:hint="eastAsia" w:ascii="宋体" w:hAnsi="宋体" w:eastAsia="宋体"/>
          <w:sz w:val="30"/>
          <w:szCs w:val="30"/>
        </w:rPr>
        <w:t>评估</w:t>
      </w:r>
      <w:r>
        <w:rPr>
          <w:rFonts w:ascii="宋体" w:hAnsi="宋体" w:eastAsia="宋体"/>
          <w:sz w:val="30"/>
          <w:szCs w:val="30"/>
        </w:rPr>
        <w:t>对象。</w:t>
      </w:r>
    </w:p>
    <w:p>
      <w:pPr>
        <w:ind w:firstLine="600" w:firstLineChars="200"/>
        <w:rPr>
          <w:rFonts w:ascii="宋体" w:hAnsi="宋体" w:eastAsia="宋体"/>
          <w:sz w:val="30"/>
          <w:szCs w:val="30"/>
        </w:rPr>
      </w:pPr>
      <w:r>
        <w:rPr>
          <w:rFonts w:ascii="宋体" w:hAnsi="宋体" w:eastAsia="宋体"/>
          <w:sz w:val="30"/>
          <w:szCs w:val="30"/>
        </w:rPr>
        <w:t>2.遵循《国务院关于在市场体系建设中建立公平竞争审查制度的意见》所明确的基本分析框架以及《公平竞争审查制度实施细则》中规定的审查基本流程以及审查标准，运用定性分析的方法，通过梳理、提炼、归纳相关材料，对照审查标准，从行政文件以及“一事一议”形式的具体政策措施对于市场竞争状况的影响、对于法治政府建设和营商环境优化的影响等角度形成客观评价。</w:t>
      </w:r>
    </w:p>
    <w:p>
      <w:pPr>
        <w:ind w:firstLine="600" w:firstLineChars="200"/>
        <w:rPr>
          <w:rFonts w:ascii="宋体" w:hAnsi="宋体" w:eastAsia="宋体"/>
          <w:sz w:val="30"/>
          <w:szCs w:val="30"/>
        </w:rPr>
      </w:pPr>
      <w:r>
        <w:rPr>
          <w:rFonts w:ascii="宋体" w:hAnsi="宋体" w:eastAsia="宋体"/>
          <w:sz w:val="30"/>
          <w:szCs w:val="30"/>
        </w:rPr>
        <w:t>3.通过定量分析的方法，统计各政策制定机关存量政策措施总量以及违反公平竞争审查的政策措施</w:t>
      </w:r>
      <w:r>
        <w:rPr>
          <w:rFonts w:hint="eastAsia" w:ascii="宋体" w:hAnsi="宋体" w:eastAsia="宋体"/>
          <w:sz w:val="30"/>
          <w:szCs w:val="30"/>
        </w:rPr>
        <w:t>所占</w:t>
      </w:r>
      <w:r>
        <w:rPr>
          <w:rFonts w:ascii="宋体" w:hAnsi="宋体" w:eastAsia="宋体"/>
          <w:sz w:val="30"/>
          <w:szCs w:val="30"/>
        </w:rPr>
        <w:t>比例等数据，以便更加直观地展示</w:t>
      </w:r>
      <w:r>
        <w:rPr>
          <w:rFonts w:hint="eastAsia" w:ascii="宋体" w:hAnsi="宋体" w:eastAsia="宋体"/>
          <w:sz w:val="30"/>
          <w:szCs w:val="30"/>
        </w:rPr>
        <w:t>随县</w:t>
      </w:r>
      <w:r>
        <w:rPr>
          <w:rFonts w:ascii="宋体" w:hAnsi="宋体" w:eastAsia="宋体"/>
          <w:sz w:val="30"/>
          <w:szCs w:val="30"/>
        </w:rPr>
        <w:t>公平竞争审查</w:t>
      </w:r>
      <w:r>
        <w:rPr>
          <w:rFonts w:hint="eastAsia" w:ascii="宋体" w:hAnsi="宋体" w:eastAsia="宋体"/>
          <w:sz w:val="30"/>
          <w:szCs w:val="30"/>
        </w:rPr>
        <w:t>工作的开展情况</w:t>
      </w:r>
      <w:r>
        <w:rPr>
          <w:rFonts w:ascii="宋体" w:hAnsi="宋体" w:eastAsia="宋体"/>
          <w:sz w:val="30"/>
          <w:szCs w:val="30"/>
        </w:rPr>
        <w:t>。</w:t>
      </w:r>
    </w:p>
    <w:p>
      <w:pPr>
        <w:ind w:firstLine="600" w:firstLineChars="200"/>
        <w:rPr>
          <w:rFonts w:ascii="宋体" w:hAnsi="宋体" w:eastAsia="宋体"/>
          <w:sz w:val="30"/>
          <w:szCs w:val="30"/>
        </w:rPr>
      </w:pPr>
    </w:p>
    <w:p>
      <w:pPr>
        <w:ind w:firstLine="600" w:firstLineChars="200"/>
        <w:rPr>
          <w:rFonts w:ascii="宋体" w:hAnsi="宋体" w:eastAsia="宋体"/>
          <w:sz w:val="30"/>
          <w:szCs w:val="30"/>
        </w:rPr>
      </w:pPr>
    </w:p>
    <w:p>
      <w:pPr>
        <w:ind w:firstLine="600" w:firstLineChars="200"/>
        <w:rPr>
          <w:rFonts w:ascii="宋体" w:hAnsi="宋体" w:eastAsia="宋体"/>
          <w:sz w:val="30"/>
          <w:szCs w:val="30"/>
        </w:rPr>
      </w:pPr>
    </w:p>
    <w:p>
      <w:pPr>
        <w:ind w:firstLine="600" w:firstLineChars="200"/>
        <w:rPr>
          <w:rFonts w:ascii="宋体" w:hAnsi="宋体" w:eastAsia="宋体"/>
          <w:sz w:val="30"/>
          <w:szCs w:val="30"/>
        </w:rPr>
      </w:pPr>
    </w:p>
    <w:p>
      <w:pPr>
        <w:ind w:firstLine="600" w:firstLineChars="200"/>
        <w:rPr>
          <w:rFonts w:ascii="宋体" w:hAnsi="宋体" w:eastAsia="宋体"/>
          <w:sz w:val="30"/>
          <w:szCs w:val="30"/>
        </w:rPr>
      </w:pPr>
    </w:p>
    <w:p>
      <w:pPr>
        <w:ind w:firstLine="480" w:firstLineChars="200"/>
        <w:jc w:val="center"/>
        <w:rPr>
          <w:rFonts w:ascii="宋体" w:hAnsi="宋体" w:eastAsia="宋体"/>
          <w:sz w:val="30"/>
          <w:szCs w:val="30"/>
        </w:rPr>
      </w:pPr>
      <w:r>
        <w:rPr>
          <w:rFonts w:ascii="Times New Roman" w:hAnsi="Times New Roman" w:eastAsia="宋体" w:cs="Times New Roman"/>
          <w:sz w:val="24"/>
          <w:szCs w:val="24"/>
        </w:rPr>
        <w:drawing>
          <wp:inline distT="0" distB="0" distL="0" distR="0">
            <wp:extent cx="4402455" cy="4483100"/>
            <wp:effectExtent l="0" t="0" r="0" b="0"/>
            <wp:docPr id="66343417" name="图片 66343417"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3417" name="图片 66343417" descr="图示&#10;&#10;描述已自动生成"/>
                    <pic:cNvPicPr>
                      <a:picLocks noChangeAspect="1"/>
                    </pic:cNvPicPr>
                  </pic:nvPicPr>
                  <pic:blipFill>
                    <a:blip r:embed="rId4" cstate="print"/>
                    <a:stretch>
                      <a:fillRect/>
                    </a:stretch>
                  </pic:blipFill>
                  <pic:spPr>
                    <a:xfrm>
                      <a:off x="0" y="0"/>
                      <a:ext cx="4406478" cy="4487117"/>
                    </a:xfrm>
                    <a:prstGeom prst="rect">
                      <a:avLst/>
                    </a:prstGeom>
                  </pic:spPr>
                </pic:pic>
              </a:graphicData>
            </a:graphic>
          </wp:inline>
        </w:drawing>
      </w:r>
    </w:p>
    <w:p>
      <w:pPr>
        <w:ind w:firstLine="600" w:firstLineChars="200"/>
        <w:rPr>
          <w:rFonts w:ascii="宋体" w:hAnsi="宋体" w:eastAsia="宋体"/>
          <w:sz w:val="30"/>
          <w:szCs w:val="30"/>
        </w:rPr>
      </w:pPr>
    </w:p>
    <w:p>
      <w:pPr>
        <w:ind w:firstLine="600" w:firstLineChars="200"/>
        <w:rPr>
          <w:rFonts w:ascii="宋体" w:hAnsi="宋体" w:eastAsia="宋体"/>
          <w:sz w:val="30"/>
          <w:szCs w:val="30"/>
        </w:rPr>
      </w:pPr>
    </w:p>
    <w:p>
      <w:pPr>
        <w:ind w:firstLine="600" w:firstLineChars="200"/>
        <w:rPr>
          <w:rFonts w:ascii="宋体" w:hAnsi="宋体" w:eastAsia="宋体"/>
          <w:sz w:val="30"/>
          <w:szCs w:val="30"/>
        </w:rPr>
      </w:pPr>
    </w:p>
    <w:p>
      <w:pPr>
        <w:ind w:firstLine="600" w:firstLineChars="200"/>
        <w:rPr>
          <w:rFonts w:ascii="宋体" w:hAnsi="宋体" w:eastAsia="宋体"/>
          <w:sz w:val="30"/>
          <w:szCs w:val="30"/>
        </w:rPr>
      </w:pPr>
    </w:p>
    <w:p>
      <w:pPr>
        <w:ind w:firstLine="600" w:firstLineChars="200"/>
        <w:rPr>
          <w:rFonts w:ascii="宋体" w:hAnsi="宋体" w:eastAsia="宋体"/>
          <w:sz w:val="30"/>
          <w:szCs w:val="30"/>
        </w:rPr>
      </w:pPr>
    </w:p>
    <w:p>
      <w:pPr>
        <w:ind w:firstLine="600" w:firstLineChars="200"/>
        <w:rPr>
          <w:rFonts w:ascii="宋体" w:hAnsi="宋体" w:eastAsia="宋体"/>
          <w:sz w:val="30"/>
          <w:szCs w:val="30"/>
        </w:rPr>
      </w:pPr>
    </w:p>
    <w:p>
      <w:pPr>
        <w:ind w:firstLine="600" w:firstLineChars="200"/>
        <w:rPr>
          <w:rFonts w:ascii="宋体" w:hAnsi="宋体" w:eastAsia="宋体"/>
          <w:sz w:val="30"/>
          <w:szCs w:val="30"/>
        </w:rPr>
      </w:pPr>
    </w:p>
    <w:p>
      <w:pPr>
        <w:ind w:firstLine="600" w:firstLineChars="200"/>
        <w:rPr>
          <w:rFonts w:ascii="宋体" w:hAnsi="宋体" w:eastAsia="宋体"/>
          <w:sz w:val="30"/>
          <w:szCs w:val="30"/>
        </w:rPr>
      </w:pPr>
    </w:p>
    <w:p>
      <w:pPr>
        <w:ind w:firstLine="600" w:firstLineChars="200"/>
        <w:rPr>
          <w:rFonts w:ascii="宋体" w:hAnsi="宋体" w:eastAsia="宋体"/>
          <w:sz w:val="30"/>
          <w:szCs w:val="30"/>
        </w:rPr>
      </w:pPr>
    </w:p>
    <w:p>
      <w:pPr>
        <w:ind w:firstLine="600" w:firstLineChars="200"/>
        <w:rPr>
          <w:rFonts w:ascii="宋体" w:hAnsi="宋体" w:eastAsia="宋体"/>
          <w:sz w:val="30"/>
          <w:szCs w:val="30"/>
        </w:rPr>
      </w:pPr>
    </w:p>
    <w:p>
      <w:pPr>
        <w:pStyle w:val="2"/>
        <w:ind w:firstLine="602" w:firstLineChars="200"/>
        <w:rPr>
          <w:rFonts w:ascii="宋体" w:hAnsi="宋体" w:eastAsia="宋体" w:cs="Times New Roman (正文 CS 字体)"/>
          <w:sz w:val="30"/>
          <w:szCs w:val="30"/>
        </w:rPr>
      </w:pPr>
      <w:bookmarkStart w:id="17" w:name="_Toc171935250"/>
      <w:r>
        <w:rPr>
          <w:rFonts w:hint="eastAsia" w:ascii="宋体" w:hAnsi="宋体" w:eastAsia="宋体" w:cs="Times New Roman (正文 CS 字体)"/>
          <w:sz w:val="30"/>
          <w:szCs w:val="30"/>
        </w:rPr>
        <w:t>五、各成员单位2023年5月1日至2024年4月30日发文数据汇总与对比</w:t>
      </w:r>
      <w:bookmarkEnd w:id="17"/>
    </w:p>
    <w:p>
      <w:pPr>
        <w:pStyle w:val="3"/>
        <w:spacing w:line="415" w:lineRule="auto"/>
        <w:ind w:firstLine="280" w:firstLineChars="100"/>
        <w:rPr>
          <w:rFonts w:ascii="黑体" w:hAnsi="黑体" w:eastAsia="黑体"/>
          <w:b w:val="0"/>
          <w:bCs w:val="0"/>
          <w:sz w:val="28"/>
          <w:szCs w:val="28"/>
        </w:rPr>
      </w:pPr>
      <w:bookmarkStart w:id="18" w:name="_Toc171935251"/>
      <w:r>
        <w:rPr>
          <w:rFonts w:hint="eastAsia" w:ascii="黑体" w:hAnsi="黑体" w:eastAsia="黑体"/>
          <w:b w:val="0"/>
          <w:bCs w:val="0"/>
          <w:sz w:val="28"/>
          <w:szCs w:val="28"/>
        </w:rPr>
        <w:t>（一）各成员单位2023年5月1日至2024年4月30日发文情况汇总</w:t>
      </w:r>
      <w:bookmarkEnd w:id="18"/>
    </w:p>
    <w:p/>
    <w:p>
      <w:pPr>
        <w:spacing w:line="360" w:lineRule="auto"/>
        <w:jc w:val="left"/>
        <w:rPr>
          <w:rFonts w:ascii="宋体" w:hAnsi="宋体" w:eastAsia="宋体"/>
          <w:b/>
          <w:bCs/>
          <w:sz w:val="30"/>
          <w:szCs w:val="30"/>
        </w:rPr>
      </w:pPr>
      <w:r>
        <w:rPr>
          <w:rFonts w:ascii="宋体" w:hAnsi="宋体" w:eastAsia="宋体"/>
          <w:b/>
          <w:bCs/>
          <w:sz w:val="30"/>
          <w:szCs w:val="30"/>
        </w:rPr>
        <w:drawing>
          <wp:inline distT="0" distB="0" distL="0" distR="0">
            <wp:extent cx="5410200" cy="4295775"/>
            <wp:effectExtent l="0" t="0" r="1270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360" w:lineRule="auto"/>
        <w:jc w:val="left"/>
        <w:rPr>
          <w:rFonts w:ascii="宋体" w:hAnsi="宋体" w:eastAsia="宋体"/>
          <w:b/>
          <w:bCs/>
          <w:sz w:val="30"/>
          <w:szCs w:val="30"/>
        </w:rPr>
      </w:pPr>
      <w:r>
        <w:rPr>
          <w:rFonts w:ascii="宋体" w:hAnsi="宋体" w:eastAsia="宋体"/>
          <w:b/>
          <w:bCs/>
          <w:sz w:val="30"/>
          <w:szCs w:val="30"/>
        </w:rPr>
        <w:drawing>
          <wp:inline distT="0" distB="0" distL="0" distR="0">
            <wp:extent cx="6045200" cy="5219700"/>
            <wp:effectExtent l="12700" t="12700" r="12700" b="1270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3"/>
        <w:spacing w:line="415" w:lineRule="auto"/>
        <w:ind w:firstLine="280" w:firstLineChars="100"/>
        <w:rPr>
          <w:rFonts w:ascii="黑体" w:hAnsi="黑体" w:eastAsia="黑体"/>
          <w:b w:val="0"/>
          <w:bCs w:val="0"/>
          <w:sz w:val="28"/>
          <w:szCs w:val="28"/>
        </w:rPr>
      </w:pPr>
      <w:bookmarkStart w:id="19" w:name="_Toc171935252"/>
      <w:bookmarkStart w:id="20" w:name="_Hlk164865588"/>
      <w:r>
        <w:rPr>
          <w:rFonts w:hint="eastAsia" w:ascii="黑体" w:hAnsi="黑体" w:eastAsia="黑体"/>
          <w:b w:val="0"/>
          <w:bCs w:val="0"/>
          <w:sz w:val="28"/>
          <w:szCs w:val="28"/>
        </w:rPr>
        <w:t>（二）各成员单位三次评估发文情况对比</w:t>
      </w:r>
      <w:bookmarkEnd w:id="19"/>
    </w:p>
    <w:bookmarkEnd w:id="20"/>
    <w:p>
      <w:r>
        <w:rPr>
          <w:rFonts w:ascii="宋体" w:hAnsi="宋体" w:eastAsia="宋体"/>
          <w:b/>
          <w:bCs/>
          <w:sz w:val="30"/>
          <w:szCs w:val="30"/>
        </w:rPr>
        <w:drawing>
          <wp:inline distT="0" distB="0" distL="0" distR="0">
            <wp:extent cx="6210300" cy="5346700"/>
            <wp:effectExtent l="0" t="0" r="0" b="6350"/>
            <wp:docPr id="1996192039" name="图表 199619203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
        <w:rPr>
          <w:rFonts w:ascii="宋体" w:hAnsi="宋体" w:eastAsia="宋体"/>
          <w:b/>
          <w:bCs/>
          <w:sz w:val="30"/>
          <w:szCs w:val="30"/>
        </w:rPr>
        <w:drawing>
          <wp:inline distT="0" distB="0" distL="0" distR="0">
            <wp:extent cx="5734050" cy="6057900"/>
            <wp:effectExtent l="0" t="0" r="0" b="0"/>
            <wp:docPr id="2073940969" name="图表 207394096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
        <w:rPr>
          <w:rFonts w:ascii="宋体" w:hAnsi="宋体" w:eastAsia="宋体"/>
          <w:b/>
          <w:bCs/>
          <w:sz w:val="30"/>
          <w:szCs w:val="30"/>
        </w:rPr>
        <w:drawing>
          <wp:inline distT="0" distB="0" distL="0" distR="0">
            <wp:extent cx="5911850" cy="5276850"/>
            <wp:effectExtent l="0" t="0" r="12700" b="0"/>
            <wp:docPr id="1318525677" name="图表 131852567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
      <w:r>
        <w:rPr>
          <w:rFonts w:ascii="宋体" w:hAnsi="宋体" w:eastAsia="宋体"/>
          <w:b/>
          <w:bCs/>
          <w:sz w:val="30"/>
          <w:szCs w:val="30"/>
        </w:rPr>
        <w:drawing>
          <wp:inline distT="0" distB="0" distL="0" distR="0">
            <wp:extent cx="5651500" cy="5822950"/>
            <wp:effectExtent l="0" t="0" r="6350" b="6350"/>
            <wp:docPr id="1083040830" name="图表 10830408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
      <w:pPr>
        <w:pStyle w:val="3"/>
        <w:spacing w:line="415" w:lineRule="auto"/>
        <w:ind w:firstLine="280" w:firstLineChars="100"/>
        <w:rPr>
          <w:rFonts w:ascii="黑体" w:hAnsi="黑体" w:eastAsia="黑体"/>
          <w:b w:val="0"/>
          <w:bCs w:val="0"/>
          <w:sz w:val="28"/>
          <w:szCs w:val="28"/>
        </w:rPr>
      </w:pPr>
      <w:bookmarkStart w:id="21" w:name="_Toc171935253"/>
      <w:r>
        <w:rPr>
          <w:rFonts w:hint="eastAsia" w:ascii="黑体" w:hAnsi="黑体" w:eastAsia="黑体"/>
          <w:b w:val="0"/>
          <w:bCs w:val="0"/>
          <w:sz w:val="28"/>
          <w:szCs w:val="28"/>
        </w:rPr>
        <w:t>（三）总结</w:t>
      </w:r>
      <w:bookmarkEnd w:id="21"/>
    </w:p>
    <w:p>
      <w:pPr>
        <w:ind w:firstLine="600" w:firstLineChars="200"/>
        <w:rPr>
          <w:rFonts w:ascii="宋体" w:hAnsi="宋体" w:eastAsia="宋体"/>
          <w:sz w:val="30"/>
          <w:szCs w:val="30"/>
        </w:rPr>
      </w:pPr>
      <w:r>
        <w:rPr>
          <w:rFonts w:hint="eastAsia" w:ascii="宋体" w:hAnsi="宋体" w:eastAsia="宋体"/>
          <w:sz w:val="30"/>
          <w:szCs w:val="30"/>
        </w:rPr>
        <w:t>23个成员单位在2023年5月1日至2024年4月30日期间累计发文1101件（已剔除党组、人事任免等类型的发文），本次评估项目组从中筛选出40份涉及市场主体经济活动的文件。对比前两次评估的数据，可以看出各成员单位的累计发文总量波动较小（2022评估：746件，2023评估：1103件，2024评估：1101件），特定是2023年和2024年的发文总量基本相同。具体到各成员单位自身的发文量而言，可以看出大部分成员单位在2023年5月1日至2024年4月30日期间的发文总量都有所上升。而就所筛选出的涉及市场主体经济活动的文件总量而言，相比2023评估减少了6件，与2022评估的数量大体相当（2022评估：46件，2023评估：34件，2024评估：40件）。在三次实地走访收集评估材料的过程中，评估项目组明显发现仅就成员单位提供材料的积极性而言，公平竞争审查工作在不同单位就存在较为明显的冷暖不一的情况，这也就导致部分成员单位在三次评估中的文件数量波动特别大，不利于评估项目组制作出一份客观、准确的评估报告。</w:t>
      </w:r>
    </w:p>
    <w:p>
      <w:pPr>
        <w:spacing w:line="360" w:lineRule="auto"/>
        <w:jc w:val="left"/>
        <w:rPr>
          <w:rFonts w:ascii="宋体" w:hAnsi="宋体" w:eastAsia="宋体"/>
          <w:b/>
          <w:bCs/>
          <w:sz w:val="30"/>
          <w:szCs w:val="30"/>
        </w:rPr>
      </w:pPr>
    </w:p>
    <w:p>
      <w:pPr>
        <w:pStyle w:val="2"/>
        <w:ind w:firstLine="602" w:firstLineChars="200"/>
        <w:rPr>
          <w:rFonts w:ascii="宋体" w:hAnsi="宋体" w:eastAsia="宋体" w:cs="Times New Roman (正文 CS 字体)"/>
          <w:sz w:val="30"/>
          <w:szCs w:val="30"/>
        </w:rPr>
      </w:pPr>
      <w:bookmarkStart w:id="22" w:name="_Toc171935254"/>
      <w:bookmarkStart w:id="23" w:name="_Hlk165017366"/>
      <w:r>
        <w:rPr>
          <w:rFonts w:hint="eastAsia" w:ascii="宋体" w:hAnsi="宋体" w:eastAsia="宋体" w:cs="Times New Roman (正文 CS 字体)"/>
          <w:sz w:val="30"/>
          <w:szCs w:val="30"/>
        </w:rPr>
        <w:t>六、涉嫌违反公平竞争原则的行政文件的个案分析</w:t>
      </w:r>
      <w:bookmarkEnd w:id="22"/>
    </w:p>
    <w:bookmarkEnd w:id="23"/>
    <w:p>
      <w:pPr>
        <w:pStyle w:val="3"/>
        <w:spacing w:line="415" w:lineRule="auto"/>
        <w:ind w:firstLine="280" w:firstLineChars="100"/>
        <w:rPr>
          <w:rFonts w:ascii="黑体" w:hAnsi="黑体" w:eastAsia="黑体"/>
          <w:b w:val="0"/>
          <w:bCs w:val="0"/>
          <w:sz w:val="28"/>
          <w:szCs w:val="28"/>
        </w:rPr>
      </w:pPr>
      <w:bookmarkStart w:id="24" w:name="_Toc171935255"/>
      <w:bookmarkStart w:id="25" w:name="_Hlk164930825"/>
      <w:r>
        <w:rPr>
          <w:rFonts w:hint="eastAsia" w:ascii="黑体" w:hAnsi="黑体" w:eastAsia="黑体"/>
          <w:b w:val="0"/>
          <w:bCs w:val="0"/>
          <w:sz w:val="28"/>
          <w:szCs w:val="28"/>
        </w:rPr>
        <w:t>（一）案例一</w:t>
      </w:r>
      <w:bookmarkEnd w:id="24"/>
    </w:p>
    <w:p>
      <w:pPr>
        <w:ind w:firstLine="602" w:firstLineChars="200"/>
        <w:rPr>
          <w:rFonts w:ascii="宋体" w:hAnsi="宋体" w:eastAsia="宋体"/>
          <w:sz w:val="30"/>
          <w:szCs w:val="30"/>
        </w:rPr>
      </w:pPr>
      <w:r>
        <w:rPr>
          <w:rFonts w:hint="eastAsia" w:ascii="宋体" w:hAnsi="宋体" w:eastAsia="宋体"/>
          <w:b/>
          <w:bCs/>
          <w:sz w:val="30"/>
          <w:szCs w:val="30"/>
        </w:rPr>
        <w:t>文件名称：</w:t>
      </w:r>
      <w:r>
        <w:rPr>
          <w:rFonts w:hint="eastAsia" w:ascii="宋体" w:hAnsi="宋体" w:eastAsia="宋体"/>
          <w:sz w:val="30"/>
          <w:szCs w:val="30"/>
        </w:rPr>
        <w:t>随县招商引资若干政策规定</w:t>
      </w:r>
    </w:p>
    <w:p>
      <w:pPr>
        <w:ind w:firstLine="602" w:firstLineChars="200"/>
        <w:rPr>
          <w:rFonts w:ascii="宋体" w:hAnsi="宋体" w:eastAsia="宋体"/>
          <w:sz w:val="30"/>
          <w:szCs w:val="30"/>
        </w:rPr>
      </w:pPr>
      <w:r>
        <w:rPr>
          <w:rFonts w:hint="eastAsia" w:ascii="宋体" w:hAnsi="宋体" w:eastAsia="宋体"/>
          <w:b/>
          <w:bCs/>
          <w:sz w:val="30"/>
          <w:szCs w:val="30"/>
        </w:rPr>
        <w:t>文号：</w:t>
      </w:r>
      <w:r>
        <w:rPr>
          <w:rFonts w:hint="eastAsia" w:ascii="宋体" w:hAnsi="宋体" w:eastAsia="宋体"/>
          <w:sz w:val="30"/>
          <w:szCs w:val="30"/>
        </w:rPr>
        <w:t>随县政发[2024]1号</w:t>
      </w:r>
    </w:p>
    <w:p>
      <w:pPr>
        <w:ind w:firstLine="602" w:firstLineChars="200"/>
        <w:rPr>
          <w:rFonts w:ascii="宋体" w:hAnsi="宋体" w:eastAsia="宋体"/>
          <w:sz w:val="30"/>
          <w:szCs w:val="30"/>
        </w:rPr>
      </w:pPr>
      <w:r>
        <w:rPr>
          <w:rFonts w:hint="eastAsia" w:ascii="宋体" w:hAnsi="宋体" w:eastAsia="宋体"/>
          <w:b/>
          <w:bCs/>
          <w:sz w:val="30"/>
          <w:szCs w:val="30"/>
        </w:rPr>
        <w:t>发布时间：</w:t>
      </w:r>
      <w:r>
        <w:rPr>
          <w:rFonts w:hint="eastAsia" w:ascii="宋体" w:hAnsi="宋体" w:eastAsia="宋体"/>
          <w:sz w:val="30"/>
          <w:szCs w:val="30"/>
        </w:rPr>
        <w:t>2024年2月23日</w:t>
      </w:r>
    </w:p>
    <w:p>
      <w:pPr>
        <w:ind w:firstLine="602" w:firstLineChars="200"/>
        <w:rPr>
          <w:rFonts w:ascii="宋体" w:hAnsi="宋体" w:eastAsia="宋体"/>
          <w:sz w:val="30"/>
          <w:szCs w:val="30"/>
        </w:rPr>
      </w:pPr>
      <w:r>
        <w:rPr>
          <w:rFonts w:hint="eastAsia" w:ascii="宋体" w:hAnsi="宋体" w:eastAsia="宋体"/>
          <w:b/>
          <w:bCs/>
          <w:sz w:val="30"/>
          <w:szCs w:val="30"/>
        </w:rPr>
        <w:t>发布单位：</w:t>
      </w:r>
      <w:r>
        <w:rPr>
          <w:rFonts w:hint="eastAsia" w:ascii="宋体" w:hAnsi="宋体" w:eastAsia="宋体"/>
          <w:sz w:val="30"/>
          <w:szCs w:val="30"/>
        </w:rPr>
        <w:t>随县人民政府（随县招商服务中心代为起草）</w:t>
      </w:r>
    </w:p>
    <w:p>
      <w:pPr>
        <w:ind w:firstLine="602" w:firstLineChars="200"/>
        <w:rPr>
          <w:rFonts w:ascii="宋体" w:hAnsi="宋体" w:eastAsia="宋体"/>
          <w:sz w:val="30"/>
          <w:szCs w:val="30"/>
        </w:rPr>
      </w:pPr>
      <w:r>
        <w:rPr>
          <w:rFonts w:hint="eastAsia" w:ascii="宋体" w:hAnsi="宋体" w:eastAsia="宋体"/>
          <w:b/>
          <w:bCs/>
          <w:sz w:val="30"/>
          <w:szCs w:val="30"/>
        </w:rPr>
        <w:t>涉及行业领域：</w:t>
      </w:r>
      <w:r>
        <w:rPr>
          <w:rFonts w:hint="eastAsia" w:ascii="宋体" w:hAnsi="宋体" w:eastAsia="宋体"/>
          <w:sz w:val="30"/>
          <w:szCs w:val="30"/>
        </w:rPr>
        <w:t>工业制造</w:t>
      </w:r>
    </w:p>
    <w:p>
      <w:pPr>
        <w:ind w:firstLine="602" w:firstLineChars="200"/>
        <w:rPr>
          <w:rFonts w:ascii="宋体" w:hAnsi="宋体" w:eastAsia="宋体"/>
          <w:b/>
          <w:bCs/>
          <w:sz w:val="30"/>
          <w:szCs w:val="30"/>
        </w:rPr>
      </w:pPr>
      <w:r>
        <w:rPr>
          <w:rFonts w:hint="eastAsia" w:ascii="宋体" w:hAnsi="宋体" w:eastAsia="宋体"/>
          <w:b/>
          <w:bCs/>
          <w:sz w:val="30"/>
          <w:szCs w:val="30"/>
        </w:rPr>
        <w:t>涉嫌违反公平竞争原则的规定的内容：</w:t>
      </w:r>
    </w:p>
    <w:p>
      <w:pPr>
        <w:ind w:firstLine="600" w:firstLineChars="200"/>
        <w:rPr>
          <w:rFonts w:ascii="宋体" w:hAnsi="宋体" w:eastAsia="宋体"/>
          <w:sz w:val="30"/>
          <w:szCs w:val="30"/>
        </w:rPr>
      </w:pPr>
      <w:r>
        <w:rPr>
          <w:rFonts w:hint="eastAsia" w:ascii="宋体" w:hAnsi="宋体" w:eastAsia="宋体"/>
          <w:sz w:val="30"/>
          <w:szCs w:val="30"/>
        </w:rPr>
        <w:t>第十三条 对从</w:t>
      </w:r>
      <w:r>
        <w:rPr>
          <w:rFonts w:hint="eastAsia" w:ascii="宋体" w:hAnsi="宋体" w:eastAsia="宋体"/>
          <w:b/>
          <w:bCs/>
          <w:sz w:val="30"/>
          <w:szCs w:val="30"/>
        </w:rPr>
        <w:t>随县外搬迁落户随县的工业企业</w:t>
      </w:r>
      <w:r>
        <w:rPr>
          <w:rFonts w:hint="eastAsia" w:ascii="宋体" w:hAnsi="宋体" w:eastAsia="宋体"/>
          <w:sz w:val="30"/>
          <w:szCs w:val="30"/>
        </w:rPr>
        <w:t>，在按期完成固定资产投资且实现税收后，</w:t>
      </w:r>
      <w:r>
        <w:rPr>
          <w:rFonts w:hint="eastAsia" w:ascii="宋体" w:hAnsi="宋体" w:eastAsia="宋体"/>
          <w:b/>
          <w:bCs/>
          <w:sz w:val="30"/>
          <w:szCs w:val="30"/>
        </w:rPr>
        <w:t>对重要生产设备搬迁给予一定的支持，金额最高不超过100万元</w:t>
      </w:r>
    </w:p>
    <w:p>
      <w:pPr>
        <w:ind w:firstLine="602" w:firstLineChars="200"/>
        <w:rPr>
          <w:rFonts w:ascii="宋体" w:hAnsi="宋体" w:eastAsia="宋体"/>
          <w:b/>
          <w:bCs/>
          <w:sz w:val="30"/>
          <w:szCs w:val="30"/>
        </w:rPr>
      </w:pPr>
      <w:r>
        <w:rPr>
          <w:rFonts w:hint="eastAsia" w:ascii="宋体" w:hAnsi="宋体" w:eastAsia="宋体"/>
          <w:b/>
          <w:bCs/>
          <w:sz w:val="30"/>
          <w:szCs w:val="30"/>
        </w:rPr>
        <w:t>分析：</w:t>
      </w:r>
    </w:p>
    <w:bookmarkEnd w:id="25"/>
    <w:p>
      <w:pPr>
        <w:ind w:firstLine="600" w:firstLineChars="200"/>
        <w:rPr>
          <w:rFonts w:ascii="宋体" w:hAnsi="宋体" w:eastAsia="宋体"/>
          <w:sz w:val="30"/>
          <w:szCs w:val="30"/>
        </w:rPr>
      </w:pPr>
      <w:r>
        <w:rPr>
          <w:rFonts w:hint="eastAsia" w:ascii="宋体" w:hAnsi="宋体" w:eastAsia="宋体"/>
          <w:sz w:val="30"/>
          <w:szCs w:val="30"/>
        </w:rPr>
        <w:t>规定中就重要生产设备搬迁的支持奖励所设定的条件为工业企业从随县外搬迁落户至随县，这显然变相要求有意申请相关奖励的外地企业在随县本地进行投资，而市场监管总局在2022年对于此种政策措施给予了明确的通报批评（详见下图）。</w:t>
      </w:r>
    </w:p>
    <w:p>
      <w:pPr>
        <w:jc w:val="center"/>
        <w:rPr>
          <w:rFonts w:ascii="宋体" w:hAnsi="宋体" w:eastAsia="宋体"/>
          <w:sz w:val="30"/>
          <w:szCs w:val="30"/>
        </w:rPr>
      </w:pPr>
      <w:r>
        <w:rPr>
          <w:rFonts w:hint="eastAsia" w:ascii="宋体" w:hAnsi="宋体" w:eastAsia="宋体"/>
          <w:sz w:val="30"/>
          <w:szCs w:val="30"/>
        </w:rPr>
        <w:drawing>
          <wp:inline distT="0" distB="0" distL="0" distR="0">
            <wp:extent cx="5274310" cy="3141345"/>
            <wp:effectExtent l="0" t="0" r="0" b="0"/>
            <wp:docPr id="205054222" name="图片 3"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54222" name="图片 3" descr="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3141345"/>
                    </a:xfrm>
                    <a:prstGeom prst="rect">
                      <a:avLst/>
                    </a:prstGeom>
                  </pic:spPr>
                </pic:pic>
              </a:graphicData>
            </a:graphic>
          </wp:inline>
        </w:drawing>
      </w:r>
    </w:p>
    <w:p>
      <w:pPr>
        <w:jc w:val="center"/>
      </w:pPr>
      <w:r>
        <w:rPr>
          <w:rFonts w:hint="eastAsia"/>
        </w:rPr>
        <w:t>市场监管总局通报2022年公平竞争审查督查整改案例（来源：江苏省药品监督管理局官网）</w:t>
      </w:r>
    </w:p>
    <w:p>
      <w:pPr>
        <w:ind w:firstLine="600" w:firstLineChars="200"/>
        <w:jc w:val="left"/>
        <w:rPr>
          <w:rFonts w:ascii="宋体" w:hAnsi="宋体" w:eastAsia="宋体"/>
          <w:sz w:val="30"/>
          <w:szCs w:val="30"/>
        </w:rPr>
      </w:pPr>
      <w:r>
        <w:rPr>
          <w:rFonts w:hint="eastAsia" w:ascii="宋体" w:hAnsi="宋体" w:eastAsia="宋体"/>
          <w:sz w:val="30"/>
          <w:szCs w:val="30"/>
        </w:rPr>
        <w:t>除去上述第十三条以外，</w:t>
      </w:r>
      <w:r>
        <w:rPr>
          <w:rFonts w:hint="eastAsia" w:ascii="宋体" w:hAnsi="宋体" w:eastAsia="宋体"/>
          <w:b/>
          <w:bCs/>
          <w:sz w:val="30"/>
          <w:szCs w:val="30"/>
        </w:rPr>
        <w:t>规定中的第四条、第六条、第八条、第九条、第十条、第十一条都将经济奖励的获取与税收挂钩</w:t>
      </w:r>
      <w:r>
        <w:rPr>
          <w:rFonts w:hint="eastAsia" w:ascii="宋体" w:hAnsi="宋体" w:eastAsia="宋体"/>
          <w:sz w:val="30"/>
          <w:szCs w:val="30"/>
        </w:rPr>
        <w:t>，违反了《公平竞争审查制度实施细则》第十五条第二款之规定。而即将于2024年8月1日施行的《公平竞争审查条例》，相比于《公平竞争审查制度实施细则》和《公平竞争审查条例（征求意见稿）》，则将奖补条件与特定经营者缴纳的税收挂钩的违规行为删除，因此规定中的第四条、第六条、第八条、第九条、第十条、第十一条在2024年8月1日后就不会被认定为涉嫌违反公平竞争原则的政策规定，但制定部门仍应注意奖励的适用对象的范围，避免存在明显的指向性。</w:t>
      </w:r>
    </w:p>
    <w:p>
      <w:pPr>
        <w:ind w:firstLine="600" w:firstLineChars="200"/>
        <w:jc w:val="left"/>
        <w:rPr>
          <w:rFonts w:ascii="宋体" w:hAnsi="宋体" w:eastAsia="宋体"/>
          <w:sz w:val="30"/>
          <w:szCs w:val="30"/>
        </w:rPr>
      </w:pPr>
      <w:r>
        <w:rPr>
          <w:rFonts w:hint="eastAsia" w:ascii="宋体" w:hAnsi="宋体" w:eastAsia="宋体"/>
          <w:sz w:val="30"/>
          <w:szCs w:val="30"/>
        </w:rPr>
        <w:t>综上，规定第十三条对重要生产设备搬迁的支持奖励所设定的条件，违反了《公平竞争审查制度实施细则》第十四条第四款第四项之规定，涉嫌将在本地投资或者设立分支机构作为参与本地招标投标、享受补贴和优惠政策等的必要条件，变相强制外地经营者在本地投资或者设立分支机构，建议修改或删除。</w:t>
      </w:r>
    </w:p>
    <w:p>
      <w:pPr>
        <w:pStyle w:val="3"/>
        <w:spacing w:line="415" w:lineRule="auto"/>
        <w:ind w:firstLine="280" w:firstLineChars="100"/>
        <w:rPr>
          <w:rFonts w:ascii="黑体" w:hAnsi="黑体" w:eastAsia="黑体"/>
          <w:b w:val="0"/>
          <w:bCs w:val="0"/>
          <w:sz w:val="28"/>
          <w:szCs w:val="28"/>
        </w:rPr>
      </w:pPr>
      <w:bookmarkStart w:id="26" w:name="_Toc171935256"/>
      <w:r>
        <w:rPr>
          <w:rFonts w:hint="eastAsia" w:ascii="黑体" w:hAnsi="黑体" w:eastAsia="黑体"/>
          <w:b w:val="0"/>
          <w:bCs w:val="0"/>
          <w:sz w:val="28"/>
          <w:szCs w:val="28"/>
        </w:rPr>
        <w:t>（二）案例二</w:t>
      </w:r>
      <w:bookmarkEnd w:id="26"/>
    </w:p>
    <w:p>
      <w:pPr>
        <w:ind w:firstLine="602" w:firstLineChars="200"/>
        <w:rPr>
          <w:rFonts w:ascii="宋体" w:hAnsi="宋体" w:eastAsia="宋体"/>
          <w:sz w:val="30"/>
          <w:szCs w:val="30"/>
        </w:rPr>
      </w:pPr>
      <w:r>
        <w:rPr>
          <w:rFonts w:hint="eastAsia" w:ascii="宋体" w:hAnsi="宋体" w:eastAsia="宋体"/>
          <w:b/>
          <w:bCs/>
          <w:sz w:val="30"/>
          <w:szCs w:val="30"/>
        </w:rPr>
        <w:t>文件名称：</w:t>
      </w:r>
      <w:r>
        <w:rPr>
          <w:rFonts w:hint="eastAsia" w:ascii="宋体" w:hAnsi="宋体" w:eastAsia="宋体"/>
          <w:sz w:val="30"/>
          <w:szCs w:val="30"/>
        </w:rPr>
        <w:t>随县人民政府办公室关于印发促进休闲度假区民宿高质量发展十条措施的通知</w:t>
      </w:r>
    </w:p>
    <w:p>
      <w:pPr>
        <w:ind w:firstLine="602" w:firstLineChars="200"/>
        <w:rPr>
          <w:rFonts w:ascii="宋体" w:hAnsi="宋体" w:eastAsia="宋体"/>
          <w:sz w:val="30"/>
          <w:szCs w:val="30"/>
        </w:rPr>
      </w:pPr>
      <w:r>
        <w:rPr>
          <w:rFonts w:hint="eastAsia" w:ascii="宋体" w:hAnsi="宋体" w:eastAsia="宋体"/>
          <w:b/>
          <w:bCs/>
          <w:sz w:val="30"/>
          <w:szCs w:val="30"/>
        </w:rPr>
        <w:t>文号：</w:t>
      </w:r>
      <w:r>
        <w:rPr>
          <w:rFonts w:hint="eastAsia" w:ascii="宋体" w:hAnsi="宋体" w:eastAsia="宋体"/>
          <w:sz w:val="30"/>
          <w:szCs w:val="30"/>
        </w:rPr>
        <w:t>随县政办发[2024]6号</w:t>
      </w:r>
    </w:p>
    <w:p>
      <w:pPr>
        <w:ind w:firstLine="602" w:firstLineChars="200"/>
        <w:rPr>
          <w:rFonts w:ascii="宋体" w:hAnsi="宋体" w:eastAsia="宋体"/>
          <w:sz w:val="30"/>
          <w:szCs w:val="30"/>
        </w:rPr>
      </w:pPr>
      <w:r>
        <w:rPr>
          <w:rFonts w:hint="eastAsia" w:ascii="宋体" w:hAnsi="宋体" w:eastAsia="宋体"/>
          <w:b/>
          <w:bCs/>
          <w:sz w:val="30"/>
          <w:szCs w:val="30"/>
        </w:rPr>
        <w:t>发布时间：</w:t>
      </w:r>
      <w:r>
        <w:rPr>
          <w:rFonts w:hint="eastAsia" w:ascii="宋体" w:hAnsi="宋体" w:eastAsia="宋体"/>
          <w:sz w:val="30"/>
          <w:szCs w:val="30"/>
        </w:rPr>
        <w:t>2023年4月26日</w:t>
      </w:r>
    </w:p>
    <w:p>
      <w:pPr>
        <w:ind w:firstLine="602" w:firstLineChars="200"/>
        <w:rPr>
          <w:rFonts w:ascii="宋体" w:hAnsi="宋体" w:eastAsia="宋体"/>
          <w:sz w:val="30"/>
          <w:szCs w:val="30"/>
        </w:rPr>
      </w:pPr>
      <w:r>
        <w:rPr>
          <w:rFonts w:hint="eastAsia" w:ascii="宋体" w:hAnsi="宋体" w:eastAsia="宋体"/>
          <w:b/>
          <w:bCs/>
          <w:sz w:val="30"/>
          <w:szCs w:val="30"/>
        </w:rPr>
        <w:t>发布单位：</w:t>
      </w:r>
      <w:r>
        <w:rPr>
          <w:rFonts w:hint="eastAsia" w:ascii="宋体" w:hAnsi="宋体" w:eastAsia="宋体"/>
          <w:sz w:val="30"/>
          <w:szCs w:val="30"/>
        </w:rPr>
        <w:t>随县人民政府办公室（随县文化和旅游局代为起草）</w:t>
      </w:r>
    </w:p>
    <w:p>
      <w:pPr>
        <w:ind w:firstLine="602" w:firstLineChars="200"/>
        <w:rPr>
          <w:rFonts w:ascii="宋体" w:hAnsi="宋体" w:eastAsia="宋体"/>
          <w:sz w:val="30"/>
          <w:szCs w:val="30"/>
        </w:rPr>
      </w:pPr>
      <w:r>
        <w:rPr>
          <w:rFonts w:hint="eastAsia" w:ascii="宋体" w:hAnsi="宋体" w:eastAsia="宋体"/>
          <w:b/>
          <w:bCs/>
          <w:sz w:val="30"/>
          <w:szCs w:val="30"/>
        </w:rPr>
        <w:t>涉及行业领域：</w:t>
      </w:r>
      <w:r>
        <w:rPr>
          <w:rFonts w:hint="eastAsia" w:ascii="宋体" w:hAnsi="宋体" w:eastAsia="宋体"/>
          <w:sz w:val="30"/>
          <w:szCs w:val="30"/>
        </w:rPr>
        <w:t>旅游业</w:t>
      </w:r>
    </w:p>
    <w:p>
      <w:pPr>
        <w:ind w:firstLine="602" w:firstLineChars="200"/>
        <w:rPr>
          <w:rFonts w:ascii="宋体" w:hAnsi="宋体" w:eastAsia="宋体"/>
          <w:b/>
          <w:bCs/>
          <w:sz w:val="30"/>
          <w:szCs w:val="30"/>
        </w:rPr>
      </w:pPr>
      <w:r>
        <w:rPr>
          <w:rFonts w:hint="eastAsia" w:ascii="宋体" w:hAnsi="宋体" w:eastAsia="宋体"/>
          <w:b/>
          <w:bCs/>
          <w:sz w:val="30"/>
          <w:szCs w:val="30"/>
        </w:rPr>
        <w:t>涉嫌违反公平竞争原则的规定的内容：</w:t>
      </w:r>
    </w:p>
    <w:p>
      <w:pPr>
        <w:ind w:firstLine="600" w:firstLineChars="200"/>
        <w:rPr>
          <w:rFonts w:ascii="宋体" w:hAnsi="宋体" w:eastAsia="宋体"/>
          <w:sz w:val="30"/>
          <w:szCs w:val="30"/>
        </w:rPr>
      </w:pPr>
      <w:r>
        <w:rPr>
          <w:rFonts w:hint="eastAsia" w:ascii="宋体" w:hAnsi="宋体" w:eastAsia="宋体"/>
          <w:sz w:val="30"/>
          <w:szCs w:val="30"/>
        </w:rPr>
        <w:t xml:space="preserve">五、引进品牌民宿 </w:t>
      </w:r>
      <w:r>
        <w:rPr>
          <w:rFonts w:hint="eastAsia" w:ascii="宋体" w:hAnsi="宋体" w:eastAsia="宋体"/>
          <w:b/>
          <w:bCs/>
          <w:sz w:val="30"/>
          <w:szCs w:val="30"/>
        </w:rPr>
        <w:t>通过连锁、加盟、合资等模式，在随县完成工商注册登记的国内知名品牌民宿</w:t>
      </w:r>
      <w:r>
        <w:rPr>
          <w:rFonts w:hint="eastAsia" w:ascii="宋体" w:hAnsi="宋体" w:eastAsia="宋体"/>
          <w:sz w:val="30"/>
          <w:szCs w:val="30"/>
        </w:rPr>
        <w:t>，经评定达到国家丙级以上标准的，</w:t>
      </w:r>
      <w:r>
        <w:rPr>
          <w:rFonts w:hint="eastAsia" w:ascii="宋体" w:hAnsi="宋体" w:eastAsia="宋体"/>
          <w:b/>
          <w:bCs/>
          <w:sz w:val="30"/>
          <w:szCs w:val="30"/>
        </w:rPr>
        <w:t>在随县每新增一家民宿给予5万元一次性奖励</w:t>
      </w:r>
    </w:p>
    <w:p>
      <w:pPr>
        <w:ind w:firstLine="602" w:firstLineChars="200"/>
        <w:rPr>
          <w:rFonts w:ascii="宋体" w:hAnsi="宋体" w:eastAsia="宋体"/>
          <w:b/>
          <w:bCs/>
          <w:sz w:val="30"/>
          <w:szCs w:val="30"/>
        </w:rPr>
      </w:pPr>
      <w:r>
        <w:rPr>
          <w:rFonts w:hint="eastAsia" w:ascii="宋体" w:hAnsi="宋体" w:eastAsia="宋体"/>
          <w:b/>
          <w:bCs/>
          <w:sz w:val="30"/>
          <w:szCs w:val="30"/>
        </w:rPr>
        <w:t>分析：</w:t>
      </w:r>
    </w:p>
    <w:p>
      <w:pPr>
        <w:ind w:firstLine="600"/>
        <w:jc w:val="left"/>
        <w:rPr>
          <w:rFonts w:ascii="宋体" w:hAnsi="宋体" w:eastAsia="宋体"/>
          <w:sz w:val="30"/>
          <w:szCs w:val="30"/>
        </w:rPr>
      </w:pPr>
      <w:r>
        <w:rPr>
          <w:rFonts w:hint="eastAsia" w:ascii="宋体" w:hAnsi="宋体" w:eastAsia="宋体"/>
          <w:sz w:val="30"/>
          <w:szCs w:val="30"/>
        </w:rPr>
        <w:t>通知就新增民宿奖励所设定的条件为“</w:t>
      </w:r>
      <w:r>
        <w:rPr>
          <w:rFonts w:ascii="宋体" w:hAnsi="宋体" w:eastAsia="宋体"/>
          <w:sz w:val="30"/>
          <w:szCs w:val="30"/>
        </w:rPr>
        <w:t>通过连锁、加盟、合资等模式，在随县完成工商注册登记</w:t>
      </w:r>
      <w:r>
        <w:rPr>
          <w:rFonts w:hint="eastAsia" w:ascii="宋体" w:hAnsi="宋体" w:eastAsia="宋体"/>
          <w:sz w:val="30"/>
          <w:szCs w:val="30"/>
        </w:rPr>
        <w:t>的国内知名品牌民宿”， 这也是变相要求有意申请相关奖励的外地企业在随县本地进行投资，但连锁、加盟、合资三种模式中除了合资模式要求外地经营者要在随县本地投资以外，剩余两种模式的核心都是随县本地投资人的投入。因此，通知就引进品牌民宿所设定的奖励条件，违反了《公平竞争审查制度实施细则》第十四条第四款第四项之规定，涉嫌将在本地投资或者设立分支机构作为参与本地招标投标、享受补贴和优惠政策等的必要条件，变相强制外地经营者在本地投资或者设立分支机构，建议将合资模式删除。</w:t>
      </w:r>
    </w:p>
    <w:p>
      <w:pPr>
        <w:pStyle w:val="3"/>
        <w:spacing w:line="415" w:lineRule="auto"/>
        <w:ind w:firstLine="280" w:firstLineChars="100"/>
        <w:rPr>
          <w:rFonts w:ascii="黑体" w:hAnsi="黑体" w:eastAsia="黑体"/>
          <w:b w:val="0"/>
          <w:bCs w:val="0"/>
          <w:sz w:val="28"/>
          <w:szCs w:val="28"/>
        </w:rPr>
      </w:pPr>
      <w:bookmarkStart w:id="27" w:name="_Toc171935257"/>
      <w:r>
        <w:rPr>
          <w:rFonts w:hint="eastAsia" w:ascii="黑体" w:hAnsi="黑体" w:eastAsia="黑体"/>
          <w:b w:val="0"/>
          <w:bCs w:val="0"/>
          <w:sz w:val="28"/>
          <w:szCs w:val="28"/>
        </w:rPr>
        <w:t>（三）案例三</w:t>
      </w:r>
      <w:bookmarkEnd w:id="27"/>
    </w:p>
    <w:p>
      <w:pPr>
        <w:ind w:firstLine="602" w:firstLineChars="200"/>
        <w:rPr>
          <w:rFonts w:ascii="宋体" w:hAnsi="宋体" w:eastAsia="宋体"/>
          <w:sz w:val="30"/>
          <w:szCs w:val="30"/>
        </w:rPr>
      </w:pPr>
      <w:r>
        <w:rPr>
          <w:rFonts w:hint="eastAsia" w:ascii="宋体" w:hAnsi="宋体" w:eastAsia="宋体"/>
          <w:b/>
          <w:bCs/>
          <w:sz w:val="30"/>
          <w:szCs w:val="30"/>
        </w:rPr>
        <w:t>文件名称：</w:t>
      </w:r>
      <w:r>
        <w:rPr>
          <w:rFonts w:hint="eastAsia" w:ascii="宋体" w:hAnsi="宋体" w:eastAsia="宋体"/>
          <w:sz w:val="30"/>
          <w:szCs w:val="30"/>
        </w:rPr>
        <w:t>县人民政府办公室关于促进建筑业高质量发展的意见</w:t>
      </w:r>
    </w:p>
    <w:p>
      <w:pPr>
        <w:ind w:firstLine="602" w:firstLineChars="200"/>
        <w:rPr>
          <w:rFonts w:ascii="宋体" w:hAnsi="宋体" w:eastAsia="宋体"/>
          <w:sz w:val="30"/>
          <w:szCs w:val="30"/>
        </w:rPr>
      </w:pPr>
      <w:r>
        <w:rPr>
          <w:rFonts w:hint="eastAsia" w:ascii="宋体" w:hAnsi="宋体" w:eastAsia="宋体"/>
          <w:b/>
          <w:bCs/>
          <w:sz w:val="30"/>
          <w:szCs w:val="30"/>
        </w:rPr>
        <w:t>文号：</w:t>
      </w:r>
      <w:r>
        <w:rPr>
          <w:rFonts w:hint="eastAsia" w:ascii="宋体" w:hAnsi="宋体" w:eastAsia="宋体"/>
          <w:sz w:val="30"/>
          <w:szCs w:val="30"/>
        </w:rPr>
        <w:t>随县政办发[2023]21号</w:t>
      </w:r>
    </w:p>
    <w:p>
      <w:pPr>
        <w:ind w:firstLine="602" w:firstLineChars="200"/>
        <w:rPr>
          <w:rFonts w:ascii="宋体" w:hAnsi="宋体" w:eastAsia="宋体"/>
          <w:sz w:val="30"/>
          <w:szCs w:val="30"/>
        </w:rPr>
      </w:pPr>
      <w:r>
        <w:rPr>
          <w:rFonts w:hint="eastAsia" w:ascii="宋体" w:hAnsi="宋体" w:eastAsia="宋体"/>
          <w:b/>
          <w:bCs/>
          <w:sz w:val="30"/>
          <w:szCs w:val="30"/>
        </w:rPr>
        <w:t>发布时间：</w:t>
      </w:r>
      <w:r>
        <w:rPr>
          <w:rFonts w:hint="eastAsia" w:ascii="宋体" w:hAnsi="宋体" w:eastAsia="宋体"/>
          <w:sz w:val="30"/>
          <w:szCs w:val="30"/>
        </w:rPr>
        <w:t>2023年11月23日</w:t>
      </w:r>
    </w:p>
    <w:p>
      <w:pPr>
        <w:ind w:firstLine="602" w:firstLineChars="200"/>
        <w:rPr>
          <w:rFonts w:ascii="宋体" w:hAnsi="宋体" w:eastAsia="宋体"/>
          <w:sz w:val="30"/>
          <w:szCs w:val="30"/>
        </w:rPr>
      </w:pPr>
      <w:r>
        <w:rPr>
          <w:rFonts w:hint="eastAsia" w:ascii="宋体" w:hAnsi="宋体" w:eastAsia="宋体"/>
          <w:b/>
          <w:bCs/>
          <w:sz w:val="30"/>
          <w:szCs w:val="30"/>
        </w:rPr>
        <w:t>发布单位：</w:t>
      </w:r>
      <w:r>
        <w:rPr>
          <w:rFonts w:hint="eastAsia" w:ascii="宋体" w:hAnsi="宋体" w:eastAsia="宋体"/>
          <w:sz w:val="30"/>
          <w:szCs w:val="30"/>
        </w:rPr>
        <w:t>随县人民政府办公室（随县住房和城乡建设局代为起草）</w:t>
      </w:r>
    </w:p>
    <w:p>
      <w:pPr>
        <w:ind w:firstLine="602" w:firstLineChars="200"/>
        <w:rPr>
          <w:rFonts w:ascii="宋体" w:hAnsi="宋体" w:eastAsia="宋体"/>
          <w:sz w:val="30"/>
          <w:szCs w:val="30"/>
        </w:rPr>
      </w:pPr>
      <w:r>
        <w:rPr>
          <w:rFonts w:hint="eastAsia" w:ascii="宋体" w:hAnsi="宋体" w:eastAsia="宋体"/>
          <w:b/>
          <w:bCs/>
          <w:sz w:val="30"/>
          <w:szCs w:val="30"/>
        </w:rPr>
        <w:t>涉及行业领域：</w:t>
      </w:r>
      <w:r>
        <w:rPr>
          <w:rFonts w:hint="eastAsia" w:ascii="宋体" w:hAnsi="宋体" w:eastAsia="宋体"/>
          <w:sz w:val="30"/>
          <w:szCs w:val="30"/>
        </w:rPr>
        <w:t>建筑业</w:t>
      </w:r>
    </w:p>
    <w:p>
      <w:pPr>
        <w:ind w:firstLine="602" w:firstLineChars="200"/>
        <w:rPr>
          <w:rFonts w:ascii="宋体" w:hAnsi="宋体" w:eastAsia="宋体"/>
          <w:b/>
          <w:bCs/>
          <w:sz w:val="30"/>
          <w:szCs w:val="30"/>
        </w:rPr>
      </w:pPr>
      <w:r>
        <w:rPr>
          <w:rFonts w:hint="eastAsia" w:ascii="宋体" w:hAnsi="宋体" w:eastAsia="宋体"/>
          <w:b/>
          <w:bCs/>
          <w:sz w:val="30"/>
          <w:szCs w:val="30"/>
        </w:rPr>
        <w:t>涉嫌违反公平竞争原则的规定的内容：</w:t>
      </w:r>
    </w:p>
    <w:p>
      <w:pPr>
        <w:ind w:firstLine="600"/>
        <w:rPr>
          <w:rFonts w:ascii="宋体" w:hAnsi="宋体" w:eastAsia="宋体"/>
          <w:b/>
          <w:bCs/>
          <w:sz w:val="30"/>
          <w:szCs w:val="30"/>
        </w:rPr>
      </w:pPr>
      <w:r>
        <w:rPr>
          <w:rFonts w:hint="eastAsia" w:ascii="宋体" w:hAnsi="宋体" w:eastAsia="宋体"/>
          <w:sz w:val="30"/>
          <w:szCs w:val="30"/>
        </w:rPr>
        <w:t xml:space="preserve">一、落实奖励政策（四）实施建筑业“引进来”战略 </w:t>
      </w:r>
      <w:r>
        <w:rPr>
          <w:rFonts w:hint="eastAsia" w:ascii="宋体" w:hAnsi="宋体" w:eastAsia="宋体"/>
          <w:b/>
          <w:bCs/>
          <w:sz w:val="30"/>
          <w:szCs w:val="30"/>
        </w:rPr>
        <w:t>将总部迁入我县的施工总承包特级（施工综合资质）、施工总承包一级（甲级）企业，按其产值1%的比例给予奖励，连续奖励2年</w:t>
      </w:r>
    </w:p>
    <w:p>
      <w:pPr>
        <w:ind w:firstLine="600"/>
        <w:rPr>
          <w:rFonts w:ascii="宋体" w:hAnsi="宋体" w:eastAsia="宋体"/>
          <w:b/>
          <w:bCs/>
          <w:sz w:val="30"/>
          <w:szCs w:val="30"/>
        </w:rPr>
      </w:pPr>
      <w:r>
        <w:rPr>
          <w:rFonts w:hint="eastAsia" w:ascii="宋体" w:hAnsi="宋体" w:eastAsia="宋体"/>
          <w:sz w:val="30"/>
          <w:szCs w:val="30"/>
        </w:rPr>
        <w:t xml:space="preserve">二、深化机制创新（一）推进招投标制度改革 </w:t>
      </w:r>
      <w:r>
        <w:rPr>
          <w:rFonts w:hint="eastAsia" w:ascii="宋体" w:hAnsi="宋体" w:eastAsia="宋体"/>
          <w:b/>
          <w:bCs/>
          <w:sz w:val="30"/>
          <w:szCs w:val="30"/>
        </w:rPr>
        <w:t xml:space="preserve">对本县产值和税收贡献、抢险救灾、公益事业、公用事业积极履行社会责任和县级政府以上表彰的优质工程等荣誉可以在采用“评定分离”纳入定标内容 </w:t>
      </w:r>
      <w:r>
        <w:rPr>
          <w:rFonts w:hint="eastAsia" w:ascii="宋体" w:hAnsi="宋体" w:eastAsia="宋体"/>
          <w:sz w:val="30"/>
          <w:szCs w:val="30"/>
        </w:rPr>
        <w:t xml:space="preserve">（二）支持企业总部基地建设 </w:t>
      </w:r>
      <w:r>
        <w:rPr>
          <w:rFonts w:hint="eastAsia" w:ascii="宋体" w:hAnsi="宋体" w:eastAsia="宋体"/>
          <w:b/>
          <w:bCs/>
          <w:sz w:val="30"/>
          <w:szCs w:val="30"/>
        </w:rPr>
        <w:t>本县注册的一级资质建筑业企业，近三年在本县年均纳税500万元以上、晋升施工总承包特级资质意愿强烈、基础较好的</w:t>
      </w:r>
      <w:r>
        <w:rPr>
          <w:rFonts w:hint="eastAsia" w:ascii="宋体" w:hAnsi="宋体" w:eastAsia="宋体"/>
          <w:sz w:val="30"/>
          <w:szCs w:val="30"/>
        </w:rPr>
        <w:t>，在申请建设总部基地时，予以适当用地支持，</w:t>
      </w:r>
      <w:r>
        <w:rPr>
          <w:rFonts w:hint="eastAsia" w:ascii="宋体" w:hAnsi="宋体" w:eastAsia="宋体"/>
          <w:b/>
          <w:bCs/>
          <w:sz w:val="30"/>
          <w:szCs w:val="30"/>
        </w:rPr>
        <w:t>优先保障企业总部落户所需的生产生活用地</w:t>
      </w:r>
    </w:p>
    <w:p>
      <w:pPr>
        <w:ind w:firstLine="602" w:firstLineChars="200"/>
        <w:rPr>
          <w:rFonts w:ascii="宋体" w:hAnsi="宋体" w:eastAsia="宋体"/>
          <w:b/>
          <w:bCs/>
          <w:sz w:val="30"/>
          <w:szCs w:val="30"/>
        </w:rPr>
      </w:pPr>
      <w:r>
        <w:rPr>
          <w:rFonts w:hint="eastAsia" w:ascii="宋体" w:hAnsi="宋体" w:eastAsia="宋体"/>
          <w:b/>
          <w:bCs/>
          <w:sz w:val="30"/>
          <w:szCs w:val="30"/>
        </w:rPr>
        <w:t>分析：</w:t>
      </w:r>
    </w:p>
    <w:p>
      <w:pPr>
        <w:ind w:firstLine="600"/>
        <w:jc w:val="left"/>
        <w:rPr>
          <w:rFonts w:ascii="宋体" w:hAnsi="宋体" w:eastAsia="宋体"/>
          <w:sz w:val="30"/>
          <w:szCs w:val="30"/>
        </w:rPr>
      </w:pPr>
      <w:r>
        <w:rPr>
          <w:rFonts w:hint="eastAsia" w:ascii="宋体" w:hAnsi="宋体" w:eastAsia="宋体"/>
          <w:sz w:val="30"/>
          <w:szCs w:val="30"/>
        </w:rPr>
        <w:t>意见所设定的“引进来”战略的奖励对象为将总部迁入随县的</w:t>
      </w:r>
      <w:r>
        <w:rPr>
          <w:rFonts w:ascii="宋体" w:hAnsi="宋体" w:eastAsia="宋体"/>
          <w:sz w:val="30"/>
          <w:szCs w:val="30"/>
        </w:rPr>
        <w:t>施工总承包特级（施工综合资质）、施工总承包一级（甲级）企业</w:t>
      </w:r>
      <w:r>
        <w:rPr>
          <w:rFonts w:hint="eastAsia" w:ascii="宋体" w:hAnsi="宋体" w:eastAsia="宋体"/>
          <w:sz w:val="30"/>
          <w:szCs w:val="30"/>
        </w:rPr>
        <w:t>，变相要求有意申请相关奖励的外地企业在随县本地进行投资；意见将企业对随县的产值、税收贡献、社会责任的履行情况等纳入“评定分离”的定标内容，</w:t>
      </w:r>
      <w:r>
        <w:rPr>
          <w:rFonts w:ascii="宋体" w:hAnsi="宋体" w:eastAsia="宋体"/>
          <w:sz w:val="30"/>
          <w:szCs w:val="30"/>
        </w:rPr>
        <w:t>变相限制外地经营者参加本地招标投标活动</w:t>
      </w:r>
      <w:r>
        <w:rPr>
          <w:rFonts w:hint="eastAsia" w:ascii="宋体" w:hAnsi="宋体" w:eastAsia="宋体"/>
          <w:sz w:val="30"/>
          <w:szCs w:val="30"/>
        </w:rPr>
        <w:t>；意见明确优先保障随县本地注册的</w:t>
      </w:r>
      <w:r>
        <w:rPr>
          <w:rFonts w:ascii="宋体" w:hAnsi="宋体" w:eastAsia="宋体"/>
          <w:sz w:val="30"/>
          <w:szCs w:val="30"/>
        </w:rPr>
        <w:t>一级资质建筑业企业</w:t>
      </w:r>
      <w:r>
        <w:rPr>
          <w:rFonts w:hint="eastAsia" w:ascii="宋体" w:hAnsi="宋体" w:eastAsia="宋体"/>
          <w:sz w:val="30"/>
          <w:szCs w:val="30"/>
        </w:rPr>
        <w:t>建设总部基地时所需的生产生活用地，</w:t>
      </w:r>
      <w:r>
        <w:rPr>
          <w:rFonts w:ascii="宋体" w:hAnsi="宋体" w:eastAsia="宋体"/>
          <w:sz w:val="30"/>
          <w:szCs w:val="30"/>
        </w:rPr>
        <w:t>在土地要素获取方面，给予特定经营者优惠政策</w:t>
      </w:r>
      <w:r>
        <w:rPr>
          <w:rFonts w:hint="eastAsia" w:ascii="宋体" w:hAnsi="宋体" w:eastAsia="宋体"/>
          <w:sz w:val="30"/>
          <w:szCs w:val="30"/>
        </w:rPr>
        <w:t>。</w:t>
      </w:r>
    </w:p>
    <w:p>
      <w:pPr>
        <w:ind w:firstLine="600"/>
        <w:jc w:val="left"/>
        <w:rPr>
          <w:rFonts w:ascii="宋体" w:hAnsi="宋体" w:eastAsia="宋体"/>
          <w:sz w:val="30"/>
          <w:szCs w:val="30"/>
        </w:rPr>
      </w:pPr>
      <w:r>
        <w:rPr>
          <w:rFonts w:hint="eastAsia" w:ascii="宋体" w:hAnsi="宋体" w:eastAsia="宋体"/>
          <w:sz w:val="30"/>
          <w:szCs w:val="30"/>
        </w:rPr>
        <w:t>除去上述三项规定以外，意见就建筑企业增产增收奖励所设定的条件为申请对象年产值总额突破2亿元且足额纳税，</w:t>
      </w:r>
      <w:r>
        <w:rPr>
          <w:rFonts w:hint="eastAsia" w:ascii="宋体" w:hAnsi="宋体" w:eastAsia="宋体"/>
          <w:b/>
          <w:bCs/>
          <w:sz w:val="30"/>
          <w:szCs w:val="30"/>
        </w:rPr>
        <w:t>将经济奖励的获取与税收挂钩</w:t>
      </w:r>
      <w:r>
        <w:rPr>
          <w:rFonts w:hint="eastAsia" w:ascii="宋体" w:hAnsi="宋体" w:eastAsia="宋体"/>
          <w:sz w:val="30"/>
          <w:szCs w:val="30"/>
        </w:rPr>
        <w:t>，违反了《公平竞争审查制度实施细则》第十五条第二款之规定。而即将于2024年8月1日施行的《公平竞争审查条例》，相较于《公平竞争审查制度实施细则》和《公平竞争审查条例（征求意见稿）》，则将奖补条件与特定经营者缴纳的税收挂钩的违规行为删除，因此上述规定在2024年8月1日后就不会被认定为涉嫌违反公平竞争原则的政策规定，但制定部门仍应注意奖励的适用对象的范围，避免存在明显的指向性。</w:t>
      </w:r>
    </w:p>
    <w:p>
      <w:pPr>
        <w:ind w:firstLine="600"/>
        <w:jc w:val="left"/>
        <w:rPr>
          <w:rFonts w:ascii="宋体" w:hAnsi="宋体" w:eastAsia="宋体"/>
          <w:sz w:val="30"/>
          <w:szCs w:val="30"/>
        </w:rPr>
      </w:pPr>
      <w:r>
        <w:rPr>
          <w:rFonts w:hint="eastAsia" w:ascii="宋体" w:hAnsi="宋体" w:eastAsia="宋体"/>
          <w:sz w:val="30"/>
          <w:szCs w:val="30"/>
        </w:rPr>
        <w:t>综上，意见所设定的三项规定分别违反了《公平竞争审查制度实施细则》第十四条第四款第四项、第十四条第三款第三项、第十五条第一款第三项，以及《</w:t>
      </w:r>
      <w:r>
        <w:rPr>
          <w:rFonts w:ascii="宋体" w:hAnsi="宋体" w:eastAsia="宋体"/>
          <w:sz w:val="30"/>
          <w:szCs w:val="30"/>
        </w:rPr>
        <w:t>招标投标领域公平竞争审查规则</w:t>
      </w:r>
      <w:r>
        <w:rPr>
          <w:rFonts w:hint="eastAsia" w:ascii="宋体" w:hAnsi="宋体" w:eastAsia="宋体"/>
          <w:sz w:val="30"/>
          <w:szCs w:val="30"/>
        </w:rPr>
        <w:t>》第六条第三项之规定，建议进行修改或删除。</w:t>
      </w:r>
    </w:p>
    <w:p>
      <w:pPr>
        <w:pStyle w:val="3"/>
        <w:spacing w:line="415" w:lineRule="auto"/>
        <w:ind w:firstLine="280" w:firstLineChars="100"/>
        <w:rPr>
          <w:rFonts w:ascii="黑体" w:hAnsi="黑体" w:eastAsia="黑体"/>
          <w:b w:val="0"/>
          <w:bCs w:val="0"/>
          <w:sz w:val="28"/>
          <w:szCs w:val="28"/>
        </w:rPr>
      </w:pPr>
      <w:bookmarkStart w:id="28" w:name="_Toc171935258"/>
      <w:bookmarkStart w:id="29" w:name="_Hlk164953696"/>
      <w:r>
        <w:rPr>
          <w:rFonts w:hint="eastAsia" w:ascii="黑体" w:hAnsi="黑体" w:eastAsia="黑体"/>
          <w:b w:val="0"/>
          <w:bCs w:val="0"/>
          <w:sz w:val="28"/>
          <w:szCs w:val="28"/>
        </w:rPr>
        <w:t>（四）案例四</w:t>
      </w:r>
      <w:bookmarkEnd w:id="28"/>
    </w:p>
    <w:p>
      <w:pPr>
        <w:ind w:firstLine="602" w:firstLineChars="200"/>
        <w:rPr>
          <w:rFonts w:ascii="宋体" w:hAnsi="宋体" w:eastAsia="宋体"/>
          <w:sz w:val="30"/>
          <w:szCs w:val="30"/>
        </w:rPr>
      </w:pPr>
      <w:r>
        <w:rPr>
          <w:rFonts w:hint="eastAsia" w:ascii="宋体" w:hAnsi="宋体" w:eastAsia="宋体"/>
          <w:b/>
          <w:bCs/>
          <w:sz w:val="30"/>
          <w:szCs w:val="30"/>
        </w:rPr>
        <w:t>文件名称：</w:t>
      </w:r>
      <w:r>
        <w:rPr>
          <w:rFonts w:hint="eastAsia" w:ascii="宋体" w:hAnsi="宋体" w:eastAsia="宋体"/>
          <w:sz w:val="30"/>
          <w:szCs w:val="30"/>
        </w:rPr>
        <w:t>随县人民政府关于进一步优化县级财政扶持经济高质量发展若干政策的通知</w:t>
      </w:r>
    </w:p>
    <w:p>
      <w:pPr>
        <w:ind w:firstLine="602" w:firstLineChars="200"/>
        <w:rPr>
          <w:rFonts w:ascii="宋体" w:hAnsi="宋体" w:eastAsia="宋体"/>
          <w:sz w:val="30"/>
          <w:szCs w:val="30"/>
        </w:rPr>
      </w:pPr>
      <w:r>
        <w:rPr>
          <w:rFonts w:hint="eastAsia" w:ascii="宋体" w:hAnsi="宋体" w:eastAsia="宋体"/>
          <w:b/>
          <w:bCs/>
          <w:sz w:val="30"/>
          <w:szCs w:val="30"/>
        </w:rPr>
        <w:t>文号：</w:t>
      </w:r>
      <w:r>
        <w:rPr>
          <w:rFonts w:hint="eastAsia" w:ascii="宋体" w:hAnsi="宋体" w:eastAsia="宋体"/>
          <w:sz w:val="30"/>
          <w:szCs w:val="30"/>
        </w:rPr>
        <w:t>随县政发[2024]2号</w:t>
      </w:r>
    </w:p>
    <w:p>
      <w:pPr>
        <w:ind w:firstLine="602" w:firstLineChars="200"/>
        <w:rPr>
          <w:rFonts w:ascii="宋体" w:hAnsi="宋体" w:eastAsia="宋体"/>
          <w:sz w:val="30"/>
          <w:szCs w:val="30"/>
        </w:rPr>
      </w:pPr>
      <w:r>
        <w:rPr>
          <w:rFonts w:hint="eastAsia" w:ascii="宋体" w:hAnsi="宋体" w:eastAsia="宋体"/>
          <w:b/>
          <w:bCs/>
          <w:sz w:val="30"/>
          <w:szCs w:val="30"/>
        </w:rPr>
        <w:t>发布时间：</w:t>
      </w:r>
      <w:r>
        <w:rPr>
          <w:rFonts w:hint="eastAsia" w:ascii="宋体" w:hAnsi="宋体" w:eastAsia="宋体"/>
          <w:sz w:val="30"/>
          <w:szCs w:val="30"/>
        </w:rPr>
        <w:t>2024年2月23日</w:t>
      </w:r>
    </w:p>
    <w:p>
      <w:pPr>
        <w:ind w:firstLine="602" w:firstLineChars="200"/>
        <w:rPr>
          <w:rFonts w:ascii="宋体" w:hAnsi="宋体" w:eastAsia="宋体"/>
          <w:sz w:val="30"/>
          <w:szCs w:val="30"/>
        </w:rPr>
      </w:pPr>
      <w:r>
        <w:rPr>
          <w:rFonts w:hint="eastAsia" w:ascii="宋体" w:hAnsi="宋体" w:eastAsia="宋体"/>
          <w:b/>
          <w:bCs/>
          <w:sz w:val="30"/>
          <w:szCs w:val="30"/>
        </w:rPr>
        <w:t>发布单位：</w:t>
      </w:r>
      <w:r>
        <w:rPr>
          <w:rFonts w:hint="eastAsia" w:ascii="宋体" w:hAnsi="宋体" w:eastAsia="宋体"/>
          <w:sz w:val="30"/>
          <w:szCs w:val="30"/>
        </w:rPr>
        <w:t>随县人民政府</w:t>
      </w:r>
    </w:p>
    <w:p>
      <w:pPr>
        <w:ind w:firstLine="602" w:firstLineChars="200"/>
        <w:rPr>
          <w:rFonts w:ascii="宋体" w:hAnsi="宋体" w:eastAsia="宋体"/>
          <w:sz w:val="30"/>
          <w:szCs w:val="30"/>
        </w:rPr>
      </w:pPr>
      <w:r>
        <w:rPr>
          <w:rFonts w:hint="eastAsia" w:ascii="宋体" w:hAnsi="宋体" w:eastAsia="宋体"/>
          <w:b/>
          <w:bCs/>
          <w:sz w:val="30"/>
          <w:szCs w:val="30"/>
        </w:rPr>
        <w:t>涉及行业领域：</w:t>
      </w:r>
      <w:r>
        <w:rPr>
          <w:rFonts w:hint="eastAsia" w:ascii="宋体" w:hAnsi="宋体" w:eastAsia="宋体"/>
          <w:sz w:val="30"/>
          <w:szCs w:val="30"/>
        </w:rPr>
        <w:t>工业制造、建筑业、农业种植等</w:t>
      </w:r>
    </w:p>
    <w:p>
      <w:pPr>
        <w:ind w:firstLine="602" w:firstLineChars="200"/>
        <w:rPr>
          <w:rFonts w:ascii="宋体" w:hAnsi="宋体" w:eastAsia="宋体"/>
          <w:b/>
          <w:bCs/>
          <w:sz w:val="30"/>
          <w:szCs w:val="30"/>
        </w:rPr>
      </w:pPr>
      <w:r>
        <w:rPr>
          <w:rFonts w:hint="eastAsia" w:ascii="宋体" w:hAnsi="宋体" w:eastAsia="宋体"/>
          <w:b/>
          <w:bCs/>
          <w:sz w:val="30"/>
          <w:szCs w:val="30"/>
        </w:rPr>
        <w:t>涉嫌违反公平竞争原则的规定的内容：</w:t>
      </w:r>
      <w:bookmarkEnd w:id="29"/>
    </w:p>
    <w:p>
      <w:pPr>
        <w:ind w:firstLine="600"/>
        <w:rPr>
          <w:rFonts w:ascii="宋体" w:hAnsi="宋体" w:eastAsia="宋体"/>
          <w:b/>
          <w:bCs/>
          <w:sz w:val="30"/>
          <w:szCs w:val="30"/>
        </w:rPr>
      </w:pPr>
      <w:r>
        <w:rPr>
          <w:rFonts w:ascii="宋体" w:hAnsi="宋体" w:eastAsia="宋体"/>
          <w:sz w:val="30"/>
          <w:szCs w:val="30"/>
        </w:rPr>
        <w:t>32.</w:t>
      </w:r>
      <w:r>
        <w:rPr>
          <w:rFonts w:hint="eastAsia" w:ascii="宋体" w:hAnsi="宋体" w:eastAsia="宋体"/>
          <w:sz w:val="30"/>
          <w:szCs w:val="30"/>
        </w:rPr>
        <w:t>实施建筑业“引进来”战略 将总部</w:t>
      </w:r>
      <w:r>
        <w:rPr>
          <w:rFonts w:hint="eastAsia" w:ascii="宋体" w:hAnsi="宋体" w:eastAsia="宋体"/>
          <w:b/>
          <w:bCs/>
          <w:sz w:val="30"/>
          <w:szCs w:val="30"/>
        </w:rPr>
        <w:t>迁入我县的施工总承包特级（施工综合资质）、施工总承包一级（甲级）企业，按其产值1%的比例给予奖励，连续奖励2年</w:t>
      </w:r>
    </w:p>
    <w:p>
      <w:pPr>
        <w:ind w:firstLine="600"/>
        <w:rPr>
          <w:rFonts w:ascii="宋体" w:hAnsi="宋体" w:eastAsia="宋体"/>
          <w:sz w:val="30"/>
          <w:szCs w:val="30"/>
        </w:rPr>
      </w:pPr>
      <w:r>
        <w:rPr>
          <w:rFonts w:hint="eastAsia" w:ascii="宋体" w:hAnsi="宋体" w:eastAsia="宋体"/>
          <w:sz w:val="30"/>
          <w:szCs w:val="30"/>
        </w:rPr>
        <w:t>36.</w:t>
      </w:r>
      <w:r>
        <w:rPr>
          <w:rFonts w:hint="eastAsia" w:ascii="宋体" w:hAnsi="宋体" w:eastAsia="宋体"/>
          <w:b/>
          <w:bCs/>
          <w:sz w:val="30"/>
          <w:szCs w:val="30"/>
        </w:rPr>
        <w:t>在有效期内整体迁移到随县的高新技术企业，完成相关变更手续且正常经营的，给予10万元奖励</w:t>
      </w:r>
    </w:p>
    <w:p>
      <w:pPr>
        <w:ind w:firstLine="600"/>
        <w:rPr>
          <w:rFonts w:ascii="宋体" w:hAnsi="宋体" w:eastAsia="宋体"/>
          <w:b/>
          <w:bCs/>
          <w:sz w:val="30"/>
          <w:szCs w:val="30"/>
        </w:rPr>
      </w:pPr>
      <w:r>
        <w:rPr>
          <w:rFonts w:hint="eastAsia" w:ascii="宋体" w:hAnsi="宋体" w:eastAsia="宋体"/>
          <w:b/>
          <w:bCs/>
          <w:sz w:val="30"/>
          <w:szCs w:val="30"/>
        </w:rPr>
        <w:t>分析：</w:t>
      </w:r>
    </w:p>
    <w:p>
      <w:pPr>
        <w:ind w:firstLine="600"/>
        <w:rPr>
          <w:rFonts w:ascii="宋体" w:hAnsi="宋体" w:eastAsia="宋体"/>
          <w:sz w:val="30"/>
          <w:szCs w:val="30"/>
        </w:rPr>
      </w:pPr>
      <w:r>
        <w:rPr>
          <w:rFonts w:hint="eastAsia" w:ascii="宋体" w:hAnsi="宋体" w:eastAsia="宋体"/>
          <w:sz w:val="30"/>
          <w:szCs w:val="30"/>
        </w:rPr>
        <w:t>通知第32项和第36项所设定的奖励对象为迁移到随县的施工企业和高新技术企业，变相要求有意申请相关奖励的外地企业在随县本地进行投资。此外，通知第29项就建筑企业增产增收奖励所设定的条件为申请对象年产值总额突破2亿元且足额纳税，</w:t>
      </w:r>
      <w:r>
        <w:rPr>
          <w:rFonts w:hint="eastAsia" w:ascii="宋体" w:hAnsi="宋体" w:eastAsia="宋体"/>
          <w:b/>
          <w:bCs/>
          <w:sz w:val="30"/>
          <w:szCs w:val="30"/>
        </w:rPr>
        <w:t>将经济奖励的获取与税收挂钩</w:t>
      </w:r>
      <w:r>
        <w:rPr>
          <w:rFonts w:hint="eastAsia" w:ascii="宋体" w:hAnsi="宋体" w:eastAsia="宋体"/>
          <w:sz w:val="30"/>
          <w:szCs w:val="30"/>
        </w:rPr>
        <w:t>，违反了《公平竞争审查制度实施细则》第十五条第二款之规定。而即将于2024年8月1日施行的《公平竞争审查条例》，相较于《公平竞争审查制度实施细则》和《公平竞争审查条例（征求意见稿）》，则将奖补条件与特定经营者缴纳的税收挂钩的违规行为删除，因此上述规定在2024年8月1日后就不会被认定为涉嫌违反公平竞争原则的政策规定，但制定部门仍应注意奖励的适用对象的范围，避免存在明显的指向性。</w:t>
      </w:r>
    </w:p>
    <w:p>
      <w:pPr>
        <w:ind w:firstLine="600"/>
        <w:rPr>
          <w:rFonts w:ascii="宋体" w:hAnsi="宋体" w:eastAsia="宋体"/>
          <w:sz w:val="30"/>
          <w:szCs w:val="30"/>
        </w:rPr>
      </w:pPr>
      <w:r>
        <w:rPr>
          <w:rFonts w:hint="eastAsia" w:ascii="宋体" w:hAnsi="宋体" w:eastAsia="宋体"/>
          <w:sz w:val="30"/>
          <w:szCs w:val="30"/>
        </w:rPr>
        <w:t>综上，通知第32项和第36项所设定的奖励违反《公平竞争审查制度实施细则》第十四条第四款第四项之规定，建议修改或删除。</w:t>
      </w:r>
    </w:p>
    <w:p>
      <w:pPr>
        <w:pStyle w:val="3"/>
        <w:spacing w:line="415" w:lineRule="auto"/>
        <w:ind w:firstLine="280" w:firstLineChars="100"/>
        <w:rPr>
          <w:rFonts w:ascii="黑体" w:hAnsi="黑体" w:eastAsia="黑体"/>
          <w:b w:val="0"/>
          <w:bCs w:val="0"/>
          <w:sz w:val="28"/>
          <w:szCs w:val="28"/>
        </w:rPr>
      </w:pPr>
      <w:bookmarkStart w:id="30" w:name="_Toc171935259"/>
      <w:r>
        <w:rPr>
          <w:rFonts w:hint="eastAsia" w:ascii="黑体" w:hAnsi="黑体" w:eastAsia="黑体"/>
          <w:b w:val="0"/>
          <w:bCs w:val="0"/>
          <w:sz w:val="28"/>
          <w:szCs w:val="28"/>
        </w:rPr>
        <w:t>（五）案例五</w:t>
      </w:r>
      <w:bookmarkEnd w:id="30"/>
    </w:p>
    <w:p>
      <w:pPr>
        <w:ind w:firstLine="602" w:firstLineChars="200"/>
        <w:rPr>
          <w:rFonts w:ascii="宋体" w:hAnsi="宋体" w:eastAsia="宋体"/>
          <w:sz w:val="30"/>
          <w:szCs w:val="30"/>
        </w:rPr>
      </w:pPr>
      <w:r>
        <w:rPr>
          <w:rFonts w:hint="eastAsia" w:ascii="宋体" w:hAnsi="宋体" w:eastAsia="宋体"/>
          <w:b/>
          <w:bCs/>
          <w:sz w:val="30"/>
          <w:szCs w:val="30"/>
        </w:rPr>
        <w:t>文件名称：</w:t>
      </w:r>
      <w:r>
        <w:rPr>
          <w:rFonts w:hint="eastAsia" w:ascii="宋体" w:hAnsi="宋体" w:eastAsia="宋体"/>
          <w:sz w:val="30"/>
          <w:szCs w:val="30"/>
        </w:rPr>
        <w:t>随县工业企业头部企业培育三年行动方案</w:t>
      </w:r>
    </w:p>
    <w:p>
      <w:pPr>
        <w:ind w:firstLine="602" w:firstLineChars="200"/>
        <w:rPr>
          <w:rFonts w:ascii="宋体" w:hAnsi="宋体" w:eastAsia="宋体"/>
          <w:sz w:val="30"/>
          <w:szCs w:val="30"/>
        </w:rPr>
      </w:pPr>
      <w:r>
        <w:rPr>
          <w:rFonts w:hint="eastAsia" w:ascii="宋体" w:hAnsi="宋体" w:eastAsia="宋体"/>
          <w:b/>
          <w:bCs/>
          <w:sz w:val="30"/>
          <w:szCs w:val="30"/>
        </w:rPr>
        <w:t>起草单位：</w:t>
      </w:r>
      <w:r>
        <w:rPr>
          <w:rFonts w:hint="eastAsia" w:ascii="宋体" w:hAnsi="宋体" w:eastAsia="宋体"/>
          <w:sz w:val="30"/>
          <w:szCs w:val="30"/>
        </w:rPr>
        <w:t>随县科学技术和经济信息化局</w:t>
      </w:r>
    </w:p>
    <w:p>
      <w:pPr>
        <w:ind w:firstLine="602" w:firstLineChars="200"/>
        <w:rPr>
          <w:rFonts w:ascii="宋体" w:hAnsi="宋体" w:eastAsia="宋体"/>
          <w:sz w:val="30"/>
          <w:szCs w:val="30"/>
        </w:rPr>
      </w:pPr>
      <w:r>
        <w:rPr>
          <w:rFonts w:hint="eastAsia" w:ascii="宋体" w:hAnsi="宋体" w:eastAsia="宋体"/>
          <w:b/>
          <w:bCs/>
          <w:sz w:val="30"/>
          <w:szCs w:val="30"/>
        </w:rPr>
        <w:t>涉及行业领域：</w:t>
      </w:r>
      <w:r>
        <w:rPr>
          <w:rFonts w:hint="eastAsia" w:ascii="宋体" w:hAnsi="宋体" w:eastAsia="宋体"/>
          <w:sz w:val="30"/>
          <w:szCs w:val="30"/>
        </w:rPr>
        <w:t>农产品加工、石材建材、先进制造、新能源</w:t>
      </w:r>
    </w:p>
    <w:p>
      <w:pPr>
        <w:ind w:firstLine="600"/>
        <w:rPr>
          <w:rFonts w:ascii="宋体" w:hAnsi="宋体" w:eastAsia="宋体"/>
          <w:sz w:val="30"/>
          <w:szCs w:val="30"/>
        </w:rPr>
      </w:pPr>
      <w:r>
        <w:rPr>
          <w:rFonts w:hint="eastAsia" w:ascii="宋体" w:hAnsi="宋体" w:eastAsia="宋体"/>
          <w:b/>
          <w:bCs/>
          <w:sz w:val="30"/>
          <w:szCs w:val="30"/>
        </w:rPr>
        <w:t>涉嫌违反公平竞争原则的规定的内容：</w:t>
      </w:r>
    </w:p>
    <w:p>
      <w:pPr>
        <w:ind w:firstLine="600"/>
        <w:rPr>
          <w:rFonts w:ascii="宋体" w:hAnsi="宋体" w:eastAsia="宋体"/>
          <w:b/>
          <w:bCs/>
          <w:sz w:val="30"/>
          <w:szCs w:val="30"/>
        </w:rPr>
      </w:pPr>
      <w:r>
        <w:rPr>
          <w:rFonts w:hint="eastAsia" w:ascii="宋体" w:hAnsi="宋体" w:eastAsia="宋体"/>
          <w:sz w:val="30"/>
          <w:szCs w:val="30"/>
        </w:rPr>
        <w:t>七、奖励办法 （五）</w:t>
      </w:r>
      <w:r>
        <w:rPr>
          <w:rFonts w:hint="eastAsia" w:ascii="宋体" w:hAnsi="宋体" w:eastAsia="宋体"/>
          <w:b/>
          <w:bCs/>
          <w:sz w:val="30"/>
          <w:szCs w:val="30"/>
        </w:rPr>
        <w:t>头部企业</w:t>
      </w:r>
      <w:r>
        <w:rPr>
          <w:rFonts w:hint="eastAsia" w:ascii="宋体" w:hAnsi="宋体" w:eastAsia="宋体"/>
          <w:sz w:val="30"/>
          <w:szCs w:val="30"/>
        </w:rPr>
        <w:t>有做强做大增资扩产需求的，</w:t>
      </w:r>
      <w:r>
        <w:rPr>
          <w:rFonts w:hint="eastAsia" w:ascii="宋体" w:hAnsi="宋体" w:eastAsia="宋体"/>
          <w:b/>
          <w:bCs/>
          <w:sz w:val="30"/>
          <w:szCs w:val="30"/>
        </w:rPr>
        <w:t>在每年全县工业土地指标中优先给予支持</w:t>
      </w:r>
    </w:p>
    <w:p>
      <w:pPr>
        <w:ind w:firstLine="600"/>
        <w:rPr>
          <w:rFonts w:ascii="宋体" w:hAnsi="宋体" w:eastAsia="宋体"/>
          <w:b/>
          <w:bCs/>
          <w:sz w:val="30"/>
          <w:szCs w:val="30"/>
        </w:rPr>
      </w:pPr>
      <w:r>
        <w:rPr>
          <w:rFonts w:hint="eastAsia" w:ascii="宋体" w:hAnsi="宋体" w:eastAsia="宋体"/>
          <w:b/>
          <w:bCs/>
          <w:sz w:val="30"/>
          <w:szCs w:val="30"/>
        </w:rPr>
        <w:t>分析：</w:t>
      </w:r>
    </w:p>
    <w:p>
      <w:pPr>
        <w:ind w:firstLine="600"/>
        <w:rPr>
          <w:rFonts w:ascii="宋体" w:hAnsi="宋体" w:eastAsia="宋体"/>
          <w:sz w:val="30"/>
          <w:szCs w:val="30"/>
        </w:rPr>
      </w:pPr>
      <w:r>
        <w:rPr>
          <w:rFonts w:hint="eastAsia" w:ascii="宋体" w:hAnsi="宋体" w:eastAsia="宋体"/>
          <w:sz w:val="30"/>
          <w:szCs w:val="30"/>
        </w:rPr>
        <w:t>行动方案中明确将在所评选出的头部企业有做强做大增资扩产需求时，在工业土地指标上给予优先支持，</w:t>
      </w:r>
      <w:r>
        <w:rPr>
          <w:rFonts w:ascii="宋体" w:hAnsi="宋体" w:eastAsia="宋体"/>
          <w:sz w:val="30"/>
          <w:szCs w:val="30"/>
        </w:rPr>
        <w:t>在土地要素获取方面，给予特定经营者优惠政策</w:t>
      </w:r>
      <w:r>
        <w:rPr>
          <w:rFonts w:hint="eastAsia" w:ascii="宋体" w:hAnsi="宋体" w:eastAsia="宋体"/>
          <w:sz w:val="30"/>
          <w:szCs w:val="30"/>
        </w:rPr>
        <w:t>，有违公平竞争原则。此外，行动方案所设定的评选条件中要求“企业具有较强的盈利能力和可持续发展力，评选年度实缴税金500万元以上，且企业亩均税收高于20万元”并明确将对评选出的企业给予奖励20万元，</w:t>
      </w:r>
      <w:r>
        <w:rPr>
          <w:rFonts w:hint="eastAsia" w:ascii="宋体" w:hAnsi="宋体" w:eastAsia="宋体"/>
          <w:b/>
          <w:bCs/>
          <w:sz w:val="30"/>
          <w:szCs w:val="30"/>
        </w:rPr>
        <w:t>将经济奖励的获取与税收挂钩</w:t>
      </w:r>
      <w:r>
        <w:rPr>
          <w:rFonts w:hint="eastAsia" w:ascii="宋体" w:hAnsi="宋体" w:eastAsia="宋体"/>
          <w:sz w:val="30"/>
          <w:szCs w:val="30"/>
        </w:rPr>
        <w:t>，违反了《公平竞争审查制度实施细则》第十五条第二款之规定。而即将于2024年8月1日施行的《公平竞争审查条例》，相较于《公平竞争审查制度实施细则》和《公平竞争审查条例（征求意见稿）》，则将奖补条件与特定经营者缴纳的税收挂钩的违规行为删除，因此上述规定在2024年8月1日后就不会被认定为涉嫌违反公平竞争原则的政策规定，但制定部门仍应注意奖励的适用对象的范围，避免存在明显的指向性。</w:t>
      </w:r>
    </w:p>
    <w:p>
      <w:pPr>
        <w:ind w:firstLine="600"/>
        <w:rPr>
          <w:rFonts w:ascii="宋体" w:hAnsi="宋体" w:eastAsia="宋体"/>
          <w:sz w:val="30"/>
          <w:szCs w:val="30"/>
        </w:rPr>
      </w:pPr>
      <w:r>
        <w:rPr>
          <w:rFonts w:hint="eastAsia" w:ascii="宋体" w:hAnsi="宋体" w:eastAsia="宋体"/>
          <w:sz w:val="30"/>
          <w:szCs w:val="30"/>
        </w:rPr>
        <w:t>综上，行动方案明确将对评选出的企业在工业土地指标上给予优先支持，违反了《公平竞争审查制度实施细则》第十五条第一款第三项之规定，建议修改或删除。</w:t>
      </w:r>
    </w:p>
    <w:p>
      <w:pPr>
        <w:pStyle w:val="3"/>
        <w:spacing w:line="415" w:lineRule="auto"/>
        <w:ind w:firstLine="280" w:firstLineChars="100"/>
        <w:rPr>
          <w:rFonts w:ascii="黑体" w:hAnsi="黑体" w:eastAsia="黑体"/>
          <w:b w:val="0"/>
          <w:bCs w:val="0"/>
          <w:sz w:val="28"/>
          <w:szCs w:val="28"/>
        </w:rPr>
      </w:pPr>
      <w:bookmarkStart w:id="31" w:name="_Toc171935260"/>
      <w:r>
        <w:rPr>
          <w:rFonts w:hint="eastAsia" w:ascii="黑体" w:hAnsi="黑体" w:eastAsia="黑体"/>
          <w:b w:val="0"/>
          <w:bCs w:val="0"/>
          <w:sz w:val="28"/>
          <w:szCs w:val="28"/>
        </w:rPr>
        <w:t>（六）总结</w:t>
      </w:r>
      <w:bookmarkEnd w:id="31"/>
    </w:p>
    <w:p>
      <w:pPr>
        <w:ind w:firstLine="600"/>
        <w:rPr>
          <w:rFonts w:ascii="宋体" w:hAnsi="宋体" w:eastAsia="宋体"/>
          <w:color w:val="333333"/>
          <w:sz w:val="30"/>
          <w:szCs w:val="30"/>
          <w:shd w:val="clear" w:color="auto" w:fill="FFFFFF"/>
        </w:rPr>
      </w:pPr>
      <w:r>
        <w:rPr>
          <w:rFonts w:hint="eastAsia" w:ascii="宋体" w:hAnsi="宋体" w:eastAsia="宋体"/>
          <w:sz w:val="30"/>
          <w:szCs w:val="30"/>
        </w:rPr>
        <w:t>项目组从40份涉及市场主体经济活动的文件中发现5份涉嫌违反公平竞争原则的文件，就文件所涉及的</w:t>
      </w:r>
      <w:r>
        <w:rPr>
          <w:rFonts w:hint="eastAsia" w:ascii="宋体" w:hAnsi="宋体" w:eastAsia="宋体"/>
          <w:color w:val="333333"/>
          <w:sz w:val="30"/>
          <w:szCs w:val="30"/>
          <w:shd w:val="clear" w:color="auto" w:fill="FFFFFF"/>
        </w:rPr>
        <w:t>排除、限制竞争的规定而言则可以归纳为以下四类：</w:t>
      </w:r>
    </w:p>
    <w:p>
      <w:pPr>
        <w:ind w:firstLine="600"/>
        <w:rPr>
          <w:rFonts w:ascii="宋体" w:hAnsi="宋体" w:eastAsia="宋体"/>
          <w:sz w:val="30"/>
          <w:szCs w:val="30"/>
        </w:rPr>
      </w:pPr>
      <w:r>
        <w:rPr>
          <w:rFonts w:hint="eastAsia" w:ascii="宋体" w:hAnsi="宋体" w:eastAsia="宋体"/>
          <w:sz w:val="30"/>
          <w:szCs w:val="30"/>
        </w:rPr>
        <w:t>1.将在本地投资或者设立分支机构作为参与本地招标投标、享受补贴和优惠政策等的必要条件，</w:t>
      </w:r>
      <w:bookmarkStart w:id="32" w:name="_Hlk165016618"/>
      <w:r>
        <w:rPr>
          <w:rFonts w:hint="eastAsia" w:ascii="宋体" w:hAnsi="宋体" w:eastAsia="宋体"/>
          <w:sz w:val="30"/>
          <w:szCs w:val="30"/>
        </w:rPr>
        <w:t>变相强制外地经营者在本地投资或者设立分支机构</w:t>
      </w:r>
      <w:bookmarkEnd w:id="32"/>
      <w:r>
        <w:rPr>
          <w:rFonts w:hint="eastAsia" w:ascii="宋体" w:hAnsi="宋体" w:eastAsia="宋体"/>
          <w:sz w:val="30"/>
          <w:szCs w:val="30"/>
        </w:rPr>
        <w:t>；</w:t>
      </w:r>
    </w:p>
    <w:p>
      <w:pPr>
        <w:ind w:firstLine="600"/>
        <w:rPr>
          <w:rFonts w:ascii="宋体" w:hAnsi="宋体" w:eastAsia="宋体"/>
          <w:sz w:val="30"/>
          <w:szCs w:val="30"/>
        </w:rPr>
      </w:pPr>
      <w:r>
        <w:rPr>
          <w:rFonts w:hint="eastAsia" w:ascii="宋体" w:hAnsi="宋体" w:eastAsia="宋体"/>
          <w:sz w:val="30"/>
          <w:szCs w:val="30"/>
        </w:rPr>
        <w:t>2.</w:t>
      </w:r>
      <w:r>
        <w:rPr>
          <w:rFonts w:ascii="宋体" w:hAnsi="宋体" w:eastAsia="宋体"/>
          <w:sz w:val="30"/>
          <w:szCs w:val="30"/>
        </w:rPr>
        <w:t>在土地、劳动力、资本、技术、数据等要素获取方面，给予特定经营者优惠政策</w:t>
      </w:r>
      <w:r>
        <w:rPr>
          <w:rFonts w:hint="eastAsia" w:ascii="宋体" w:hAnsi="宋体" w:eastAsia="宋体"/>
          <w:sz w:val="30"/>
          <w:szCs w:val="30"/>
        </w:rPr>
        <w:t>；</w:t>
      </w:r>
    </w:p>
    <w:p>
      <w:pPr>
        <w:ind w:firstLine="600"/>
        <w:rPr>
          <w:rFonts w:ascii="宋体" w:hAnsi="宋体" w:eastAsia="宋体"/>
          <w:sz w:val="30"/>
          <w:szCs w:val="30"/>
        </w:rPr>
      </w:pPr>
      <w:r>
        <w:rPr>
          <w:rFonts w:hint="eastAsia" w:ascii="宋体" w:hAnsi="宋体" w:eastAsia="宋体"/>
          <w:sz w:val="30"/>
          <w:szCs w:val="30"/>
        </w:rPr>
        <w:t>3.</w:t>
      </w:r>
      <w:r>
        <w:t xml:space="preserve"> </w:t>
      </w:r>
      <w:r>
        <w:rPr>
          <w:rFonts w:ascii="宋体" w:hAnsi="宋体" w:eastAsia="宋体"/>
          <w:sz w:val="30"/>
          <w:szCs w:val="30"/>
        </w:rPr>
        <w:t>将在本地取得的业绩、荣誉等纳入中标条件，变相限制外地经营者参加本地招投标活动</w:t>
      </w:r>
      <w:r>
        <w:rPr>
          <w:rFonts w:hint="eastAsia" w:ascii="宋体" w:hAnsi="宋体" w:eastAsia="宋体"/>
          <w:sz w:val="30"/>
          <w:szCs w:val="30"/>
        </w:rPr>
        <w:t>；</w:t>
      </w:r>
    </w:p>
    <w:p>
      <w:pPr>
        <w:ind w:firstLine="600"/>
        <w:rPr>
          <w:rFonts w:ascii="宋体" w:hAnsi="宋体" w:eastAsia="宋体"/>
          <w:sz w:val="30"/>
          <w:szCs w:val="30"/>
        </w:rPr>
      </w:pPr>
      <w:r>
        <w:rPr>
          <w:rFonts w:hint="eastAsia" w:ascii="宋体" w:hAnsi="宋体" w:eastAsia="宋体"/>
          <w:sz w:val="30"/>
          <w:szCs w:val="30"/>
        </w:rPr>
        <w:t>4.将奖补条件与特定经营者缴纳的税收挂钩（《公平竞争审查条例》于2024年8月1日施行后，此类奖补将不再被认定为有违公平竞争原则，可以实施但应注重普惠性）。</w:t>
      </w:r>
    </w:p>
    <w:p>
      <w:pPr>
        <w:ind w:firstLine="600"/>
        <w:rPr>
          <w:rFonts w:ascii="宋体" w:hAnsi="宋体" w:eastAsia="宋体"/>
          <w:sz w:val="30"/>
          <w:szCs w:val="30"/>
        </w:rPr>
      </w:pPr>
      <w:r>
        <w:rPr>
          <w:rFonts w:hint="eastAsia" w:ascii="宋体" w:hAnsi="宋体" w:eastAsia="宋体"/>
          <w:sz w:val="30"/>
          <w:szCs w:val="30"/>
        </w:rPr>
        <w:t>5</w:t>
      </w:r>
      <w:r>
        <w:rPr>
          <w:rFonts w:ascii="宋体" w:hAnsi="宋体" w:eastAsia="宋体"/>
          <w:sz w:val="30"/>
          <w:szCs w:val="30"/>
        </w:rPr>
        <w:t>份文件实际违反的审查标准的具体情况详见</w:t>
      </w:r>
      <w:r>
        <w:rPr>
          <w:rFonts w:hint="eastAsia" w:ascii="宋体" w:hAnsi="宋体" w:eastAsia="宋体"/>
          <w:sz w:val="30"/>
          <w:szCs w:val="30"/>
        </w:rPr>
        <w:t>下表。</w:t>
      </w:r>
    </w:p>
    <w:p>
      <w:pPr>
        <w:ind w:firstLine="600"/>
        <w:rPr>
          <w:rFonts w:ascii="宋体" w:hAnsi="宋体" w:eastAsia="宋体"/>
          <w:sz w:val="30"/>
          <w:szCs w:val="30"/>
        </w:rPr>
      </w:pPr>
      <w:r>
        <w:rPr>
          <w:rFonts w:ascii="宋体" w:hAnsi="宋体" w:eastAsia="宋体"/>
          <w:b/>
          <w:bCs/>
          <w:sz w:val="30"/>
          <w:szCs w:val="30"/>
        </w:rPr>
        <w:drawing>
          <wp:inline distT="0" distB="0" distL="0" distR="0">
            <wp:extent cx="5274310" cy="3922395"/>
            <wp:effectExtent l="0" t="0" r="8890"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00"/>
        <w:rPr>
          <w:rFonts w:ascii="宋体" w:hAnsi="宋体" w:eastAsia="宋体"/>
          <w:sz w:val="30"/>
          <w:szCs w:val="30"/>
        </w:rPr>
      </w:pPr>
      <w:r>
        <w:rPr>
          <w:rFonts w:hint="eastAsia" w:ascii="宋体" w:hAnsi="宋体" w:eastAsia="宋体"/>
          <w:sz w:val="30"/>
          <w:szCs w:val="30"/>
        </w:rPr>
        <w:t>与前两次评估的结果相比，本次评估所发现的涉嫌违反公平竞争原则的文件中大量出现变相强制外地经营者在本地投资或者设立分支机构的规定，这反映了部分成员单位在短时间内快速提升与之相关的产业的发展的迫切愿望，但这种“总部经济“在当下的经济大环境下即使实际落地又是否能助推本地产业产生积聚效应，以及随县本地的产业配套、人力供给和交通网络等资源禀赋能否真正承载“总部经济”仍有待观察，相关部门对于此种发展模式应审慎对待。</w:t>
      </w:r>
    </w:p>
    <w:p>
      <w:pPr>
        <w:ind w:firstLine="600"/>
        <w:rPr>
          <w:rFonts w:ascii="宋体" w:hAnsi="宋体" w:eastAsia="宋体"/>
          <w:sz w:val="30"/>
          <w:szCs w:val="30"/>
        </w:rPr>
      </w:pPr>
    </w:p>
    <w:p>
      <w:pPr>
        <w:pStyle w:val="2"/>
        <w:ind w:firstLine="602" w:firstLineChars="200"/>
        <w:rPr>
          <w:rFonts w:ascii="宋体" w:hAnsi="宋体" w:eastAsia="宋体" w:cs="Times New Roman (正文 CS 字体)"/>
          <w:sz w:val="30"/>
          <w:szCs w:val="30"/>
        </w:rPr>
      </w:pPr>
      <w:bookmarkStart w:id="33" w:name="_Toc171935261"/>
      <w:r>
        <w:rPr>
          <w:rFonts w:hint="eastAsia" w:ascii="宋体" w:hAnsi="宋体" w:eastAsia="宋体" w:cs="Times New Roman (正文 CS 字体)"/>
          <w:sz w:val="30"/>
          <w:szCs w:val="30"/>
        </w:rPr>
        <w:t>七、随县公平竞争审查工作开展情况的SWOT分析</w:t>
      </w:r>
      <w:bookmarkEnd w:id="33"/>
    </w:p>
    <w:p>
      <w:pPr>
        <w:pStyle w:val="3"/>
        <w:spacing w:line="415" w:lineRule="auto"/>
        <w:ind w:firstLine="280" w:firstLineChars="100"/>
        <w:rPr>
          <w:rFonts w:ascii="黑体" w:hAnsi="黑体" w:eastAsia="黑体"/>
          <w:b w:val="0"/>
          <w:bCs w:val="0"/>
          <w:sz w:val="28"/>
          <w:szCs w:val="28"/>
        </w:rPr>
      </w:pPr>
      <w:bookmarkStart w:id="34" w:name="_Toc171935262"/>
      <w:bookmarkStart w:id="35" w:name="_Hlk165018330"/>
      <w:r>
        <w:rPr>
          <w:rFonts w:hint="eastAsia" w:ascii="黑体" w:hAnsi="黑体" w:eastAsia="黑体"/>
          <w:b w:val="0"/>
          <w:bCs w:val="0"/>
          <w:sz w:val="28"/>
          <w:szCs w:val="28"/>
        </w:rPr>
        <w:t>（一）SWOT分析法概述</w:t>
      </w:r>
      <w:bookmarkEnd w:id="34"/>
    </w:p>
    <w:bookmarkEnd w:id="35"/>
    <w:p>
      <w:pPr>
        <w:ind w:firstLine="600"/>
        <w:rPr>
          <w:rFonts w:ascii="宋体" w:hAnsi="宋体" w:eastAsia="宋体"/>
          <w:sz w:val="30"/>
          <w:szCs w:val="30"/>
        </w:rPr>
      </w:pPr>
      <w:r>
        <w:rPr>
          <w:rFonts w:hint="eastAsia" w:ascii="宋体" w:hAnsi="宋体" w:eastAsia="宋体"/>
          <w:sz w:val="30"/>
          <w:szCs w:val="30"/>
        </w:rPr>
        <w:t>SWOT分析最早是由哈佛大学商学院的企业战略决策教授肯尼斯·安德鲁斯</w:t>
      </w:r>
      <w:r>
        <w:rPr>
          <w:rFonts w:ascii="宋体" w:hAnsi="宋体" w:eastAsia="宋体"/>
          <w:sz w:val="30"/>
          <w:szCs w:val="30"/>
        </w:rPr>
        <w:t>(Kenneth R. Andrews)</w:t>
      </w:r>
      <w:r>
        <w:rPr>
          <w:rFonts w:hint="eastAsia" w:ascii="宋体" w:hAnsi="宋体" w:eastAsia="宋体"/>
          <w:sz w:val="30"/>
          <w:szCs w:val="30"/>
        </w:rPr>
        <w:t>于1971年在其著作《公司战略概念》中提出，主要分析项目有四项即优势（Strength）、劣势（Weakness）、机遇（Opportunity）和挑战（Threat）。SWOT分析常用于企业案例分析，其基本实施路径为基于企业内部的竞争环境和外部的竞争条件，再通过分析研究对象于内部的各种优势、劣势和外部的各种机会、威胁，进而以矩阵的方式对各因素进行排序并运用系统分析的思想对各个影响因素进行比较，最终为决策提供参考。</w:t>
      </w:r>
    </w:p>
    <w:p>
      <w:pPr>
        <w:pStyle w:val="3"/>
        <w:spacing w:line="415" w:lineRule="auto"/>
        <w:ind w:firstLine="280" w:firstLineChars="100"/>
        <w:rPr>
          <w:rFonts w:ascii="黑体" w:hAnsi="黑体" w:eastAsia="黑体"/>
          <w:b w:val="0"/>
          <w:bCs w:val="0"/>
          <w:sz w:val="28"/>
          <w:szCs w:val="28"/>
        </w:rPr>
      </w:pPr>
      <w:bookmarkStart w:id="36" w:name="_Toc171935263"/>
      <w:r>
        <w:rPr>
          <w:rFonts w:hint="eastAsia" w:ascii="黑体" w:hAnsi="黑体" w:eastAsia="黑体"/>
          <w:b w:val="0"/>
          <w:bCs w:val="0"/>
          <w:sz w:val="28"/>
          <w:szCs w:val="28"/>
        </w:rPr>
        <w:t>（二）运用SWOT分析法来评估随县公平竞争审查工作开展情况的必要性</w:t>
      </w:r>
      <w:bookmarkEnd w:id="36"/>
    </w:p>
    <w:p>
      <w:pPr>
        <w:ind w:firstLine="600"/>
        <w:rPr>
          <w:rFonts w:ascii="宋体" w:hAnsi="宋体" w:eastAsia="宋体"/>
          <w:sz w:val="30"/>
          <w:szCs w:val="30"/>
        </w:rPr>
      </w:pPr>
      <w:r>
        <w:rPr>
          <w:rFonts w:hint="eastAsia" w:ascii="宋体" w:hAnsi="宋体" w:eastAsia="宋体"/>
          <w:sz w:val="30"/>
          <w:szCs w:val="30"/>
        </w:rPr>
        <w:t>SWOT分析法作为一种策略分析方法，能够帮助策略制定者分析内部条件和外部条件，从而更好地制定应对策略，而政府作为一个以国家力量为支撑的组织与企业存在一定程度的相似性，政府工作的开展也需要合理配置资源并作出最优解，这也就决定了政府工作在推进过程中要充分利用内部和外部资源，了解自身的优势和劣势，理性面对各种机遇和挑战。而随县的公平竞争审查第三方评估至今已进行了三次，公平竞争审查工作在随县机关开展过程中的各种影响因素也已充分显露出来，因此有必要对此项工作进行一次透彻的分析，从而为外来的工作路径优化提供参考。</w:t>
      </w:r>
    </w:p>
    <w:p>
      <w:pPr>
        <w:pStyle w:val="3"/>
        <w:spacing w:line="415" w:lineRule="auto"/>
        <w:ind w:firstLine="280" w:firstLineChars="100"/>
        <w:rPr>
          <w:rFonts w:ascii="黑体" w:hAnsi="黑体" w:eastAsia="黑体"/>
          <w:b w:val="0"/>
          <w:bCs w:val="0"/>
          <w:sz w:val="28"/>
          <w:szCs w:val="28"/>
        </w:rPr>
      </w:pPr>
      <w:bookmarkStart w:id="37" w:name="_Toc171935264"/>
      <w:r>
        <w:rPr>
          <w:rFonts w:hint="eastAsia" w:ascii="黑体" w:hAnsi="黑体" w:eastAsia="黑体"/>
          <w:b w:val="0"/>
          <w:bCs w:val="0"/>
          <w:sz w:val="28"/>
          <w:szCs w:val="28"/>
        </w:rPr>
        <w:t>（三）随县公平竞争审查工作开展过程中的优势分析（S）</w:t>
      </w:r>
      <w:bookmarkEnd w:id="37"/>
    </w:p>
    <w:p>
      <w:pPr>
        <w:ind w:firstLine="600"/>
        <w:rPr>
          <w:rFonts w:ascii="宋体" w:hAnsi="宋体" w:eastAsia="宋体"/>
          <w:sz w:val="30"/>
          <w:szCs w:val="30"/>
        </w:rPr>
      </w:pPr>
      <w:r>
        <w:rPr>
          <w:rFonts w:hint="eastAsia" w:ascii="宋体" w:hAnsi="宋体" w:eastAsia="宋体"/>
          <w:b/>
          <w:bCs/>
          <w:sz w:val="30"/>
          <w:szCs w:val="30"/>
        </w:rPr>
        <w:t>1.</w:t>
      </w:r>
      <w:r>
        <w:rPr>
          <w:rFonts w:hint="eastAsia"/>
          <w:b/>
          <w:bCs/>
        </w:rPr>
        <w:t xml:space="preserve"> </w:t>
      </w:r>
      <w:r>
        <w:rPr>
          <w:rFonts w:hint="eastAsia" w:ascii="宋体" w:hAnsi="宋体" w:eastAsia="宋体"/>
          <w:b/>
          <w:bCs/>
          <w:sz w:val="30"/>
          <w:szCs w:val="30"/>
        </w:rPr>
        <w:t>公平竞争审查机制纸面的工作制度已在大多数成员单位建立。</w:t>
      </w:r>
      <w:r>
        <w:rPr>
          <w:rFonts w:hint="eastAsia" w:ascii="宋体" w:hAnsi="宋体" w:eastAsia="宋体"/>
          <w:sz w:val="30"/>
          <w:szCs w:val="30"/>
        </w:rPr>
        <w:t>大多数成员单位已在部门内部下发了公平竞争审查的相关工作文件，其中明确了“谁起草、谁审查”的原则，以及审查对象为涉及市场准入、产业发展、招商引资、招投标、政府采购、资质标准等与市场主体经济活动息息相关的拟发布的政策措施。同时，《公平竞争审查标准及例外规定》《公平竞争审查基本流程》、《公平竞争审查表》等指导性文件也一并下达。据此，可以确定公平竞争审查纸面上的工作制度已在大多数成员单位建立。</w:t>
      </w:r>
    </w:p>
    <w:p>
      <w:pPr>
        <w:ind w:firstLine="600"/>
        <w:rPr>
          <w:rFonts w:ascii="宋体" w:hAnsi="宋体" w:eastAsia="宋体"/>
          <w:sz w:val="30"/>
          <w:szCs w:val="30"/>
        </w:rPr>
      </w:pPr>
      <w:r>
        <w:rPr>
          <w:rFonts w:ascii="宋体" w:hAnsi="宋体" w:eastAsia="宋体"/>
          <w:sz w:val="30"/>
          <w:szCs w:val="30"/>
        </w:rPr>
        <w:t xml:space="preserve"> </w:t>
      </w:r>
      <w:r>
        <w:rPr>
          <w:rFonts w:ascii="宋体" w:hAnsi="宋体" w:eastAsia="宋体"/>
          <w:b/>
          <w:bCs/>
          <w:sz w:val="30"/>
          <w:szCs w:val="30"/>
        </w:rPr>
        <w:t>2</w:t>
      </w:r>
      <w:r>
        <w:rPr>
          <w:rFonts w:hint="eastAsia" w:ascii="宋体" w:hAnsi="宋体" w:eastAsia="宋体"/>
          <w:b/>
          <w:bCs/>
          <w:sz w:val="30"/>
          <w:szCs w:val="30"/>
        </w:rPr>
        <w:t>．</w:t>
      </w:r>
      <w:r>
        <w:rPr>
          <w:rFonts w:ascii="宋体" w:hAnsi="宋体" w:eastAsia="宋体"/>
          <w:b/>
          <w:bCs/>
          <w:sz w:val="30"/>
          <w:szCs w:val="30"/>
        </w:rPr>
        <w:t>各成员单位都已在内部确定了公平竞争审查工作的承办</w:t>
      </w:r>
      <w:r>
        <w:rPr>
          <w:rFonts w:hint="eastAsia" w:ascii="宋体" w:hAnsi="宋体" w:eastAsia="宋体"/>
          <w:b/>
          <w:bCs/>
          <w:sz w:val="30"/>
          <w:szCs w:val="30"/>
        </w:rPr>
        <w:t>股室</w:t>
      </w:r>
      <w:r>
        <w:rPr>
          <w:rFonts w:ascii="宋体" w:hAnsi="宋体" w:eastAsia="宋体"/>
          <w:b/>
          <w:bCs/>
          <w:sz w:val="30"/>
          <w:szCs w:val="30"/>
        </w:rPr>
        <w:t>。</w:t>
      </w:r>
      <w:r>
        <w:rPr>
          <w:rFonts w:ascii="宋体" w:hAnsi="宋体" w:eastAsia="宋体"/>
          <w:sz w:val="30"/>
          <w:szCs w:val="30"/>
        </w:rPr>
        <w:t>在实地走访2</w:t>
      </w:r>
      <w:r>
        <w:rPr>
          <w:rFonts w:hint="eastAsia" w:ascii="宋体" w:hAnsi="宋体" w:eastAsia="宋体"/>
          <w:sz w:val="30"/>
          <w:szCs w:val="30"/>
        </w:rPr>
        <w:t>3</w:t>
      </w:r>
      <w:r>
        <w:rPr>
          <w:rFonts w:ascii="宋体" w:hAnsi="宋体" w:eastAsia="宋体"/>
          <w:sz w:val="30"/>
          <w:szCs w:val="30"/>
        </w:rPr>
        <w:t>个成员单位的过程中，各成员单位的工作对接</w:t>
      </w:r>
      <w:r>
        <w:rPr>
          <w:rFonts w:hint="eastAsia" w:ascii="宋体" w:hAnsi="宋体" w:eastAsia="宋体"/>
          <w:sz w:val="30"/>
          <w:szCs w:val="30"/>
        </w:rPr>
        <w:t>股</w:t>
      </w:r>
      <w:r>
        <w:rPr>
          <w:rFonts w:ascii="宋体" w:hAnsi="宋体" w:eastAsia="宋体"/>
          <w:sz w:val="30"/>
          <w:szCs w:val="30"/>
        </w:rPr>
        <w:t>室几乎都为法规</w:t>
      </w:r>
      <w:r>
        <w:rPr>
          <w:rFonts w:hint="eastAsia" w:ascii="宋体" w:hAnsi="宋体" w:eastAsia="宋体"/>
          <w:sz w:val="30"/>
          <w:szCs w:val="30"/>
        </w:rPr>
        <w:t>股</w:t>
      </w:r>
      <w:r>
        <w:rPr>
          <w:rFonts w:ascii="宋体" w:hAnsi="宋体" w:eastAsia="宋体"/>
          <w:sz w:val="30"/>
          <w:szCs w:val="30"/>
        </w:rPr>
        <w:t>或类似</w:t>
      </w:r>
      <w:r>
        <w:rPr>
          <w:rFonts w:hint="eastAsia" w:ascii="宋体" w:hAnsi="宋体" w:eastAsia="宋体"/>
          <w:sz w:val="30"/>
          <w:szCs w:val="30"/>
        </w:rPr>
        <w:t>股</w:t>
      </w:r>
      <w:r>
        <w:rPr>
          <w:rFonts w:ascii="宋体" w:hAnsi="宋体" w:eastAsia="宋体"/>
          <w:sz w:val="30"/>
          <w:szCs w:val="30"/>
        </w:rPr>
        <w:t>室。因此，目前各成员单位都已在内部确定了公平竞争审查工作的承办</w:t>
      </w:r>
      <w:r>
        <w:rPr>
          <w:rFonts w:hint="eastAsia" w:ascii="宋体" w:hAnsi="宋体" w:eastAsia="宋体"/>
          <w:sz w:val="30"/>
          <w:szCs w:val="30"/>
        </w:rPr>
        <w:t>股</w:t>
      </w:r>
      <w:r>
        <w:rPr>
          <w:rFonts w:ascii="宋体" w:hAnsi="宋体" w:eastAsia="宋体"/>
          <w:sz w:val="30"/>
          <w:szCs w:val="30"/>
        </w:rPr>
        <w:t>室，且承办</w:t>
      </w:r>
      <w:r>
        <w:rPr>
          <w:rFonts w:hint="eastAsia" w:ascii="宋体" w:hAnsi="宋体" w:eastAsia="宋体"/>
          <w:sz w:val="30"/>
          <w:szCs w:val="30"/>
        </w:rPr>
        <w:t>股</w:t>
      </w:r>
      <w:r>
        <w:rPr>
          <w:rFonts w:ascii="宋体" w:hAnsi="宋体" w:eastAsia="宋体"/>
          <w:sz w:val="30"/>
          <w:szCs w:val="30"/>
        </w:rPr>
        <w:t>室为负责法制审核等工作的法规</w:t>
      </w:r>
      <w:r>
        <w:rPr>
          <w:rFonts w:hint="eastAsia" w:ascii="宋体" w:hAnsi="宋体" w:eastAsia="宋体"/>
          <w:sz w:val="30"/>
          <w:szCs w:val="30"/>
        </w:rPr>
        <w:t>股</w:t>
      </w:r>
      <w:r>
        <w:rPr>
          <w:rFonts w:ascii="宋体" w:hAnsi="宋体" w:eastAsia="宋体"/>
          <w:sz w:val="30"/>
          <w:szCs w:val="30"/>
        </w:rPr>
        <w:t>。同时，考虑到合法性审查与公平竞争审查的相似性，采取此种工作分配方式也属合理。</w:t>
      </w:r>
    </w:p>
    <w:p>
      <w:pPr>
        <w:pStyle w:val="3"/>
        <w:spacing w:line="415" w:lineRule="auto"/>
        <w:ind w:firstLine="280" w:firstLineChars="100"/>
        <w:rPr>
          <w:rFonts w:ascii="黑体" w:hAnsi="黑体" w:eastAsia="黑体"/>
          <w:b w:val="0"/>
          <w:bCs w:val="0"/>
          <w:sz w:val="28"/>
          <w:szCs w:val="28"/>
        </w:rPr>
      </w:pPr>
      <w:bookmarkStart w:id="38" w:name="_Toc171935265"/>
      <w:bookmarkStart w:id="39" w:name="_Hlk165020484"/>
      <w:bookmarkStart w:id="40" w:name="_Hlk165020495"/>
      <w:r>
        <w:rPr>
          <w:rFonts w:hint="eastAsia" w:ascii="黑体" w:hAnsi="黑体" w:eastAsia="黑体"/>
          <w:b w:val="0"/>
          <w:bCs w:val="0"/>
          <w:sz w:val="28"/>
          <w:szCs w:val="28"/>
        </w:rPr>
        <w:t>（四）随县公平竞争审查工作开展过程中的劣势分析（W）</w:t>
      </w:r>
      <w:bookmarkEnd w:id="38"/>
      <w:bookmarkEnd w:id="39"/>
    </w:p>
    <w:bookmarkEnd w:id="40"/>
    <w:p>
      <w:pPr>
        <w:spacing w:line="360" w:lineRule="auto"/>
        <w:ind w:firstLine="602" w:firstLineChars="200"/>
        <w:jc w:val="left"/>
        <w:rPr>
          <w:rFonts w:ascii="宋体" w:hAnsi="宋体" w:eastAsia="宋体"/>
          <w:color w:val="333333"/>
          <w:sz w:val="30"/>
          <w:szCs w:val="30"/>
          <w:shd w:val="clear" w:color="auto" w:fill="FFFFFF"/>
        </w:rPr>
      </w:pPr>
      <w:r>
        <w:rPr>
          <w:rFonts w:hint="eastAsia" w:ascii="宋体" w:hAnsi="宋体" w:eastAsia="宋体"/>
          <w:b/>
          <w:bCs/>
          <w:color w:val="333333"/>
          <w:sz w:val="30"/>
          <w:szCs w:val="30"/>
          <w:shd w:val="clear" w:color="auto" w:fill="FFFFFF"/>
        </w:rPr>
        <w:t>1.各成员单位公平竞争审查工作的人员配置和专业能力仍有待提高。</w:t>
      </w:r>
      <w:r>
        <w:rPr>
          <w:rFonts w:hint="eastAsia" w:ascii="宋体" w:hAnsi="宋体" w:eastAsia="宋体"/>
          <w:color w:val="333333"/>
          <w:sz w:val="30"/>
          <w:szCs w:val="30"/>
          <w:shd w:val="clear" w:color="auto" w:fill="FFFFFF"/>
        </w:rPr>
        <w:t>各成员单位在内部下达公平竞争审查工作的相关文件时，普遍都会明确要实行“谁起草、谁审查”的原则。而在实际推行过程中，公平竞争审查工作几乎都由法规股或类似股室一力承担，但这些股室往往都是一人一股，完成合法性审查工作已属不易，公平竞争审查则只能有意或无意地忽略。同时，目前对于各成员单位的公平竞争审查培训工作并未常态化地进行，导致相关工作人员对此概念十分模糊，缺乏相应的问题意识，专业能力亟待提高。</w:t>
      </w:r>
    </w:p>
    <w:p>
      <w:pPr>
        <w:ind w:firstLine="600"/>
        <w:rPr>
          <w:rFonts w:ascii="宋体" w:hAnsi="宋体" w:eastAsia="宋体"/>
          <w:color w:val="333333"/>
          <w:sz w:val="30"/>
          <w:szCs w:val="30"/>
          <w:shd w:val="clear" w:color="auto" w:fill="FFFFFF"/>
        </w:rPr>
      </w:pPr>
      <w:r>
        <w:rPr>
          <w:rFonts w:hint="eastAsia" w:ascii="宋体" w:hAnsi="宋体" w:eastAsia="宋体"/>
          <w:b/>
          <w:bCs/>
          <w:color w:val="333333"/>
          <w:sz w:val="30"/>
          <w:szCs w:val="30"/>
          <w:shd w:val="clear" w:color="auto" w:fill="FFFFFF"/>
        </w:rPr>
        <w:t>2.大多数成员单位的公平竞争审查工作流于形式。</w:t>
      </w:r>
      <w:r>
        <w:rPr>
          <w:rFonts w:hint="eastAsia" w:ascii="宋体" w:hAnsi="宋体" w:eastAsia="宋体"/>
          <w:color w:val="333333"/>
          <w:sz w:val="30"/>
          <w:szCs w:val="30"/>
          <w:shd w:val="clear" w:color="auto" w:fill="FFFFFF"/>
        </w:rPr>
        <w:t>通过前面两点说明，我们已经可以看出目前大多数成员单位的公平竞争审查工作的实际开展情况并不乐观，能够制作《公平竞争审查表》并在政府门户网站上公示征求意见已属难得，机关内部OA系统中公平竞争审查板块上往往也只有寥寥几笔的审查通过的结论，至于审查过程和通过的理由则是不言自明的欠奉。</w:t>
      </w:r>
    </w:p>
    <w:p>
      <w:pPr>
        <w:pStyle w:val="3"/>
        <w:spacing w:line="415" w:lineRule="auto"/>
        <w:ind w:firstLine="280" w:firstLineChars="100"/>
        <w:rPr>
          <w:rFonts w:ascii="黑体" w:hAnsi="黑体" w:eastAsia="黑体"/>
          <w:b w:val="0"/>
          <w:bCs w:val="0"/>
          <w:sz w:val="28"/>
          <w:szCs w:val="28"/>
        </w:rPr>
      </w:pPr>
      <w:bookmarkStart w:id="41" w:name="_Toc171935266"/>
      <w:bookmarkStart w:id="42" w:name="_Hlk165020987"/>
      <w:r>
        <w:rPr>
          <w:rFonts w:hint="eastAsia" w:ascii="黑体" w:hAnsi="黑体" w:eastAsia="黑体"/>
          <w:b w:val="0"/>
          <w:bCs w:val="0"/>
          <w:sz w:val="28"/>
          <w:szCs w:val="28"/>
        </w:rPr>
        <w:t>（五）随县公平竞争审查工作开展过程中的机遇分析（O）</w:t>
      </w:r>
      <w:bookmarkEnd w:id="41"/>
    </w:p>
    <w:bookmarkEnd w:id="42"/>
    <w:p>
      <w:pPr>
        <w:ind w:firstLine="600"/>
        <w:rPr>
          <w:rFonts w:ascii="宋体" w:hAnsi="宋体" w:eastAsia="宋体"/>
          <w:sz w:val="30"/>
          <w:szCs w:val="30"/>
        </w:rPr>
      </w:pPr>
      <w:r>
        <w:rPr>
          <w:rFonts w:hint="eastAsia" w:ascii="宋体" w:hAnsi="宋体" w:eastAsia="宋体"/>
          <w:sz w:val="30"/>
          <w:szCs w:val="30"/>
        </w:rPr>
        <w:t>前述公平竞争审查宏观政策、实施细则发展趋势已足以说明公平竞争审查工作在当下的重要性，毕竟党的二十大报告已将其与产权保护、市场准入、社会信用并列，定位为市场经济的基础制度。同时，首部行业领域公平竞争审查规则即《招标投标领域公平竞争审查规则》的出台，以及《公平竞争审查条例》开始面向社会征求意见，也充分说明了公平竞争审查工作未来的“康庄大道”。</w:t>
      </w:r>
    </w:p>
    <w:p>
      <w:pPr>
        <w:pStyle w:val="3"/>
        <w:spacing w:line="415" w:lineRule="auto"/>
        <w:ind w:firstLine="280" w:firstLineChars="100"/>
        <w:rPr>
          <w:rFonts w:ascii="黑体" w:hAnsi="黑体" w:eastAsia="黑体"/>
          <w:b w:val="0"/>
          <w:bCs w:val="0"/>
          <w:sz w:val="28"/>
          <w:szCs w:val="28"/>
        </w:rPr>
      </w:pPr>
      <w:bookmarkStart w:id="43" w:name="_Toc171935267"/>
      <w:r>
        <w:rPr>
          <w:rFonts w:hint="eastAsia" w:ascii="黑体" w:hAnsi="黑体" w:eastAsia="黑体"/>
          <w:b w:val="0"/>
          <w:bCs w:val="0"/>
          <w:sz w:val="28"/>
          <w:szCs w:val="28"/>
        </w:rPr>
        <w:t>（六）随县公平竞争审查工作开展过程中的威胁分析（T）</w:t>
      </w:r>
      <w:bookmarkEnd w:id="43"/>
    </w:p>
    <w:p>
      <w:pPr>
        <w:ind w:firstLine="600"/>
        <w:rPr>
          <w:rFonts w:ascii="宋体" w:hAnsi="宋体" w:eastAsia="宋体"/>
          <w:sz w:val="30"/>
          <w:szCs w:val="30"/>
        </w:rPr>
      </w:pPr>
      <w:r>
        <w:rPr>
          <w:rFonts w:hint="eastAsia" w:ascii="宋体" w:hAnsi="宋体" w:eastAsia="宋体"/>
          <w:sz w:val="30"/>
          <w:szCs w:val="30"/>
        </w:rPr>
        <w:t>承前所述，目前公平竞争审查的相关政策文件的立法位阶并不高，这也就决定了该工作很难有充足的人力供给和经费保障，只能由其他股室的同事临时客串。同时，公平竞争审查工作在刚性制度约束层面仍有较大的提升细化空间，导致审查机关对于此项工作的主管积极性并不高。最终，多种负面因素叠加，导致公平竞争审查呈现审查积极性不高甚至有抵触阻碍、审查质量不高的状况，如若不能从顶层设计对公平竞争审查制度进行完善，那么这一制度最终只能成为市场经济发展过程中的一缕泡沫。</w:t>
      </w:r>
    </w:p>
    <w:p>
      <w:pPr>
        <w:pStyle w:val="3"/>
        <w:spacing w:line="415" w:lineRule="auto"/>
        <w:ind w:firstLine="280" w:firstLineChars="100"/>
        <w:rPr>
          <w:rFonts w:ascii="黑体" w:hAnsi="黑体" w:eastAsia="黑体"/>
          <w:b w:val="0"/>
          <w:bCs w:val="0"/>
          <w:sz w:val="28"/>
          <w:szCs w:val="28"/>
        </w:rPr>
      </w:pPr>
      <w:bookmarkStart w:id="44" w:name="_Toc171935268"/>
      <w:r>
        <w:rPr>
          <w:rFonts w:hint="eastAsia" w:ascii="黑体" w:hAnsi="黑体" w:eastAsia="黑体"/>
          <w:b w:val="0"/>
          <w:bCs w:val="0"/>
          <w:sz w:val="28"/>
          <w:szCs w:val="28"/>
        </w:rPr>
        <w:t>（七）随县公平竞争审查工作开展情况SWOT分析矩阵</w:t>
      </w:r>
      <w:bookmarkEnd w:id="44"/>
    </w:p>
    <w:p>
      <w:pPr>
        <w:ind w:firstLine="600"/>
        <w:rPr>
          <w:rFonts w:ascii="宋体" w:hAnsi="宋体" w:eastAsia="宋体"/>
          <w:sz w:val="30"/>
          <w:szCs w:val="30"/>
        </w:rPr>
      </w:pPr>
      <w:bookmarkStart w:id="45" w:name="_Hlk165022906"/>
      <w:r>
        <w:rPr>
          <w:rFonts w:hint="eastAsia" w:ascii="宋体" w:hAnsi="宋体" w:eastAsia="宋体"/>
          <w:sz w:val="30"/>
          <w:szCs w:val="30"/>
        </w:rPr>
        <w:t>通过运用SWOT分析法</w:t>
      </w:r>
      <w:bookmarkEnd w:id="45"/>
      <w:r>
        <w:rPr>
          <w:rFonts w:hint="eastAsia" w:ascii="宋体" w:hAnsi="宋体" w:eastAsia="宋体"/>
          <w:sz w:val="30"/>
          <w:szCs w:val="30"/>
        </w:rPr>
        <w:t>，可以得出随县公平竞争审查工作的优势、劣势以及面临的机遇和威胁，据此建立SWOT分析矩阵（详见下图），进而研究探索随县公平竞争审查工作的完善路径。</w:t>
      </w:r>
    </w:p>
    <w:p>
      <w:pPr>
        <w:ind w:firstLine="600"/>
        <w:rPr>
          <w:rFonts w:ascii="宋体" w:hAnsi="宋体" w:eastAsia="宋体"/>
          <w:sz w:val="30"/>
          <w:szCs w:val="30"/>
        </w:rPr>
      </w:pPr>
    </w:p>
    <w:p>
      <w:pPr>
        <w:ind w:firstLine="600"/>
        <w:rPr>
          <w:rFonts w:ascii="宋体" w:hAnsi="宋体" w:eastAsia="宋体"/>
          <w:sz w:val="30"/>
          <w:szCs w:val="30"/>
        </w:rPr>
      </w:pPr>
    </w:p>
    <w:p>
      <w:pPr>
        <w:ind w:firstLine="600"/>
        <w:rPr>
          <w:rFonts w:ascii="宋体" w:hAnsi="宋体" w:eastAsia="宋体"/>
          <w:sz w:val="30"/>
          <w:szCs w:val="30"/>
        </w:rPr>
      </w:pPr>
    </w:p>
    <w:p>
      <w:pPr>
        <w:ind w:firstLine="600"/>
        <w:rPr>
          <w:rFonts w:ascii="宋体" w:hAnsi="宋体" w:eastAsia="宋体"/>
          <w:sz w:val="30"/>
          <w:szCs w:val="30"/>
        </w:rPr>
      </w:pPr>
    </w:p>
    <w:p>
      <w:pPr>
        <w:ind w:firstLine="600"/>
        <w:rPr>
          <w:rFonts w:ascii="宋体" w:hAnsi="宋体" w:eastAsia="宋体"/>
          <w:sz w:val="30"/>
          <w:szCs w:val="30"/>
        </w:rPr>
      </w:pPr>
    </w:p>
    <w:p>
      <w:pPr>
        <w:ind w:firstLine="600"/>
        <w:rPr>
          <w:rFonts w:ascii="宋体" w:hAnsi="宋体" w:eastAsia="宋体"/>
          <w:sz w:val="30"/>
          <w:szCs w:val="30"/>
        </w:rPr>
      </w:pPr>
    </w:p>
    <w:p>
      <w:pPr>
        <w:ind w:firstLine="600"/>
        <w:rPr>
          <w:rFonts w:ascii="宋体" w:hAnsi="宋体" w:eastAsia="宋体"/>
          <w:sz w:val="30"/>
          <w:szCs w:val="30"/>
        </w:rPr>
      </w:pPr>
    </w:p>
    <w:p>
      <w:pPr>
        <w:ind w:firstLine="600"/>
        <w:rPr>
          <w:rFonts w:ascii="宋体" w:hAnsi="宋体" w:eastAsia="宋体"/>
          <w:sz w:val="30"/>
          <w:szCs w:val="30"/>
        </w:rPr>
      </w:pPr>
    </w:p>
    <w:p>
      <w:pPr>
        <w:ind w:firstLine="1051" w:firstLineChars="350"/>
        <w:rPr>
          <w:rFonts w:eastAsiaTheme="minorHAnsi"/>
          <w:b/>
          <w:bCs/>
          <w:sz w:val="30"/>
          <w:szCs w:val="30"/>
        </w:rPr>
      </w:pPr>
      <w:r>
        <w:rPr>
          <w:rFonts w:eastAsiaTheme="minorHAnsi"/>
          <w:b/>
          <w:bCs/>
          <w:sz w:val="30"/>
          <w:szCs w:val="30"/>
        </w:rPr>
        <w:t>随县公平竞争审查工作开展情况SWOT分析矩阵</w:t>
      </w:r>
    </w:p>
    <w:p>
      <w:pPr>
        <w:rPr>
          <w:rFonts w:ascii="宋体" w:hAnsi="宋体" w:eastAsia="宋体"/>
          <w:sz w:val="30"/>
          <w:szCs w:val="30"/>
        </w:rPr>
      </w:pPr>
      <w:r>
        <w:rPr>
          <w:rFonts w:hint="eastAsia" w:ascii="宋体" w:hAnsi="宋体" w:eastAsia="宋体"/>
          <w:sz w:val="30"/>
          <w:szCs w:val="30"/>
        </w:rPr>
        <w:drawing>
          <wp:inline distT="0" distB="0" distL="0" distR="0">
            <wp:extent cx="5274310" cy="3076575"/>
            <wp:effectExtent l="0" t="19050" r="0" b="9525"/>
            <wp:docPr id="798142648"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pPr>
        <w:rPr>
          <w:rFonts w:ascii="宋体" w:hAnsi="宋体" w:eastAsia="宋体"/>
          <w:sz w:val="30"/>
          <w:szCs w:val="30"/>
        </w:rPr>
      </w:pPr>
    </w:p>
    <w:p>
      <w:pPr>
        <w:pStyle w:val="2"/>
        <w:ind w:firstLine="602" w:firstLineChars="200"/>
        <w:rPr>
          <w:rFonts w:ascii="宋体" w:hAnsi="宋体" w:eastAsia="宋体" w:cs="Times New Roman (正文 CS 字体)"/>
          <w:sz w:val="30"/>
          <w:szCs w:val="30"/>
        </w:rPr>
      </w:pPr>
      <w:bookmarkStart w:id="46" w:name="_Toc171935269"/>
      <w:r>
        <w:rPr>
          <w:rFonts w:hint="eastAsia" w:ascii="宋体" w:hAnsi="宋体" w:eastAsia="宋体" w:cs="Times New Roman (正文 CS 字体)"/>
          <w:sz w:val="30"/>
          <w:szCs w:val="30"/>
        </w:rPr>
        <w:t>八、随县公平竞争审查工作的完善路径</w:t>
      </w:r>
      <w:bookmarkEnd w:id="46"/>
    </w:p>
    <w:p>
      <w:pPr>
        <w:ind w:firstLine="602" w:firstLineChars="200"/>
        <w:rPr>
          <w:rFonts w:ascii="宋体" w:hAnsi="宋体" w:eastAsia="宋体"/>
          <w:sz w:val="30"/>
          <w:szCs w:val="30"/>
        </w:rPr>
      </w:pPr>
      <w:r>
        <w:rPr>
          <w:rFonts w:hint="eastAsia" w:ascii="宋体" w:hAnsi="宋体" w:eastAsia="宋体"/>
          <w:b/>
          <w:bCs/>
          <w:sz w:val="30"/>
          <w:szCs w:val="30"/>
        </w:rPr>
        <w:t>1.</w:t>
      </w:r>
      <w:r>
        <w:rPr>
          <w:rFonts w:hint="eastAsia"/>
          <w:b/>
          <w:bCs/>
        </w:rPr>
        <w:t xml:space="preserve"> </w:t>
      </w:r>
      <w:r>
        <w:rPr>
          <w:rFonts w:hint="eastAsia" w:ascii="宋体" w:hAnsi="宋体" w:eastAsia="宋体"/>
          <w:b/>
          <w:bCs/>
          <w:sz w:val="30"/>
          <w:szCs w:val="30"/>
        </w:rPr>
        <w:t>将公平竞争审查作为优化营商环境的优先事项，从严落实审查制度。</w:t>
      </w:r>
      <w:r>
        <w:rPr>
          <w:rFonts w:hint="eastAsia" w:ascii="宋体" w:hAnsi="宋体" w:eastAsia="宋体"/>
          <w:sz w:val="30"/>
          <w:szCs w:val="30"/>
        </w:rPr>
        <w:t>严格按照《重大行政决策程序暂行条例》关于“决策草案及相关材料，决策草案涉及市场主体经济活动的，应当包含公平竞争审查的有关情况”的规定，以及《优化营商环境条例》要求，未经审查的政策措施文件一律不得出台发布。健全公平竞争审查联席会议的制度化运转规定。建立定期抽查机制和不定期督查机制，加强典型案例剖析，深入推进实质性审查。</w:t>
      </w:r>
    </w:p>
    <w:p>
      <w:pPr>
        <w:ind w:firstLine="602" w:firstLineChars="200"/>
        <w:rPr>
          <w:rFonts w:ascii="宋体" w:hAnsi="宋体" w:eastAsia="宋体"/>
          <w:sz w:val="30"/>
          <w:szCs w:val="30"/>
        </w:rPr>
      </w:pPr>
      <w:r>
        <w:rPr>
          <w:rFonts w:hint="eastAsia" w:ascii="宋体" w:hAnsi="宋体" w:eastAsia="宋体"/>
          <w:b/>
          <w:bCs/>
          <w:sz w:val="30"/>
          <w:szCs w:val="30"/>
        </w:rPr>
        <w:t>2.强化公平竞争审查的人力和经费保障。</w:t>
      </w:r>
      <w:r>
        <w:rPr>
          <w:rFonts w:hint="eastAsia" w:ascii="宋体" w:hAnsi="宋体" w:eastAsia="宋体"/>
          <w:sz w:val="30"/>
          <w:szCs w:val="30"/>
        </w:rPr>
        <w:t>在无法增加各成员单位的人员编制的情况下，可考虑将常态化的公平竞争审查纳入政府购买服务项目中，在刚性评估考核的约束下，择优确定服务提供商，运用社会组织的力量来提升公平竞争审查的质量。</w:t>
      </w:r>
    </w:p>
    <w:p>
      <w:pPr>
        <w:ind w:firstLine="602" w:firstLineChars="200"/>
        <w:rPr>
          <w:rFonts w:ascii="宋体" w:hAnsi="宋体" w:eastAsia="宋体"/>
          <w:sz w:val="30"/>
          <w:szCs w:val="30"/>
        </w:rPr>
      </w:pPr>
      <w:r>
        <w:rPr>
          <w:rFonts w:hint="eastAsia" w:ascii="宋体" w:hAnsi="宋体" w:eastAsia="宋体"/>
          <w:b/>
          <w:bCs/>
          <w:sz w:val="30"/>
          <w:szCs w:val="30"/>
        </w:rPr>
        <w:t>3.注重宣传引导，提升社会大众对公平竞争审查工作的知晓度和认同感。</w:t>
      </w:r>
      <w:r>
        <w:rPr>
          <w:rFonts w:hint="eastAsia" w:ascii="宋体" w:hAnsi="宋体" w:eastAsia="宋体"/>
          <w:sz w:val="30"/>
          <w:szCs w:val="30"/>
        </w:rPr>
        <w:t>目前，公平竞争虽被定位为市场经济的基础制度，但整个公平竞争审查工作仍呈现“上热下冷”的状态，其中一大原因就是社会大众对这一概念的知晓度和认同感明显不足。在缺乏社会大众参与的状况下，仅靠竞争主管部门的单向推动，往往只能是事倍功半。因此，要拓宽公平竞争的宣传渠道，充分利用微信、短视频等媒介载体，广泛普及公平竞争审查的相关政策法规，，提升社会大众对公平竞争审查工作的知晓度和认同感。</w:t>
      </w:r>
    </w:p>
    <w:p>
      <w:pPr>
        <w:ind w:firstLine="602" w:firstLineChars="200"/>
        <w:rPr>
          <w:rFonts w:ascii="宋体" w:hAnsi="宋体" w:eastAsia="宋体"/>
          <w:sz w:val="30"/>
          <w:szCs w:val="30"/>
        </w:rPr>
      </w:pPr>
      <w:r>
        <w:rPr>
          <w:rFonts w:hint="eastAsia" w:ascii="宋体" w:hAnsi="宋体" w:eastAsia="宋体"/>
          <w:b/>
          <w:bCs/>
          <w:sz w:val="30"/>
          <w:szCs w:val="30"/>
        </w:rPr>
        <w:t>4.</w:t>
      </w:r>
      <w:r>
        <w:rPr>
          <w:rFonts w:hint="eastAsia"/>
          <w:b/>
          <w:bCs/>
        </w:rPr>
        <w:t xml:space="preserve"> </w:t>
      </w:r>
      <w:r>
        <w:rPr>
          <w:rFonts w:hint="eastAsia" w:ascii="宋体" w:hAnsi="宋体" w:eastAsia="宋体"/>
          <w:b/>
          <w:bCs/>
          <w:sz w:val="30"/>
          <w:szCs w:val="30"/>
        </w:rPr>
        <w:t>提高审查能力并运用数字技术，提升审查质量和效率。</w:t>
      </w:r>
      <w:r>
        <w:rPr>
          <w:rFonts w:hint="eastAsia" w:ascii="宋体" w:hAnsi="宋体" w:eastAsia="宋体"/>
          <w:sz w:val="30"/>
          <w:szCs w:val="30"/>
        </w:rPr>
        <w:t>竞争主管部门要加大政策解读和培训频次，推动建立审查工作交流制度。要创新审查方法，建立本地区本部门公平竞争审查外部咨询专家库，综合用好协会座谈、抽样调查、实地调研、舆情跟踪等途径，广泛吸纳各方意见。要创新运用大数据等技术，加快实现存量文件全入库、增量文件限期入库，形成统一的政策文件库，引入网络侦测、大语言模型、机器学习等技术，辅助提高审查效率。</w:t>
      </w:r>
    </w:p>
    <w:p>
      <w:pPr>
        <w:ind w:firstLine="420" w:firstLineChars="200"/>
        <w:rPr>
          <w:b/>
          <w:bCs/>
        </w:rPr>
      </w:pPr>
    </w:p>
    <w:p>
      <w:pPr>
        <w:pStyle w:val="2"/>
        <w:ind w:firstLine="602" w:firstLineChars="200"/>
        <w:rPr>
          <w:rFonts w:ascii="宋体" w:hAnsi="宋体" w:eastAsia="宋体" w:cs="Times New Roman (正文 CS 字体)"/>
          <w:sz w:val="30"/>
          <w:szCs w:val="30"/>
        </w:rPr>
      </w:pPr>
      <w:bookmarkStart w:id="47" w:name="_Toc171935270"/>
      <w:r>
        <w:rPr>
          <w:rFonts w:hint="eastAsia" w:ascii="宋体" w:hAnsi="宋体" w:eastAsia="宋体" w:cs="Times New Roman (正文 CS 字体)"/>
          <w:sz w:val="30"/>
          <w:szCs w:val="30"/>
        </w:rPr>
        <w:t>九、结语</w:t>
      </w:r>
      <w:bookmarkEnd w:id="47"/>
    </w:p>
    <w:p>
      <w:pPr>
        <w:ind w:firstLine="600" w:firstLineChars="200"/>
        <w:rPr>
          <w:rFonts w:ascii="宋体" w:hAnsi="宋体" w:eastAsia="宋体"/>
          <w:sz w:val="30"/>
          <w:szCs w:val="30"/>
        </w:rPr>
      </w:pPr>
      <w:r>
        <w:rPr>
          <w:rFonts w:hint="eastAsia" w:ascii="宋体" w:hAnsi="宋体" w:eastAsia="宋体"/>
          <w:sz w:val="30"/>
          <w:szCs w:val="30"/>
        </w:rPr>
        <w:t>随州市一级从2021年开始常态化进行存量行政文件的公平竞争审查第三方评估后，随县也紧接着于2022年启动该工作，随县对于公平竞争审查的重视程度显然是不言而喻的，评估项目组在实地走访的过程中也看到大部分成员单位都已将公平竞争审查作为一项常态性工作，但具体到个案的审查质量，大多数成员单位仍是热情有余，力量不足。在《反垄断法》《公平竞争审查条例》《</w:t>
      </w:r>
      <w:r>
        <w:rPr>
          <w:rFonts w:ascii="宋体" w:hAnsi="宋体" w:eastAsia="宋体"/>
          <w:sz w:val="30"/>
          <w:szCs w:val="30"/>
        </w:rPr>
        <w:t>招标投标领域公平竞争审查规则</w:t>
      </w:r>
      <w:r>
        <w:rPr>
          <w:rFonts w:hint="eastAsia" w:ascii="宋体" w:hAnsi="宋体" w:eastAsia="宋体"/>
          <w:sz w:val="30"/>
          <w:szCs w:val="30"/>
        </w:rPr>
        <w:t>》等公平竞争审查指导性文件陆续出台，党中央将公平竞争定位为市场经济基础制度的大背景下，各级行政部门显然应从各自维度上将公平竞争审查工作向更深层次推进，营造公平的市场竞争秩序和环境，而湖北季梁律师事务所也将继续为随县的公平竞争工作贡献自己的绵薄之力。</w:t>
      </w:r>
    </w:p>
    <w:p>
      <w:pPr>
        <w:rPr>
          <w:rFonts w:ascii="宋体" w:hAnsi="宋体" w:eastAsia="宋体"/>
          <w:sz w:val="30"/>
          <w:szCs w:val="30"/>
        </w:rPr>
      </w:pPr>
    </w:p>
    <w:p>
      <w:pPr>
        <w:rPr>
          <w:rFonts w:ascii="宋体" w:hAnsi="宋体" w:eastAsia="宋体"/>
          <w:sz w:val="30"/>
          <w:szCs w:val="30"/>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4NzM4MWMzMWYxNGYyZGFhMGYyMzVjNjhmM2M4YzIifQ=="/>
  </w:docVars>
  <w:rsids>
    <w:rsidRoot w:val="00DD521A"/>
    <w:rsid w:val="00000054"/>
    <w:rsid w:val="00000C13"/>
    <w:rsid w:val="000017FF"/>
    <w:rsid w:val="00005037"/>
    <w:rsid w:val="00005ADB"/>
    <w:rsid w:val="00005D05"/>
    <w:rsid w:val="000061C4"/>
    <w:rsid w:val="00007B62"/>
    <w:rsid w:val="00007F13"/>
    <w:rsid w:val="00007FBB"/>
    <w:rsid w:val="00007FF6"/>
    <w:rsid w:val="00010B60"/>
    <w:rsid w:val="00011500"/>
    <w:rsid w:val="00011651"/>
    <w:rsid w:val="000116CD"/>
    <w:rsid w:val="00013473"/>
    <w:rsid w:val="00013583"/>
    <w:rsid w:val="000137F5"/>
    <w:rsid w:val="00013A10"/>
    <w:rsid w:val="00014A4D"/>
    <w:rsid w:val="0001533D"/>
    <w:rsid w:val="00015D0C"/>
    <w:rsid w:val="00017276"/>
    <w:rsid w:val="000201EA"/>
    <w:rsid w:val="00021259"/>
    <w:rsid w:val="000221AB"/>
    <w:rsid w:val="00022A4B"/>
    <w:rsid w:val="00023B40"/>
    <w:rsid w:val="00023CB0"/>
    <w:rsid w:val="00024440"/>
    <w:rsid w:val="00024B9C"/>
    <w:rsid w:val="000273B2"/>
    <w:rsid w:val="000276A9"/>
    <w:rsid w:val="0003004A"/>
    <w:rsid w:val="00030ED4"/>
    <w:rsid w:val="00031001"/>
    <w:rsid w:val="000313F6"/>
    <w:rsid w:val="000314A8"/>
    <w:rsid w:val="0003213F"/>
    <w:rsid w:val="000321A3"/>
    <w:rsid w:val="000331A9"/>
    <w:rsid w:val="0003371A"/>
    <w:rsid w:val="00033DF0"/>
    <w:rsid w:val="000349FD"/>
    <w:rsid w:val="00035144"/>
    <w:rsid w:val="0003586C"/>
    <w:rsid w:val="00036B03"/>
    <w:rsid w:val="00036F04"/>
    <w:rsid w:val="0003700D"/>
    <w:rsid w:val="000415C8"/>
    <w:rsid w:val="0004235F"/>
    <w:rsid w:val="000428F6"/>
    <w:rsid w:val="000431B6"/>
    <w:rsid w:val="00043CBB"/>
    <w:rsid w:val="00044A6A"/>
    <w:rsid w:val="00045019"/>
    <w:rsid w:val="00045644"/>
    <w:rsid w:val="000461C1"/>
    <w:rsid w:val="0004623A"/>
    <w:rsid w:val="0004684B"/>
    <w:rsid w:val="0004696B"/>
    <w:rsid w:val="000479AA"/>
    <w:rsid w:val="00047BB0"/>
    <w:rsid w:val="000503C1"/>
    <w:rsid w:val="000510F4"/>
    <w:rsid w:val="000519B0"/>
    <w:rsid w:val="00051F6D"/>
    <w:rsid w:val="00051FBE"/>
    <w:rsid w:val="00052F1A"/>
    <w:rsid w:val="00053B59"/>
    <w:rsid w:val="00054C7C"/>
    <w:rsid w:val="00055A89"/>
    <w:rsid w:val="00055CD1"/>
    <w:rsid w:val="00055DA2"/>
    <w:rsid w:val="00055F04"/>
    <w:rsid w:val="000565DA"/>
    <w:rsid w:val="0005684C"/>
    <w:rsid w:val="00057463"/>
    <w:rsid w:val="00057C88"/>
    <w:rsid w:val="00057FC3"/>
    <w:rsid w:val="000602E2"/>
    <w:rsid w:val="0006119E"/>
    <w:rsid w:val="00061336"/>
    <w:rsid w:val="00062A74"/>
    <w:rsid w:val="00062C2E"/>
    <w:rsid w:val="00063D0E"/>
    <w:rsid w:val="0006421E"/>
    <w:rsid w:val="00064870"/>
    <w:rsid w:val="000648AA"/>
    <w:rsid w:val="00064969"/>
    <w:rsid w:val="000649DE"/>
    <w:rsid w:val="000657E4"/>
    <w:rsid w:val="00065C4C"/>
    <w:rsid w:val="00066C70"/>
    <w:rsid w:val="0006716F"/>
    <w:rsid w:val="000675EB"/>
    <w:rsid w:val="00067C70"/>
    <w:rsid w:val="000708A9"/>
    <w:rsid w:val="00071AB2"/>
    <w:rsid w:val="00071AE6"/>
    <w:rsid w:val="00072588"/>
    <w:rsid w:val="00072C92"/>
    <w:rsid w:val="00073CC5"/>
    <w:rsid w:val="000760D8"/>
    <w:rsid w:val="00076872"/>
    <w:rsid w:val="00076A94"/>
    <w:rsid w:val="00076EAE"/>
    <w:rsid w:val="00077BB4"/>
    <w:rsid w:val="00077D90"/>
    <w:rsid w:val="0008282A"/>
    <w:rsid w:val="00082D1C"/>
    <w:rsid w:val="00083A0F"/>
    <w:rsid w:val="00084151"/>
    <w:rsid w:val="0008475D"/>
    <w:rsid w:val="00085713"/>
    <w:rsid w:val="00086292"/>
    <w:rsid w:val="000863DE"/>
    <w:rsid w:val="00086977"/>
    <w:rsid w:val="00086CE8"/>
    <w:rsid w:val="000870E1"/>
    <w:rsid w:val="0008774D"/>
    <w:rsid w:val="00087CA3"/>
    <w:rsid w:val="00087F83"/>
    <w:rsid w:val="000903C6"/>
    <w:rsid w:val="00090770"/>
    <w:rsid w:val="00090A54"/>
    <w:rsid w:val="0009226B"/>
    <w:rsid w:val="00092830"/>
    <w:rsid w:val="000944B0"/>
    <w:rsid w:val="0009491E"/>
    <w:rsid w:val="0009518F"/>
    <w:rsid w:val="0009556C"/>
    <w:rsid w:val="0009663B"/>
    <w:rsid w:val="000968A1"/>
    <w:rsid w:val="0009701F"/>
    <w:rsid w:val="00097273"/>
    <w:rsid w:val="000977DE"/>
    <w:rsid w:val="000A31E6"/>
    <w:rsid w:val="000A41E6"/>
    <w:rsid w:val="000A640E"/>
    <w:rsid w:val="000A6FB4"/>
    <w:rsid w:val="000A72B3"/>
    <w:rsid w:val="000A7535"/>
    <w:rsid w:val="000A78B9"/>
    <w:rsid w:val="000A7A55"/>
    <w:rsid w:val="000A7D49"/>
    <w:rsid w:val="000B0114"/>
    <w:rsid w:val="000B0AC6"/>
    <w:rsid w:val="000B2679"/>
    <w:rsid w:val="000B38DE"/>
    <w:rsid w:val="000B3E38"/>
    <w:rsid w:val="000B407C"/>
    <w:rsid w:val="000B4A62"/>
    <w:rsid w:val="000B4BFD"/>
    <w:rsid w:val="000B51EB"/>
    <w:rsid w:val="000B645D"/>
    <w:rsid w:val="000B74DB"/>
    <w:rsid w:val="000C0E59"/>
    <w:rsid w:val="000C176D"/>
    <w:rsid w:val="000C1C36"/>
    <w:rsid w:val="000C20DC"/>
    <w:rsid w:val="000C2763"/>
    <w:rsid w:val="000C337B"/>
    <w:rsid w:val="000C33C9"/>
    <w:rsid w:val="000C3BC9"/>
    <w:rsid w:val="000C3CF1"/>
    <w:rsid w:val="000C45D0"/>
    <w:rsid w:val="000C4A83"/>
    <w:rsid w:val="000C4E7D"/>
    <w:rsid w:val="000C65F7"/>
    <w:rsid w:val="000C672C"/>
    <w:rsid w:val="000C6D2A"/>
    <w:rsid w:val="000C7D34"/>
    <w:rsid w:val="000C7DD8"/>
    <w:rsid w:val="000D02F7"/>
    <w:rsid w:val="000D0396"/>
    <w:rsid w:val="000D0AC5"/>
    <w:rsid w:val="000D16A0"/>
    <w:rsid w:val="000D171B"/>
    <w:rsid w:val="000D1A9E"/>
    <w:rsid w:val="000D223A"/>
    <w:rsid w:val="000D2D09"/>
    <w:rsid w:val="000D3394"/>
    <w:rsid w:val="000D3F76"/>
    <w:rsid w:val="000D4A5B"/>
    <w:rsid w:val="000D4F62"/>
    <w:rsid w:val="000D51CD"/>
    <w:rsid w:val="000D5684"/>
    <w:rsid w:val="000D65FD"/>
    <w:rsid w:val="000D7444"/>
    <w:rsid w:val="000D797D"/>
    <w:rsid w:val="000E1257"/>
    <w:rsid w:val="000E16E4"/>
    <w:rsid w:val="000E21FE"/>
    <w:rsid w:val="000E2300"/>
    <w:rsid w:val="000E23EF"/>
    <w:rsid w:val="000E2816"/>
    <w:rsid w:val="000E3F51"/>
    <w:rsid w:val="000E48A1"/>
    <w:rsid w:val="000E4B26"/>
    <w:rsid w:val="000E526E"/>
    <w:rsid w:val="000E5EB4"/>
    <w:rsid w:val="000E6078"/>
    <w:rsid w:val="000E6086"/>
    <w:rsid w:val="000E6794"/>
    <w:rsid w:val="000E7226"/>
    <w:rsid w:val="000E77C8"/>
    <w:rsid w:val="000E7BF4"/>
    <w:rsid w:val="000F032C"/>
    <w:rsid w:val="000F161E"/>
    <w:rsid w:val="000F1AC4"/>
    <w:rsid w:val="000F1D35"/>
    <w:rsid w:val="000F2845"/>
    <w:rsid w:val="000F30AD"/>
    <w:rsid w:val="000F31AA"/>
    <w:rsid w:val="000F3C56"/>
    <w:rsid w:val="000F4E36"/>
    <w:rsid w:val="000F4E8B"/>
    <w:rsid w:val="000F55EA"/>
    <w:rsid w:val="000F5776"/>
    <w:rsid w:val="000F5C28"/>
    <w:rsid w:val="000F5C65"/>
    <w:rsid w:val="000F61BD"/>
    <w:rsid w:val="000F6424"/>
    <w:rsid w:val="000F6F66"/>
    <w:rsid w:val="000F7995"/>
    <w:rsid w:val="00100393"/>
    <w:rsid w:val="00100CCD"/>
    <w:rsid w:val="00101D1D"/>
    <w:rsid w:val="00101EBE"/>
    <w:rsid w:val="00102A27"/>
    <w:rsid w:val="001031D4"/>
    <w:rsid w:val="00103C31"/>
    <w:rsid w:val="00103D0D"/>
    <w:rsid w:val="001042AD"/>
    <w:rsid w:val="0010489A"/>
    <w:rsid w:val="00104D5A"/>
    <w:rsid w:val="001058EE"/>
    <w:rsid w:val="001060AB"/>
    <w:rsid w:val="00106DD9"/>
    <w:rsid w:val="001072D3"/>
    <w:rsid w:val="00107917"/>
    <w:rsid w:val="00107D85"/>
    <w:rsid w:val="00110746"/>
    <w:rsid w:val="00112362"/>
    <w:rsid w:val="00112CDD"/>
    <w:rsid w:val="00113A88"/>
    <w:rsid w:val="00114068"/>
    <w:rsid w:val="00114432"/>
    <w:rsid w:val="00114B93"/>
    <w:rsid w:val="00114BC2"/>
    <w:rsid w:val="00114F5C"/>
    <w:rsid w:val="001158AD"/>
    <w:rsid w:val="00116244"/>
    <w:rsid w:val="00117854"/>
    <w:rsid w:val="001179FF"/>
    <w:rsid w:val="00117C6A"/>
    <w:rsid w:val="00117C84"/>
    <w:rsid w:val="001200FB"/>
    <w:rsid w:val="00121057"/>
    <w:rsid w:val="00121971"/>
    <w:rsid w:val="00121C9E"/>
    <w:rsid w:val="00123A22"/>
    <w:rsid w:val="00123A2B"/>
    <w:rsid w:val="00123AE7"/>
    <w:rsid w:val="001240B3"/>
    <w:rsid w:val="0012488F"/>
    <w:rsid w:val="00124B97"/>
    <w:rsid w:val="00124F6D"/>
    <w:rsid w:val="00125043"/>
    <w:rsid w:val="00125AE0"/>
    <w:rsid w:val="00126048"/>
    <w:rsid w:val="0012626F"/>
    <w:rsid w:val="00131314"/>
    <w:rsid w:val="001321ED"/>
    <w:rsid w:val="001339A7"/>
    <w:rsid w:val="00133A93"/>
    <w:rsid w:val="0013578A"/>
    <w:rsid w:val="001376D1"/>
    <w:rsid w:val="001378A3"/>
    <w:rsid w:val="0014017F"/>
    <w:rsid w:val="00140923"/>
    <w:rsid w:val="00140EA3"/>
    <w:rsid w:val="001431A1"/>
    <w:rsid w:val="00143844"/>
    <w:rsid w:val="001442F8"/>
    <w:rsid w:val="001448D3"/>
    <w:rsid w:val="0014540E"/>
    <w:rsid w:val="00145870"/>
    <w:rsid w:val="00145B47"/>
    <w:rsid w:val="001465A6"/>
    <w:rsid w:val="00147A7A"/>
    <w:rsid w:val="00147DCE"/>
    <w:rsid w:val="001515E3"/>
    <w:rsid w:val="00151F69"/>
    <w:rsid w:val="00152271"/>
    <w:rsid w:val="00152B1A"/>
    <w:rsid w:val="0015320B"/>
    <w:rsid w:val="0015365E"/>
    <w:rsid w:val="001536C3"/>
    <w:rsid w:val="00153725"/>
    <w:rsid w:val="00153E26"/>
    <w:rsid w:val="00154592"/>
    <w:rsid w:val="00155473"/>
    <w:rsid w:val="001556B2"/>
    <w:rsid w:val="00155CAE"/>
    <w:rsid w:val="00157C66"/>
    <w:rsid w:val="00157D46"/>
    <w:rsid w:val="00160E25"/>
    <w:rsid w:val="0016225A"/>
    <w:rsid w:val="001628AD"/>
    <w:rsid w:val="00163085"/>
    <w:rsid w:val="00163D27"/>
    <w:rsid w:val="00163D40"/>
    <w:rsid w:val="00164628"/>
    <w:rsid w:val="00164AF6"/>
    <w:rsid w:val="001652EF"/>
    <w:rsid w:val="00165E97"/>
    <w:rsid w:val="00166BDD"/>
    <w:rsid w:val="00167F84"/>
    <w:rsid w:val="00170AFA"/>
    <w:rsid w:val="00170D0D"/>
    <w:rsid w:val="00171090"/>
    <w:rsid w:val="00171314"/>
    <w:rsid w:val="0017318D"/>
    <w:rsid w:val="00174175"/>
    <w:rsid w:val="00174DE9"/>
    <w:rsid w:val="001804FC"/>
    <w:rsid w:val="00181657"/>
    <w:rsid w:val="001819F0"/>
    <w:rsid w:val="001826F4"/>
    <w:rsid w:val="00183831"/>
    <w:rsid w:val="00183E54"/>
    <w:rsid w:val="00184650"/>
    <w:rsid w:val="00184F58"/>
    <w:rsid w:val="00185A8C"/>
    <w:rsid w:val="00186280"/>
    <w:rsid w:val="001862A4"/>
    <w:rsid w:val="00187671"/>
    <w:rsid w:val="001878EA"/>
    <w:rsid w:val="00190FDD"/>
    <w:rsid w:val="00191784"/>
    <w:rsid w:val="001936E6"/>
    <w:rsid w:val="00194B4C"/>
    <w:rsid w:val="0019507B"/>
    <w:rsid w:val="00195587"/>
    <w:rsid w:val="00195F23"/>
    <w:rsid w:val="00196929"/>
    <w:rsid w:val="00196A52"/>
    <w:rsid w:val="00197C05"/>
    <w:rsid w:val="00197EF1"/>
    <w:rsid w:val="001A14F8"/>
    <w:rsid w:val="001A18B7"/>
    <w:rsid w:val="001A20B7"/>
    <w:rsid w:val="001A2309"/>
    <w:rsid w:val="001A2DD9"/>
    <w:rsid w:val="001A346A"/>
    <w:rsid w:val="001A69B8"/>
    <w:rsid w:val="001A792B"/>
    <w:rsid w:val="001A7B89"/>
    <w:rsid w:val="001A7CCE"/>
    <w:rsid w:val="001B0D70"/>
    <w:rsid w:val="001B12A0"/>
    <w:rsid w:val="001B1F76"/>
    <w:rsid w:val="001B2501"/>
    <w:rsid w:val="001B2560"/>
    <w:rsid w:val="001B27C6"/>
    <w:rsid w:val="001B3343"/>
    <w:rsid w:val="001B41CD"/>
    <w:rsid w:val="001B47A5"/>
    <w:rsid w:val="001B4998"/>
    <w:rsid w:val="001B6370"/>
    <w:rsid w:val="001B6DBE"/>
    <w:rsid w:val="001B6EA6"/>
    <w:rsid w:val="001B7227"/>
    <w:rsid w:val="001B7436"/>
    <w:rsid w:val="001B777B"/>
    <w:rsid w:val="001B7D29"/>
    <w:rsid w:val="001C2550"/>
    <w:rsid w:val="001C5A44"/>
    <w:rsid w:val="001C5AC4"/>
    <w:rsid w:val="001C670A"/>
    <w:rsid w:val="001C6EFD"/>
    <w:rsid w:val="001D179B"/>
    <w:rsid w:val="001D3DDA"/>
    <w:rsid w:val="001D45FD"/>
    <w:rsid w:val="001D4A92"/>
    <w:rsid w:val="001D4B32"/>
    <w:rsid w:val="001D4E41"/>
    <w:rsid w:val="001D6043"/>
    <w:rsid w:val="001D63D0"/>
    <w:rsid w:val="001D6B58"/>
    <w:rsid w:val="001D7B7C"/>
    <w:rsid w:val="001D7BA8"/>
    <w:rsid w:val="001E0F96"/>
    <w:rsid w:val="001E1363"/>
    <w:rsid w:val="001E1B82"/>
    <w:rsid w:val="001E1CDE"/>
    <w:rsid w:val="001E2680"/>
    <w:rsid w:val="001E416B"/>
    <w:rsid w:val="001E4364"/>
    <w:rsid w:val="001E4A55"/>
    <w:rsid w:val="001E5BEB"/>
    <w:rsid w:val="001E6250"/>
    <w:rsid w:val="001E6FD4"/>
    <w:rsid w:val="001E76BD"/>
    <w:rsid w:val="001F016F"/>
    <w:rsid w:val="001F16A5"/>
    <w:rsid w:val="001F1753"/>
    <w:rsid w:val="001F2A18"/>
    <w:rsid w:val="001F412F"/>
    <w:rsid w:val="001F43BE"/>
    <w:rsid w:val="001F4AE8"/>
    <w:rsid w:val="001F4B4B"/>
    <w:rsid w:val="001F5E3B"/>
    <w:rsid w:val="001F66BA"/>
    <w:rsid w:val="001F6973"/>
    <w:rsid w:val="001F6C13"/>
    <w:rsid w:val="001F70AA"/>
    <w:rsid w:val="001F70E0"/>
    <w:rsid w:val="00202AE5"/>
    <w:rsid w:val="002036B4"/>
    <w:rsid w:val="0020426E"/>
    <w:rsid w:val="002044A0"/>
    <w:rsid w:val="002046FE"/>
    <w:rsid w:val="0020478B"/>
    <w:rsid w:val="00204BAC"/>
    <w:rsid w:val="00205EB1"/>
    <w:rsid w:val="00205EC0"/>
    <w:rsid w:val="00206FF6"/>
    <w:rsid w:val="002076B5"/>
    <w:rsid w:val="002123C3"/>
    <w:rsid w:val="00212742"/>
    <w:rsid w:val="00212DC6"/>
    <w:rsid w:val="00214892"/>
    <w:rsid w:val="00214BC9"/>
    <w:rsid w:val="00215920"/>
    <w:rsid w:val="0021597E"/>
    <w:rsid w:val="002166AB"/>
    <w:rsid w:val="002170B2"/>
    <w:rsid w:val="002175BA"/>
    <w:rsid w:val="0021792F"/>
    <w:rsid w:val="00220729"/>
    <w:rsid w:val="00221188"/>
    <w:rsid w:val="002214E6"/>
    <w:rsid w:val="002223A2"/>
    <w:rsid w:val="00222C7F"/>
    <w:rsid w:val="00222F38"/>
    <w:rsid w:val="002237F3"/>
    <w:rsid w:val="002239C4"/>
    <w:rsid w:val="00224633"/>
    <w:rsid w:val="0022640D"/>
    <w:rsid w:val="00226B64"/>
    <w:rsid w:val="00226E44"/>
    <w:rsid w:val="00226F05"/>
    <w:rsid w:val="00227834"/>
    <w:rsid w:val="00227882"/>
    <w:rsid w:val="002325B1"/>
    <w:rsid w:val="0023338C"/>
    <w:rsid w:val="002334EE"/>
    <w:rsid w:val="00233DF9"/>
    <w:rsid w:val="00234F45"/>
    <w:rsid w:val="0023545D"/>
    <w:rsid w:val="002379AA"/>
    <w:rsid w:val="00237B9E"/>
    <w:rsid w:val="00237C8B"/>
    <w:rsid w:val="00237DCA"/>
    <w:rsid w:val="00240108"/>
    <w:rsid w:val="00240F17"/>
    <w:rsid w:val="00240FE9"/>
    <w:rsid w:val="00241816"/>
    <w:rsid w:val="00241F87"/>
    <w:rsid w:val="00242A1D"/>
    <w:rsid w:val="00242BB6"/>
    <w:rsid w:val="00242D99"/>
    <w:rsid w:val="0024330F"/>
    <w:rsid w:val="002434AA"/>
    <w:rsid w:val="00243C25"/>
    <w:rsid w:val="002442D6"/>
    <w:rsid w:val="0024435A"/>
    <w:rsid w:val="00244502"/>
    <w:rsid w:val="002447BB"/>
    <w:rsid w:val="00244D21"/>
    <w:rsid w:val="00244F07"/>
    <w:rsid w:val="00245053"/>
    <w:rsid w:val="0024506D"/>
    <w:rsid w:val="0024665F"/>
    <w:rsid w:val="0024670C"/>
    <w:rsid w:val="002476C6"/>
    <w:rsid w:val="00250511"/>
    <w:rsid w:val="002505A9"/>
    <w:rsid w:val="00250C27"/>
    <w:rsid w:val="0025128F"/>
    <w:rsid w:val="00252031"/>
    <w:rsid w:val="002524DB"/>
    <w:rsid w:val="00252D9D"/>
    <w:rsid w:val="00253882"/>
    <w:rsid w:val="00253C36"/>
    <w:rsid w:val="00254445"/>
    <w:rsid w:val="002545D7"/>
    <w:rsid w:val="00254E5D"/>
    <w:rsid w:val="00256508"/>
    <w:rsid w:val="002571A2"/>
    <w:rsid w:val="00257B36"/>
    <w:rsid w:val="00260236"/>
    <w:rsid w:val="002621AC"/>
    <w:rsid w:val="00262AB7"/>
    <w:rsid w:val="00263685"/>
    <w:rsid w:val="00264B26"/>
    <w:rsid w:val="00265F4C"/>
    <w:rsid w:val="00266DD9"/>
    <w:rsid w:val="002679AC"/>
    <w:rsid w:val="00267E39"/>
    <w:rsid w:val="00267F8B"/>
    <w:rsid w:val="00270679"/>
    <w:rsid w:val="002709ED"/>
    <w:rsid w:val="00271AA0"/>
    <w:rsid w:val="00272454"/>
    <w:rsid w:val="002728B5"/>
    <w:rsid w:val="00272F2E"/>
    <w:rsid w:val="00273728"/>
    <w:rsid w:val="00274079"/>
    <w:rsid w:val="0027460C"/>
    <w:rsid w:val="00275C38"/>
    <w:rsid w:val="00276C22"/>
    <w:rsid w:val="00276EC0"/>
    <w:rsid w:val="00277773"/>
    <w:rsid w:val="002829C9"/>
    <w:rsid w:val="00282CE4"/>
    <w:rsid w:val="002833AF"/>
    <w:rsid w:val="002836D9"/>
    <w:rsid w:val="00283797"/>
    <w:rsid w:val="00285285"/>
    <w:rsid w:val="002852DA"/>
    <w:rsid w:val="00285A5E"/>
    <w:rsid w:val="00286033"/>
    <w:rsid w:val="00286196"/>
    <w:rsid w:val="002862D1"/>
    <w:rsid w:val="00286625"/>
    <w:rsid w:val="00287116"/>
    <w:rsid w:val="0028779D"/>
    <w:rsid w:val="0029007C"/>
    <w:rsid w:val="0029093D"/>
    <w:rsid w:val="002914CF"/>
    <w:rsid w:val="00291CA6"/>
    <w:rsid w:val="00291F5D"/>
    <w:rsid w:val="0029234B"/>
    <w:rsid w:val="002925D0"/>
    <w:rsid w:val="00293055"/>
    <w:rsid w:val="002935DE"/>
    <w:rsid w:val="0029372B"/>
    <w:rsid w:val="00293D8B"/>
    <w:rsid w:val="00297A7D"/>
    <w:rsid w:val="00297FA0"/>
    <w:rsid w:val="002A0C89"/>
    <w:rsid w:val="002A0FC1"/>
    <w:rsid w:val="002A1EF0"/>
    <w:rsid w:val="002A20FC"/>
    <w:rsid w:val="002A2318"/>
    <w:rsid w:val="002A27A1"/>
    <w:rsid w:val="002A2F20"/>
    <w:rsid w:val="002A37DC"/>
    <w:rsid w:val="002A4336"/>
    <w:rsid w:val="002A557F"/>
    <w:rsid w:val="002A559E"/>
    <w:rsid w:val="002A67DE"/>
    <w:rsid w:val="002A68DA"/>
    <w:rsid w:val="002A6952"/>
    <w:rsid w:val="002A6E9D"/>
    <w:rsid w:val="002B0132"/>
    <w:rsid w:val="002B1325"/>
    <w:rsid w:val="002B17C9"/>
    <w:rsid w:val="002B1FCE"/>
    <w:rsid w:val="002B225C"/>
    <w:rsid w:val="002B3FE7"/>
    <w:rsid w:val="002B4231"/>
    <w:rsid w:val="002B44F2"/>
    <w:rsid w:val="002B4A7F"/>
    <w:rsid w:val="002B4FB9"/>
    <w:rsid w:val="002B522E"/>
    <w:rsid w:val="002B5459"/>
    <w:rsid w:val="002B6958"/>
    <w:rsid w:val="002B71AB"/>
    <w:rsid w:val="002B7352"/>
    <w:rsid w:val="002B75B1"/>
    <w:rsid w:val="002C1A0F"/>
    <w:rsid w:val="002C28EE"/>
    <w:rsid w:val="002C2A1D"/>
    <w:rsid w:val="002C2A71"/>
    <w:rsid w:val="002C2CED"/>
    <w:rsid w:val="002C3109"/>
    <w:rsid w:val="002C3586"/>
    <w:rsid w:val="002C36DD"/>
    <w:rsid w:val="002C3794"/>
    <w:rsid w:val="002C3C5E"/>
    <w:rsid w:val="002C4315"/>
    <w:rsid w:val="002C4877"/>
    <w:rsid w:val="002C5404"/>
    <w:rsid w:val="002C558A"/>
    <w:rsid w:val="002C664B"/>
    <w:rsid w:val="002C7FA8"/>
    <w:rsid w:val="002D0D44"/>
    <w:rsid w:val="002D1075"/>
    <w:rsid w:val="002D1303"/>
    <w:rsid w:val="002D168B"/>
    <w:rsid w:val="002D1999"/>
    <w:rsid w:val="002D1F54"/>
    <w:rsid w:val="002D22F4"/>
    <w:rsid w:val="002D2E53"/>
    <w:rsid w:val="002D43BE"/>
    <w:rsid w:val="002D4C09"/>
    <w:rsid w:val="002D4E58"/>
    <w:rsid w:val="002D51C3"/>
    <w:rsid w:val="002D62A4"/>
    <w:rsid w:val="002D6481"/>
    <w:rsid w:val="002D6680"/>
    <w:rsid w:val="002D6C63"/>
    <w:rsid w:val="002E1653"/>
    <w:rsid w:val="002E1A85"/>
    <w:rsid w:val="002E1E6A"/>
    <w:rsid w:val="002E1F66"/>
    <w:rsid w:val="002E32FC"/>
    <w:rsid w:val="002E340E"/>
    <w:rsid w:val="002E3537"/>
    <w:rsid w:val="002E3E98"/>
    <w:rsid w:val="002E430F"/>
    <w:rsid w:val="002E44FC"/>
    <w:rsid w:val="002E65D8"/>
    <w:rsid w:val="002E670C"/>
    <w:rsid w:val="002E69EF"/>
    <w:rsid w:val="002E6A04"/>
    <w:rsid w:val="002E6C10"/>
    <w:rsid w:val="002E76FB"/>
    <w:rsid w:val="002F05E2"/>
    <w:rsid w:val="002F1A66"/>
    <w:rsid w:val="002F4F5D"/>
    <w:rsid w:val="002F55B7"/>
    <w:rsid w:val="002F578E"/>
    <w:rsid w:val="002F6898"/>
    <w:rsid w:val="002F7CB5"/>
    <w:rsid w:val="002F7ED5"/>
    <w:rsid w:val="003002CA"/>
    <w:rsid w:val="00300BE1"/>
    <w:rsid w:val="00303470"/>
    <w:rsid w:val="003037A6"/>
    <w:rsid w:val="003038B5"/>
    <w:rsid w:val="0030407C"/>
    <w:rsid w:val="00304E6D"/>
    <w:rsid w:val="00304FAC"/>
    <w:rsid w:val="0030518E"/>
    <w:rsid w:val="00305AA0"/>
    <w:rsid w:val="003075AD"/>
    <w:rsid w:val="0031021F"/>
    <w:rsid w:val="0031067B"/>
    <w:rsid w:val="00310786"/>
    <w:rsid w:val="00310C1E"/>
    <w:rsid w:val="00311B6B"/>
    <w:rsid w:val="003127E2"/>
    <w:rsid w:val="003137CB"/>
    <w:rsid w:val="003144F5"/>
    <w:rsid w:val="00314A9A"/>
    <w:rsid w:val="00314C0E"/>
    <w:rsid w:val="00314F91"/>
    <w:rsid w:val="0031524D"/>
    <w:rsid w:val="00315D09"/>
    <w:rsid w:val="00315F2B"/>
    <w:rsid w:val="00316E85"/>
    <w:rsid w:val="00317461"/>
    <w:rsid w:val="003176FF"/>
    <w:rsid w:val="00321127"/>
    <w:rsid w:val="00321452"/>
    <w:rsid w:val="003216A7"/>
    <w:rsid w:val="0032204C"/>
    <w:rsid w:val="003223E0"/>
    <w:rsid w:val="00322766"/>
    <w:rsid w:val="00322F67"/>
    <w:rsid w:val="00324856"/>
    <w:rsid w:val="00327436"/>
    <w:rsid w:val="00333945"/>
    <w:rsid w:val="003340B7"/>
    <w:rsid w:val="003340C3"/>
    <w:rsid w:val="00335477"/>
    <w:rsid w:val="0033658C"/>
    <w:rsid w:val="0033683A"/>
    <w:rsid w:val="00336E58"/>
    <w:rsid w:val="00336EC4"/>
    <w:rsid w:val="003402A8"/>
    <w:rsid w:val="00340998"/>
    <w:rsid w:val="00341A9E"/>
    <w:rsid w:val="00341CD6"/>
    <w:rsid w:val="003430B8"/>
    <w:rsid w:val="00343323"/>
    <w:rsid w:val="00344090"/>
    <w:rsid w:val="003443A9"/>
    <w:rsid w:val="00344BFF"/>
    <w:rsid w:val="00345837"/>
    <w:rsid w:val="00346BBD"/>
    <w:rsid w:val="0034799F"/>
    <w:rsid w:val="003502C9"/>
    <w:rsid w:val="00350EE7"/>
    <w:rsid w:val="003513D7"/>
    <w:rsid w:val="00351E6F"/>
    <w:rsid w:val="003523FC"/>
    <w:rsid w:val="00353337"/>
    <w:rsid w:val="003544C5"/>
    <w:rsid w:val="003548C4"/>
    <w:rsid w:val="0035525B"/>
    <w:rsid w:val="003557D4"/>
    <w:rsid w:val="00355A6E"/>
    <w:rsid w:val="00355D2A"/>
    <w:rsid w:val="003574BE"/>
    <w:rsid w:val="0036067B"/>
    <w:rsid w:val="00360AD5"/>
    <w:rsid w:val="00362EC1"/>
    <w:rsid w:val="00363A97"/>
    <w:rsid w:val="00363A9C"/>
    <w:rsid w:val="003644C8"/>
    <w:rsid w:val="00365C59"/>
    <w:rsid w:val="003663D2"/>
    <w:rsid w:val="00366490"/>
    <w:rsid w:val="00367331"/>
    <w:rsid w:val="00367542"/>
    <w:rsid w:val="00367EC9"/>
    <w:rsid w:val="003701BC"/>
    <w:rsid w:val="003709AB"/>
    <w:rsid w:val="00370DCD"/>
    <w:rsid w:val="00371132"/>
    <w:rsid w:val="00371A66"/>
    <w:rsid w:val="003720FE"/>
    <w:rsid w:val="0037212D"/>
    <w:rsid w:val="00372BEB"/>
    <w:rsid w:val="00372D44"/>
    <w:rsid w:val="00372D6F"/>
    <w:rsid w:val="00372E61"/>
    <w:rsid w:val="003730A8"/>
    <w:rsid w:val="003730FC"/>
    <w:rsid w:val="003731CF"/>
    <w:rsid w:val="003745FE"/>
    <w:rsid w:val="0037575E"/>
    <w:rsid w:val="003778D6"/>
    <w:rsid w:val="003805C8"/>
    <w:rsid w:val="00380BC7"/>
    <w:rsid w:val="00380E31"/>
    <w:rsid w:val="00381558"/>
    <w:rsid w:val="003828B9"/>
    <w:rsid w:val="00382931"/>
    <w:rsid w:val="00386C1E"/>
    <w:rsid w:val="0038798C"/>
    <w:rsid w:val="00391B49"/>
    <w:rsid w:val="003923E6"/>
    <w:rsid w:val="003928F8"/>
    <w:rsid w:val="00392EBA"/>
    <w:rsid w:val="00393AFD"/>
    <w:rsid w:val="00393BF0"/>
    <w:rsid w:val="003952AD"/>
    <w:rsid w:val="00396208"/>
    <w:rsid w:val="00396255"/>
    <w:rsid w:val="003962A2"/>
    <w:rsid w:val="00396537"/>
    <w:rsid w:val="003968A0"/>
    <w:rsid w:val="003973FB"/>
    <w:rsid w:val="003A0B96"/>
    <w:rsid w:val="003A12A3"/>
    <w:rsid w:val="003A21AF"/>
    <w:rsid w:val="003A2603"/>
    <w:rsid w:val="003A2D87"/>
    <w:rsid w:val="003A2DB6"/>
    <w:rsid w:val="003A494F"/>
    <w:rsid w:val="003A5BF8"/>
    <w:rsid w:val="003A60A5"/>
    <w:rsid w:val="003A7C43"/>
    <w:rsid w:val="003B0132"/>
    <w:rsid w:val="003B0A6F"/>
    <w:rsid w:val="003B14CC"/>
    <w:rsid w:val="003B3E0A"/>
    <w:rsid w:val="003B4C4C"/>
    <w:rsid w:val="003B543A"/>
    <w:rsid w:val="003B6807"/>
    <w:rsid w:val="003B70F6"/>
    <w:rsid w:val="003B79D9"/>
    <w:rsid w:val="003B79F8"/>
    <w:rsid w:val="003B7BF7"/>
    <w:rsid w:val="003B7E42"/>
    <w:rsid w:val="003C01B5"/>
    <w:rsid w:val="003C01ED"/>
    <w:rsid w:val="003C053E"/>
    <w:rsid w:val="003C06CE"/>
    <w:rsid w:val="003C1E93"/>
    <w:rsid w:val="003C23B0"/>
    <w:rsid w:val="003C26E6"/>
    <w:rsid w:val="003C2EA6"/>
    <w:rsid w:val="003C3A2E"/>
    <w:rsid w:val="003C5F8A"/>
    <w:rsid w:val="003C6A95"/>
    <w:rsid w:val="003D0F69"/>
    <w:rsid w:val="003D10E5"/>
    <w:rsid w:val="003D445E"/>
    <w:rsid w:val="003D6093"/>
    <w:rsid w:val="003D6294"/>
    <w:rsid w:val="003D7838"/>
    <w:rsid w:val="003D7E06"/>
    <w:rsid w:val="003D7EFF"/>
    <w:rsid w:val="003E03FD"/>
    <w:rsid w:val="003E0577"/>
    <w:rsid w:val="003E068B"/>
    <w:rsid w:val="003E0A91"/>
    <w:rsid w:val="003E1173"/>
    <w:rsid w:val="003E1A3B"/>
    <w:rsid w:val="003E24F2"/>
    <w:rsid w:val="003E26D5"/>
    <w:rsid w:val="003E5827"/>
    <w:rsid w:val="003E5E49"/>
    <w:rsid w:val="003E5F6C"/>
    <w:rsid w:val="003E668A"/>
    <w:rsid w:val="003E7F4F"/>
    <w:rsid w:val="003F0FC4"/>
    <w:rsid w:val="003F16FE"/>
    <w:rsid w:val="003F26BE"/>
    <w:rsid w:val="003F2808"/>
    <w:rsid w:val="003F3485"/>
    <w:rsid w:val="003F34E4"/>
    <w:rsid w:val="003F366E"/>
    <w:rsid w:val="003F3B7E"/>
    <w:rsid w:val="003F4D3A"/>
    <w:rsid w:val="003F56D4"/>
    <w:rsid w:val="003F5928"/>
    <w:rsid w:val="003F6277"/>
    <w:rsid w:val="003F7198"/>
    <w:rsid w:val="003F7699"/>
    <w:rsid w:val="003F7794"/>
    <w:rsid w:val="003F779F"/>
    <w:rsid w:val="003F7C7B"/>
    <w:rsid w:val="003F7C98"/>
    <w:rsid w:val="003F7EF8"/>
    <w:rsid w:val="004018D6"/>
    <w:rsid w:val="00401E39"/>
    <w:rsid w:val="0040202D"/>
    <w:rsid w:val="00402764"/>
    <w:rsid w:val="00402DF5"/>
    <w:rsid w:val="00402EAA"/>
    <w:rsid w:val="00403A0F"/>
    <w:rsid w:val="00404CC2"/>
    <w:rsid w:val="00406407"/>
    <w:rsid w:val="00407146"/>
    <w:rsid w:val="0040737C"/>
    <w:rsid w:val="00407CB2"/>
    <w:rsid w:val="00412ADD"/>
    <w:rsid w:val="004146CB"/>
    <w:rsid w:val="0041586F"/>
    <w:rsid w:val="00416B5E"/>
    <w:rsid w:val="00416CAB"/>
    <w:rsid w:val="0041758E"/>
    <w:rsid w:val="0041767E"/>
    <w:rsid w:val="0042068A"/>
    <w:rsid w:val="00420A39"/>
    <w:rsid w:val="00421C30"/>
    <w:rsid w:val="004228C3"/>
    <w:rsid w:val="00425016"/>
    <w:rsid w:val="00425640"/>
    <w:rsid w:val="004258B4"/>
    <w:rsid w:val="00425D1F"/>
    <w:rsid w:val="00426EB4"/>
    <w:rsid w:val="004301B5"/>
    <w:rsid w:val="004307EA"/>
    <w:rsid w:val="004315F8"/>
    <w:rsid w:val="0043477D"/>
    <w:rsid w:val="00437276"/>
    <w:rsid w:val="00440D82"/>
    <w:rsid w:val="004410A0"/>
    <w:rsid w:val="0044272D"/>
    <w:rsid w:val="00443F0C"/>
    <w:rsid w:val="004448FC"/>
    <w:rsid w:val="00444BE3"/>
    <w:rsid w:val="004451BD"/>
    <w:rsid w:val="004453A8"/>
    <w:rsid w:val="00445D10"/>
    <w:rsid w:val="00446E4E"/>
    <w:rsid w:val="004470D1"/>
    <w:rsid w:val="00447435"/>
    <w:rsid w:val="00447FED"/>
    <w:rsid w:val="00450655"/>
    <w:rsid w:val="00451A97"/>
    <w:rsid w:val="004535B8"/>
    <w:rsid w:val="004545D8"/>
    <w:rsid w:val="00454F03"/>
    <w:rsid w:val="004562CB"/>
    <w:rsid w:val="0045672C"/>
    <w:rsid w:val="004618B2"/>
    <w:rsid w:val="00461910"/>
    <w:rsid w:val="00461E50"/>
    <w:rsid w:val="0046241E"/>
    <w:rsid w:val="00462552"/>
    <w:rsid w:val="00464034"/>
    <w:rsid w:val="004642DB"/>
    <w:rsid w:val="004643D9"/>
    <w:rsid w:val="00464EE3"/>
    <w:rsid w:val="00465EC0"/>
    <w:rsid w:val="00466575"/>
    <w:rsid w:val="00466B2F"/>
    <w:rsid w:val="00467DB4"/>
    <w:rsid w:val="00470ADE"/>
    <w:rsid w:val="00470F79"/>
    <w:rsid w:val="00471B8C"/>
    <w:rsid w:val="00471EC3"/>
    <w:rsid w:val="00472D62"/>
    <w:rsid w:val="00472D97"/>
    <w:rsid w:val="00474113"/>
    <w:rsid w:val="00475667"/>
    <w:rsid w:val="00476C6D"/>
    <w:rsid w:val="00477C20"/>
    <w:rsid w:val="00477E52"/>
    <w:rsid w:val="0048078F"/>
    <w:rsid w:val="00481FC3"/>
    <w:rsid w:val="00482AED"/>
    <w:rsid w:val="0048329F"/>
    <w:rsid w:val="00483CF2"/>
    <w:rsid w:val="00485EA5"/>
    <w:rsid w:val="004861D4"/>
    <w:rsid w:val="00486B34"/>
    <w:rsid w:val="0048745C"/>
    <w:rsid w:val="00487D83"/>
    <w:rsid w:val="00487E51"/>
    <w:rsid w:val="0049312A"/>
    <w:rsid w:val="0049329A"/>
    <w:rsid w:val="004935C0"/>
    <w:rsid w:val="00493F44"/>
    <w:rsid w:val="00494F75"/>
    <w:rsid w:val="0049550D"/>
    <w:rsid w:val="00495D84"/>
    <w:rsid w:val="0049754B"/>
    <w:rsid w:val="00497693"/>
    <w:rsid w:val="004A0E52"/>
    <w:rsid w:val="004A10B6"/>
    <w:rsid w:val="004A1CEB"/>
    <w:rsid w:val="004A2CF6"/>
    <w:rsid w:val="004A396C"/>
    <w:rsid w:val="004A3F56"/>
    <w:rsid w:val="004A3FE6"/>
    <w:rsid w:val="004A467C"/>
    <w:rsid w:val="004A4E72"/>
    <w:rsid w:val="004A569C"/>
    <w:rsid w:val="004A5DA4"/>
    <w:rsid w:val="004A5E7A"/>
    <w:rsid w:val="004A62D1"/>
    <w:rsid w:val="004A75C1"/>
    <w:rsid w:val="004A79F5"/>
    <w:rsid w:val="004B11AD"/>
    <w:rsid w:val="004B11B0"/>
    <w:rsid w:val="004B1805"/>
    <w:rsid w:val="004B31FC"/>
    <w:rsid w:val="004B7CCB"/>
    <w:rsid w:val="004C03FC"/>
    <w:rsid w:val="004C138A"/>
    <w:rsid w:val="004C161C"/>
    <w:rsid w:val="004C1F4D"/>
    <w:rsid w:val="004C2893"/>
    <w:rsid w:val="004C2D76"/>
    <w:rsid w:val="004C2EAB"/>
    <w:rsid w:val="004C321A"/>
    <w:rsid w:val="004C3EAB"/>
    <w:rsid w:val="004C3F38"/>
    <w:rsid w:val="004C513E"/>
    <w:rsid w:val="004C526E"/>
    <w:rsid w:val="004C603A"/>
    <w:rsid w:val="004C6498"/>
    <w:rsid w:val="004C6DEA"/>
    <w:rsid w:val="004C78AE"/>
    <w:rsid w:val="004D02E2"/>
    <w:rsid w:val="004D1087"/>
    <w:rsid w:val="004D1672"/>
    <w:rsid w:val="004D2B0C"/>
    <w:rsid w:val="004D2D0A"/>
    <w:rsid w:val="004D3DA8"/>
    <w:rsid w:val="004D4C3B"/>
    <w:rsid w:val="004D56F0"/>
    <w:rsid w:val="004D5885"/>
    <w:rsid w:val="004D6A96"/>
    <w:rsid w:val="004D6FB9"/>
    <w:rsid w:val="004D7A39"/>
    <w:rsid w:val="004E0772"/>
    <w:rsid w:val="004E1B84"/>
    <w:rsid w:val="004E288F"/>
    <w:rsid w:val="004E28F5"/>
    <w:rsid w:val="004E30F2"/>
    <w:rsid w:val="004E3242"/>
    <w:rsid w:val="004E3722"/>
    <w:rsid w:val="004E3EF8"/>
    <w:rsid w:val="004E462A"/>
    <w:rsid w:val="004E5520"/>
    <w:rsid w:val="004E55EA"/>
    <w:rsid w:val="004E570B"/>
    <w:rsid w:val="004E59F6"/>
    <w:rsid w:val="004E6B4A"/>
    <w:rsid w:val="004E7580"/>
    <w:rsid w:val="004F0CAE"/>
    <w:rsid w:val="004F13F0"/>
    <w:rsid w:val="004F2678"/>
    <w:rsid w:val="004F3112"/>
    <w:rsid w:val="004F37BA"/>
    <w:rsid w:val="004F5F80"/>
    <w:rsid w:val="004F5F84"/>
    <w:rsid w:val="004F664A"/>
    <w:rsid w:val="0050026B"/>
    <w:rsid w:val="00500587"/>
    <w:rsid w:val="00500A10"/>
    <w:rsid w:val="005011CD"/>
    <w:rsid w:val="0050155E"/>
    <w:rsid w:val="0050172B"/>
    <w:rsid w:val="0050190F"/>
    <w:rsid w:val="00501AA9"/>
    <w:rsid w:val="00502007"/>
    <w:rsid w:val="00502483"/>
    <w:rsid w:val="005037B2"/>
    <w:rsid w:val="00503A11"/>
    <w:rsid w:val="00504002"/>
    <w:rsid w:val="005041F3"/>
    <w:rsid w:val="0050490B"/>
    <w:rsid w:val="00504F1B"/>
    <w:rsid w:val="0050604C"/>
    <w:rsid w:val="0050614C"/>
    <w:rsid w:val="005069BB"/>
    <w:rsid w:val="00506EDA"/>
    <w:rsid w:val="00507629"/>
    <w:rsid w:val="00507CFD"/>
    <w:rsid w:val="00510E0E"/>
    <w:rsid w:val="00510EC7"/>
    <w:rsid w:val="00511054"/>
    <w:rsid w:val="00511B3B"/>
    <w:rsid w:val="00511F2E"/>
    <w:rsid w:val="005137BB"/>
    <w:rsid w:val="00513CDF"/>
    <w:rsid w:val="00514A39"/>
    <w:rsid w:val="00514C12"/>
    <w:rsid w:val="00515DAF"/>
    <w:rsid w:val="005168FF"/>
    <w:rsid w:val="00516B9B"/>
    <w:rsid w:val="00516E64"/>
    <w:rsid w:val="00520FCB"/>
    <w:rsid w:val="0052170F"/>
    <w:rsid w:val="005223DD"/>
    <w:rsid w:val="005224FE"/>
    <w:rsid w:val="005227A5"/>
    <w:rsid w:val="0052362F"/>
    <w:rsid w:val="00524218"/>
    <w:rsid w:val="005244B3"/>
    <w:rsid w:val="00524E8E"/>
    <w:rsid w:val="005252FF"/>
    <w:rsid w:val="00525D7E"/>
    <w:rsid w:val="00526578"/>
    <w:rsid w:val="005267A9"/>
    <w:rsid w:val="00526CB2"/>
    <w:rsid w:val="00527C06"/>
    <w:rsid w:val="005303C3"/>
    <w:rsid w:val="00530493"/>
    <w:rsid w:val="00531B8B"/>
    <w:rsid w:val="00531D99"/>
    <w:rsid w:val="005325D3"/>
    <w:rsid w:val="00532F6A"/>
    <w:rsid w:val="005330EC"/>
    <w:rsid w:val="00533D6F"/>
    <w:rsid w:val="0053431D"/>
    <w:rsid w:val="0053447D"/>
    <w:rsid w:val="005356F0"/>
    <w:rsid w:val="00536020"/>
    <w:rsid w:val="005366C7"/>
    <w:rsid w:val="00536B81"/>
    <w:rsid w:val="00536DA6"/>
    <w:rsid w:val="00537142"/>
    <w:rsid w:val="00537545"/>
    <w:rsid w:val="00540595"/>
    <w:rsid w:val="005412F5"/>
    <w:rsid w:val="0054270C"/>
    <w:rsid w:val="00542980"/>
    <w:rsid w:val="00542CEC"/>
    <w:rsid w:val="005437D6"/>
    <w:rsid w:val="00544705"/>
    <w:rsid w:val="0054559E"/>
    <w:rsid w:val="0054579A"/>
    <w:rsid w:val="005474B4"/>
    <w:rsid w:val="0055065E"/>
    <w:rsid w:val="005506A6"/>
    <w:rsid w:val="0055092B"/>
    <w:rsid w:val="005509C4"/>
    <w:rsid w:val="005510E0"/>
    <w:rsid w:val="00552709"/>
    <w:rsid w:val="00555BBB"/>
    <w:rsid w:val="0055647D"/>
    <w:rsid w:val="00556989"/>
    <w:rsid w:val="00556A9B"/>
    <w:rsid w:val="00556D97"/>
    <w:rsid w:val="00557645"/>
    <w:rsid w:val="005601C5"/>
    <w:rsid w:val="00560752"/>
    <w:rsid w:val="005608F7"/>
    <w:rsid w:val="00560F65"/>
    <w:rsid w:val="00561835"/>
    <w:rsid w:val="005619AD"/>
    <w:rsid w:val="005621FF"/>
    <w:rsid w:val="00562DF1"/>
    <w:rsid w:val="00564A08"/>
    <w:rsid w:val="00564F14"/>
    <w:rsid w:val="00564F5D"/>
    <w:rsid w:val="005650AB"/>
    <w:rsid w:val="005658BD"/>
    <w:rsid w:val="00565A4F"/>
    <w:rsid w:val="00567042"/>
    <w:rsid w:val="00567210"/>
    <w:rsid w:val="00567853"/>
    <w:rsid w:val="005706A3"/>
    <w:rsid w:val="005717EC"/>
    <w:rsid w:val="00571AF5"/>
    <w:rsid w:val="00572249"/>
    <w:rsid w:val="00572622"/>
    <w:rsid w:val="00572C22"/>
    <w:rsid w:val="005730E7"/>
    <w:rsid w:val="00574708"/>
    <w:rsid w:val="00574720"/>
    <w:rsid w:val="00574AD7"/>
    <w:rsid w:val="00575B02"/>
    <w:rsid w:val="00576C26"/>
    <w:rsid w:val="00577595"/>
    <w:rsid w:val="005777EA"/>
    <w:rsid w:val="00577B18"/>
    <w:rsid w:val="00577FD3"/>
    <w:rsid w:val="005808CE"/>
    <w:rsid w:val="00580921"/>
    <w:rsid w:val="00580D8C"/>
    <w:rsid w:val="00580F4E"/>
    <w:rsid w:val="0058199B"/>
    <w:rsid w:val="00582504"/>
    <w:rsid w:val="00583037"/>
    <w:rsid w:val="00584B1A"/>
    <w:rsid w:val="005855A8"/>
    <w:rsid w:val="00585854"/>
    <w:rsid w:val="005861FF"/>
    <w:rsid w:val="00586897"/>
    <w:rsid w:val="00587989"/>
    <w:rsid w:val="00590638"/>
    <w:rsid w:val="0059138E"/>
    <w:rsid w:val="00591666"/>
    <w:rsid w:val="005929D2"/>
    <w:rsid w:val="00592C96"/>
    <w:rsid w:val="00592E12"/>
    <w:rsid w:val="00593E6B"/>
    <w:rsid w:val="005950AB"/>
    <w:rsid w:val="005953E3"/>
    <w:rsid w:val="0059587F"/>
    <w:rsid w:val="00596174"/>
    <w:rsid w:val="0059630D"/>
    <w:rsid w:val="005963E0"/>
    <w:rsid w:val="005973C3"/>
    <w:rsid w:val="005976A4"/>
    <w:rsid w:val="005A0590"/>
    <w:rsid w:val="005A07F2"/>
    <w:rsid w:val="005A127E"/>
    <w:rsid w:val="005A1377"/>
    <w:rsid w:val="005A2650"/>
    <w:rsid w:val="005A305D"/>
    <w:rsid w:val="005A3276"/>
    <w:rsid w:val="005A6175"/>
    <w:rsid w:val="005A65C0"/>
    <w:rsid w:val="005B14F7"/>
    <w:rsid w:val="005B1D2E"/>
    <w:rsid w:val="005B30C1"/>
    <w:rsid w:val="005B48DE"/>
    <w:rsid w:val="005B5256"/>
    <w:rsid w:val="005B5561"/>
    <w:rsid w:val="005B5DF0"/>
    <w:rsid w:val="005B6DE2"/>
    <w:rsid w:val="005B705B"/>
    <w:rsid w:val="005B7786"/>
    <w:rsid w:val="005C0CF6"/>
    <w:rsid w:val="005C19FA"/>
    <w:rsid w:val="005C1C48"/>
    <w:rsid w:val="005C2297"/>
    <w:rsid w:val="005C26ED"/>
    <w:rsid w:val="005C4249"/>
    <w:rsid w:val="005C445A"/>
    <w:rsid w:val="005C5B3E"/>
    <w:rsid w:val="005C5CD7"/>
    <w:rsid w:val="005C61A5"/>
    <w:rsid w:val="005C61FA"/>
    <w:rsid w:val="005C641F"/>
    <w:rsid w:val="005C7EBF"/>
    <w:rsid w:val="005D1399"/>
    <w:rsid w:val="005D15F5"/>
    <w:rsid w:val="005D19A2"/>
    <w:rsid w:val="005D21FC"/>
    <w:rsid w:val="005D22F7"/>
    <w:rsid w:val="005D2777"/>
    <w:rsid w:val="005D2BDD"/>
    <w:rsid w:val="005D3642"/>
    <w:rsid w:val="005D46AD"/>
    <w:rsid w:val="005D4FCD"/>
    <w:rsid w:val="005D52E5"/>
    <w:rsid w:val="005D560D"/>
    <w:rsid w:val="005D56DE"/>
    <w:rsid w:val="005D631B"/>
    <w:rsid w:val="005D701C"/>
    <w:rsid w:val="005D75BD"/>
    <w:rsid w:val="005D7774"/>
    <w:rsid w:val="005D7C5D"/>
    <w:rsid w:val="005D7F79"/>
    <w:rsid w:val="005E0861"/>
    <w:rsid w:val="005E0C3F"/>
    <w:rsid w:val="005E0ED4"/>
    <w:rsid w:val="005E2A2D"/>
    <w:rsid w:val="005E5153"/>
    <w:rsid w:val="005E6094"/>
    <w:rsid w:val="005E62BB"/>
    <w:rsid w:val="005E6DEA"/>
    <w:rsid w:val="005E7C89"/>
    <w:rsid w:val="005F005A"/>
    <w:rsid w:val="005F0460"/>
    <w:rsid w:val="005F162F"/>
    <w:rsid w:val="005F164F"/>
    <w:rsid w:val="005F1816"/>
    <w:rsid w:val="005F1AF0"/>
    <w:rsid w:val="005F1E98"/>
    <w:rsid w:val="005F1FEE"/>
    <w:rsid w:val="005F28BB"/>
    <w:rsid w:val="005F2DE1"/>
    <w:rsid w:val="005F2E33"/>
    <w:rsid w:val="005F3AB5"/>
    <w:rsid w:val="005F3E7C"/>
    <w:rsid w:val="005F4010"/>
    <w:rsid w:val="005F4406"/>
    <w:rsid w:val="005F4F69"/>
    <w:rsid w:val="005F5EFE"/>
    <w:rsid w:val="005F61B4"/>
    <w:rsid w:val="005F6894"/>
    <w:rsid w:val="005F6F80"/>
    <w:rsid w:val="005F781D"/>
    <w:rsid w:val="005F7FBA"/>
    <w:rsid w:val="00600039"/>
    <w:rsid w:val="0060041D"/>
    <w:rsid w:val="00600EE4"/>
    <w:rsid w:val="006013C0"/>
    <w:rsid w:val="00603A69"/>
    <w:rsid w:val="00604024"/>
    <w:rsid w:val="00605AA6"/>
    <w:rsid w:val="006062AC"/>
    <w:rsid w:val="0060731B"/>
    <w:rsid w:val="00612497"/>
    <w:rsid w:val="00612DEC"/>
    <w:rsid w:val="00613416"/>
    <w:rsid w:val="0061390E"/>
    <w:rsid w:val="00613A8D"/>
    <w:rsid w:val="006142E7"/>
    <w:rsid w:val="00614BB8"/>
    <w:rsid w:val="00615784"/>
    <w:rsid w:val="006158A2"/>
    <w:rsid w:val="00615C5A"/>
    <w:rsid w:val="006164B6"/>
    <w:rsid w:val="0061664F"/>
    <w:rsid w:val="006201FC"/>
    <w:rsid w:val="0062037C"/>
    <w:rsid w:val="00620A4B"/>
    <w:rsid w:val="00620C61"/>
    <w:rsid w:val="00620DAC"/>
    <w:rsid w:val="00620E75"/>
    <w:rsid w:val="00621111"/>
    <w:rsid w:val="006212E1"/>
    <w:rsid w:val="00622118"/>
    <w:rsid w:val="006241C5"/>
    <w:rsid w:val="00624AA7"/>
    <w:rsid w:val="00626842"/>
    <w:rsid w:val="00626E9D"/>
    <w:rsid w:val="00626FBA"/>
    <w:rsid w:val="00630048"/>
    <w:rsid w:val="0063006A"/>
    <w:rsid w:val="0063088A"/>
    <w:rsid w:val="00630F9D"/>
    <w:rsid w:val="00631F07"/>
    <w:rsid w:val="00633BD9"/>
    <w:rsid w:val="00634AFE"/>
    <w:rsid w:val="00636780"/>
    <w:rsid w:val="00636F3D"/>
    <w:rsid w:val="006379B5"/>
    <w:rsid w:val="00637F49"/>
    <w:rsid w:val="00640370"/>
    <w:rsid w:val="006405FB"/>
    <w:rsid w:val="006413C8"/>
    <w:rsid w:val="00641755"/>
    <w:rsid w:val="00641E75"/>
    <w:rsid w:val="00641ED0"/>
    <w:rsid w:val="00642506"/>
    <w:rsid w:val="0064304E"/>
    <w:rsid w:val="00643739"/>
    <w:rsid w:val="006449E8"/>
    <w:rsid w:val="00645155"/>
    <w:rsid w:val="00645D00"/>
    <w:rsid w:val="006465C7"/>
    <w:rsid w:val="00646E98"/>
    <w:rsid w:val="006474BE"/>
    <w:rsid w:val="00650025"/>
    <w:rsid w:val="00651398"/>
    <w:rsid w:val="006515D8"/>
    <w:rsid w:val="006517A1"/>
    <w:rsid w:val="00652B69"/>
    <w:rsid w:val="00652C9F"/>
    <w:rsid w:val="00653577"/>
    <w:rsid w:val="00653603"/>
    <w:rsid w:val="006544E3"/>
    <w:rsid w:val="00655182"/>
    <w:rsid w:val="006554C9"/>
    <w:rsid w:val="00656D3C"/>
    <w:rsid w:val="0065769D"/>
    <w:rsid w:val="0065778A"/>
    <w:rsid w:val="006577CE"/>
    <w:rsid w:val="00657CEC"/>
    <w:rsid w:val="0066015F"/>
    <w:rsid w:val="006607AB"/>
    <w:rsid w:val="006619BD"/>
    <w:rsid w:val="006634F8"/>
    <w:rsid w:val="00663B3D"/>
    <w:rsid w:val="00665067"/>
    <w:rsid w:val="006665F3"/>
    <w:rsid w:val="00666EC5"/>
    <w:rsid w:val="00670708"/>
    <w:rsid w:val="00670A20"/>
    <w:rsid w:val="00670A24"/>
    <w:rsid w:val="00670C7E"/>
    <w:rsid w:val="0067322F"/>
    <w:rsid w:val="00673C6F"/>
    <w:rsid w:val="00673ED9"/>
    <w:rsid w:val="00674470"/>
    <w:rsid w:val="0067454C"/>
    <w:rsid w:val="0067588A"/>
    <w:rsid w:val="00675C95"/>
    <w:rsid w:val="00675FC0"/>
    <w:rsid w:val="00676A49"/>
    <w:rsid w:val="0067710C"/>
    <w:rsid w:val="00677110"/>
    <w:rsid w:val="00677CEE"/>
    <w:rsid w:val="00677F6E"/>
    <w:rsid w:val="00680163"/>
    <w:rsid w:val="0068052B"/>
    <w:rsid w:val="00680F88"/>
    <w:rsid w:val="00681092"/>
    <w:rsid w:val="006810ED"/>
    <w:rsid w:val="00681198"/>
    <w:rsid w:val="00681B25"/>
    <w:rsid w:val="00682022"/>
    <w:rsid w:val="00682028"/>
    <w:rsid w:val="006821FD"/>
    <w:rsid w:val="00683E80"/>
    <w:rsid w:val="00684016"/>
    <w:rsid w:val="00684223"/>
    <w:rsid w:val="0068532F"/>
    <w:rsid w:val="006861AF"/>
    <w:rsid w:val="0068696F"/>
    <w:rsid w:val="00686DD9"/>
    <w:rsid w:val="00687219"/>
    <w:rsid w:val="006878A6"/>
    <w:rsid w:val="00687FB3"/>
    <w:rsid w:val="006901D8"/>
    <w:rsid w:val="00691240"/>
    <w:rsid w:val="00692990"/>
    <w:rsid w:val="006930F7"/>
    <w:rsid w:val="00693FF3"/>
    <w:rsid w:val="00694789"/>
    <w:rsid w:val="00694DF5"/>
    <w:rsid w:val="00696979"/>
    <w:rsid w:val="006974D8"/>
    <w:rsid w:val="00697FE5"/>
    <w:rsid w:val="006A3A81"/>
    <w:rsid w:val="006A3EF2"/>
    <w:rsid w:val="006A52E0"/>
    <w:rsid w:val="006A63D1"/>
    <w:rsid w:val="006A6674"/>
    <w:rsid w:val="006A66D2"/>
    <w:rsid w:val="006A6A71"/>
    <w:rsid w:val="006A6C25"/>
    <w:rsid w:val="006A6DD5"/>
    <w:rsid w:val="006A6FCA"/>
    <w:rsid w:val="006B01E4"/>
    <w:rsid w:val="006B0C2E"/>
    <w:rsid w:val="006B13D1"/>
    <w:rsid w:val="006B1B55"/>
    <w:rsid w:val="006B209B"/>
    <w:rsid w:val="006B233C"/>
    <w:rsid w:val="006B259B"/>
    <w:rsid w:val="006B27E2"/>
    <w:rsid w:val="006B2907"/>
    <w:rsid w:val="006B2C63"/>
    <w:rsid w:val="006B2E9A"/>
    <w:rsid w:val="006B3064"/>
    <w:rsid w:val="006B3D09"/>
    <w:rsid w:val="006B46AD"/>
    <w:rsid w:val="006B4CEF"/>
    <w:rsid w:val="006B4D46"/>
    <w:rsid w:val="006B5D33"/>
    <w:rsid w:val="006B5FB5"/>
    <w:rsid w:val="006B6DC5"/>
    <w:rsid w:val="006B7166"/>
    <w:rsid w:val="006B778B"/>
    <w:rsid w:val="006C0E30"/>
    <w:rsid w:val="006C10C8"/>
    <w:rsid w:val="006C11A7"/>
    <w:rsid w:val="006C11E5"/>
    <w:rsid w:val="006C26CA"/>
    <w:rsid w:val="006C34B2"/>
    <w:rsid w:val="006C6557"/>
    <w:rsid w:val="006C78EE"/>
    <w:rsid w:val="006C7B71"/>
    <w:rsid w:val="006D065D"/>
    <w:rsid w:val="006D130E"/>
    <w:rsid w:val="006D1859"/>
    <w:rsid w:val="006D2A31"/>
    <w:rsid w:val="006D2B8A"/>
    <w:rsid w:val="006D2C65"/>
    <w:rsid w:val="006D3713"/>
    <w:rsid w:val="006D395F"/>
    <w:rsid w:val="006D3F17"/>
    <w:rsid w:val="006D4D33"/>
    <w:rsid w:val="006D583F"/>
    <w:rsid w:val="006D61A9"/>
    <w:rsid w:val="006D7964"/>
    <w:rsid w:val="006D7F47"/>
    <w:rsid w:val="006E07E1"/>
    <w:rsid w:val="006E12EF"/>
    <w:rsid w:val="006E1D87"/>
    <w:rsid w:val="006E2282"/>
    <w:rsid w:val="006E3982"/>
    <w:rsid w:val="006E46C7"/>
    <w:rsid w:val="006E49DD"/>
    <w:rsid w:val="006E5830"/>
    <w:rsid w:val="006E5EAF"/>
    <w:rsid w:val="006E6414"/>
    <w:rsid w:val="006E6477"/>
    <w:rsid w:val="006E75EF"/>
    <w:rsid w:val="006F0DA5"/>
    <w:rsid w:val="006F0F96"/>
    <w:rsid w:val="006F3557"/>
    <w:rsid w:val="006F4405"/>
    <w:rsid w:val="006F44CB"/>
    <w:rsid w:val="006F4F3F"/>
    <w:rsid w:val="006F609E"/>
    <w:rsid w:val="006F697D"/>
    <w:rsid w:val="006F6D5F"/>
    <w:rsid w:val="006F7117"/>
    <w:rsid w:val="006F7C3B"/>
    <w:rsid w:val="0070000E"/>
    <w:rsid w:val="0070012F"/>
    <w:rsid w:val="00700972"/>
    <w:rsid w:val="007019E9"/>
    <w:rsid w:val="00701B9B"/>
    <w:rsid w:val="0070249B"/>
    <w:rsid w:val="00703C35"/>
    <w:rsid w:val="0070436D"/>
    <w:rsid w:val="00704D7F"/>
    <w:rsid w:val="0070501F"/>
    <w:rsid w:val="007058B9"/>
    <w:rsid w:val="007059E7"/>
    <w:rsid w:val="00705B0C"/>
    <w:rsid w:val="00706D4D"/>
    <w:rsid w:val="007071B1"/>
    <w:rsid w:val="00710858"/>
    <w:rsid w:val="00710CA2"/>
    <w:rsid w:val="00710CE4"/>
    <w:rsid w:val="007110B5"/>
    <w:rsid w:val="007112CE"/>
    <w:rsid w:val="007118BB"/>
    <w:rsid w:val="007121A1"/>
    <w:rsid w:val="00712205"/>
    <w:rsid w:val="00712791"/>
    <w:rsid w:val="00712BFC"/>
    <w:rsid w:val="007132BB"/>
    <w:rsid w:val="00715A9A"/>
    <w:rsid w:val="00717361"/>
    <w:rsid w:val="00720179"/>
    <w:rsid w:val="007201B0"/>
    <w:rsid w:val="007202F6"/>
    <w:rsid w:val="00720AB4"/>
    <w:rsid w:val="00721A82"/>
    <w:rsid w:val="00721DCD"/>
    <w:rsid w:val="00721F5F"/>
    <w:rsid w:val="00722F6F"/>
    <w:rsid w:val="0072358C"/>
    <w:rsid w:val="007235EF"/>
    <w:rsid w:val="007255F6"/>
    <w:rsid w:val="0072577C"/>
    <w:rsid w:val="00725CCF"/>
    <w:rsid w:val="0072657B"/>
    <w:rsid w:val="00727AAC"/>
    <w:rsid w:val="007305FE"/>
    <w:rsid w:val="00730653"/>
    <w:rsid w:val="00731648"/>
    <w:rsid w:val="00731A05"/>
    <w:rsid w:val="00731A9E"/>
    <w:rsid w:val="00732CE6"/>
    <w:rsid w:val="00732CEF"/>
    <w:rsid w:val="00733E98"/>
    <w:rsid w:val="0073401D"/>
    <w:rsid w:val="0073457F"/>
    <w:rsid w:val="00734A3D"/>
    <w:rsid w:val="00734F3D"/>
    <w:rsid w:val="00737DE0"/>
    <w:rsid w:val="007419AE"/>
    <w:rsid w:val="00742027"/>
    <w:rsid w:val="007422C1"/>
    <w:rsid w:val="007424ED"/>
    <w:rsid w:val="00742E74"/>
    <w:rsid w:val="00742EC5"/>
    <w:rsid w:val="00743ECC"/>
    <w:rsid w:val="007441DE"/>
    <w:rsid w:val="00744555"/>
    <w:rsid w:val="00744FE2"/>
    <w:rsid w:val="007450E3"/>
    <w:rsid w:val="007454C6"/>
    <w:rsid w:val="00745884"/>
    <w:rsid w:val="007458AB"/>
    <w:rsid w:val="0074591A"/>
    <w:rsid w:val="007468E9"/>
    <w:rsid w:val="00747079"/>
    <w:rsid w:val="0074739E"/>
    <w:rsid w:val="00750CDB"/>
    <w:rsid w:val="00751505"/>
    <w:rsid w:val="0075161F"/>
    <w:rsid w:val="0075244E"/>
    <w:rsid w:val="007528EF"/>
    <w:rsid w:val="007537A0"/>
    <w:rsid w:val="00753877"/>
    <w:rsid w:val="00753DAD"/>
    <w:rsid w:val="00754A73"/>
    <w:rsid w:val="00755319"/>
    <w:rsid w:val="00755903"/>
    <w:rsid w:val="0075657E"/>
    <w:rsid w:val="007576A2"/>
    <w:rsid w:val="00757A1F"/>
    <w:rsid w:val="007605B6"/>
    <w:rsid w:val="00761E9B"/>
    <w:rsid w:val="007627FA"/>
    <w:rsid w:val="00762A8E"/>
    <w:rsid w:val="00763999"/>
    <w:rsid w:val="00763FB1"/>
    <w:rsid w:val="00764571"/>
    <w:rsid w:val="00765E70"/>
    <w:rsid w:val="007673E7"/>
    <w:rsid w:val="00767B28"/>
    <w:rsid w:val="00767E8E"/>
    <w:rsid w:val="00767FC8"/>
    <w:rsid w:val="00771930"/>
    <w:rsid w:val="007721DD"/>
    <w:rsid w:val="007725A6"/>
    <w:rsid w:val="00772DDA"/>
    <w:rsid w:val="00773A9A"/>
    <w:rsid w:val="007749B0"/>
    <w:rsid w:val="00775D2F"/>
    <w:rsid w:val="007805AA"/>
    <w:rsid w:val="00780D0E"/>
    <w:rsid w:val="00781D23"/>
    <w:rsid w:val="0078337C"/>
    <w:rsid w:val="00783B8C"/>
    <w:rsid w:val="007840C2"/>
    <w:rsid w:val="007841E4"/>
    <w:rsid w:val="00784D7E"/>
    <w:rsid w:val="00785F9E"/>
    <w:rsid w:val="0078657A"/>
    <w:rsid w:val="00786721"/>
    <w:rsid w:val="0079049C"/>
    <w:rsid w:val="007904A7"/>
    <w:rsid w:val="00790824"/>
    <w:rsid w:val="00790F73"/>
    <w:rsid w:val="00790FA7"/>
    <w:rsid w:val="007912C6"/>
    <w:rsid w:val="0079171F"/>
    <w:rsid w:val="00791ED9"/>
    <w:rsid w:val="00792784"/>
    <w:rsid w:val="0079331D"/>
    <w:rsid w:val="00793A19"/>
    <w:rsid w:val="00793BE3"/>
    <w:rsid w:val="00795243"/>
    <w:rsid w:val="00795982"/>
    <w:rsid w:val="007961C2"/>
    <w:rsid w:val="00796563"/>
    <w:rsid w:val="007965F4"/>
    <w:rsid w:val="007967E3"/>
    <w:rsid w:val="00796D59"/>
    <w:rsid w:val="00796EBF"/>
    <w:rsid w:val="00797A6A"/>
    <w:rsid w:val="00797D3B"/>
    <w:rsid w:val="00797F1A"/>
    <w:rsid w:val="007A01BD"/>
    <w:rsid w:val="007A0F32"/>
    <w:rsid w:val="007A1577"/>
    <w:rsid w:val="007A1648"/>
    <w:rsid w:val="007A27E1"/>
    <w:rsid w:val="007A3EF7"/>
    <w:rsid w:val="007A403E"/>
    <w:rsid w:val="007A4483"/>
    <w:rsid w:val="007A4557"/>
    <w:rsid w:val="007A6239"/>
    <w:rsid w:val="007A6EE3"/>
    <w:rsid w:val="007A7DF2"/>
    <w:rsid w:val="007B055C"/>
    <w:rsid w:val="007B08D8"/>
    <w:rsid w:val="007B128C"/>
    <w:rsid w:val="007B1D09"/>
    <w:rsid w:val="007B26BE"/>
    <w:rsid w:val="007B2F65"/>
    <w:rsid w:val="007B355C"/>
    <w:rsid w:val="007B44AA"/>
    <w:rsid w:val="007B589D"/>
    <w:rsid w:val="007B72E6"/>
    <w:rsid w:val="007B781E"/>
    <w:rsid w:val="007B7835"/>
    <w:rsid w:val="007C1967"/>
    <w:rsid w:val="007C2066"/>
    <w:rsid w:val="007C383E"/>
    <w:rsid w:val="007C4B1A"/>
    <w:rsid w:val="007C503F"/>
    <w:rsid w:val="007C5478"/>
    <w:rsid w:val="007C574F"/>
    <w:rsid w:val="007C5AA8"/>
    <w:rsid w:val="007C6131"/>
    <w:rsid w:val="007C6C41"/>
    <w:rsid w:val="007C75E3"/>
    <w:rsid w:val="007D00DA"/>
    <w:rsid w:val="007D00EA"/>
    <w:rsid w:val="007D072C"/>
    <w:rsid w:val="007D114B"/>
    <w:rsid w:val="007D18C8"/>
    <w:rsid w:val="007D265D"/>
    <w:rsid w:val="007D3654"/>
    <w:rsid w:val="007D3C2B"/>
    <w:rsid w:val="007D4489"/>
    <w:rsid w:val="007D4536"/>
    <w:rsid w:val="007D4A64"/>
    <w:rsid w:val="007D61EA"/>
    <w:rsid w:val="007D65BE"/>
    <w:rsid w:val="007D7C03"/>
    <w:rsid w:val="007E131B"/>
    <w:rsid w:val="007E1888"/>
    <w:rsid w:val="007E22B3"/>
    <w:rsid w:val="007E33E5"/>
    <w:rsid w:val="007E3B40"/>
    <w:rsid w:val="007E3F39"/>
    <w:rsid w:val="007E457E"/>
    <w:rsid w:val="007E4D68"/>
    <w:rsid w:val="007E4E82"/>
    <w:rsid w:val="007E5901"/>
    <w:rsid w:val="007F1575"/>
    <w:rsid w:val="007F2C5E"/>
    <w:rsid w:val="007F353D"/>
    <w:rsid w:val="007F41AD"/>
    <w:rsid w:val="007F4EEF"/>
    <w:rsid w:val="007F56AA"/>
    <w:rsid w:val="007F79D5"/>
    <w:rsid w:val="008005B4"/>
    <w:rsid w:val="00800604"/>
    <w:rsid w:val="00800840"/>
    <w:rsid w:val="0080099D"/>
    <w:rsid w:val="00800F7C"/>
    <w:rsid w:val="00800FF8"/>
    <w:rsid w:val="008012E0"/>
    <w:rsid w:val="00801B49"/>
    <w:rsid w:val="00801BAB"/>
    <w:rsid w:val="00801F06"/>
    <w:rsid w:val="0080273F"/>
    <w:rsid w:val="00802FE6"/>
    <w:rsid w:val="00806B5F"/>
    <w:rsid w:val="00806F18"/>
    <w:rsid w:val="00807A5F"/>
    <w:rsid w:val="00811023"/>
    <w:rsid w:val="0081157F"/>
    <w:rsid w:val="00813D56"/>
    <w:rsid w:val="008152FC"/>
    <w:rsid w:val="00815785"/>
    <w:rsid w:val="00816BB0"/>
    <w:rsid w:val="00816CCC"/>
    <w:rsid w:val="00817352"/>
    <w:rsid w:val="00820047"/>
    <w:rsid w:val="00820DA8"/>
    <w:rsid w:val="00821B1B"/>
    <w:rsid w:val="008220B4"/>
    <w:rsid w:val="0082380D"/>
    <w:rsid w:val="008243A8"/>
    <w:rsid w:val="00824626"/>
    <w:rsid w:val="00824700"/>
    <w:rsid w:val="00824793"/>
    <w:rsid w:val="00824DD5"/>
    <w:rsid w:val="0082502F"/>
    <w:rsid w:val="0082555A"/>
    <w:rsid w:val="00825BB5"/>
    <w:rsid w:val="008306D7"/>
    <w:rsid w:val="008311CA"/>
    <w:rsid w:val="008317D4"/>
    <w:rsid w:val="00831CCD"/>
    <w:rsid w:val="00831E1D"/>
    <w:rsid w:val="008333BA"/>
    <w:rsid w:val="00833AC7"/>
    <w:rsid w:val="00834C6C"/>
    <w:rsid w:val="008354C8"/>
    <w:rsid w:val="00836114"/>
    <w:rsid w:val="00836377"/>
    <w:rsid w:val="00836458"/>
    <w:rsid w:val="008375BF"/>
    <w:rsid w:val="00840153"/>
    <w:rsid w:val="00840993"/>
    <w:rsid w:val="00840BCA"/>
    <w:rsid w:val="00840C3F"/>
    <w:rsid w:val="008414C5"/>
    <w:rsid w:val="00841C5F"/>
    <w:rsid w:val="008423E2"/>
    <w:rsid w:val="008430A7"/>
    <w:rsid w:val="0084318A"/>
    <w:rsid w:val="008437CD"/>
    <w:rsid w:val="00843982"/>
    <w:rsid w:val="00843CAC"/>
    <w:rsid w:val="00843FA3"/>
    <w:rsid w:val="00843FC5"/>
    <w:rsid w:val="00844BCB"/>
    <w:rsid w:val="00845235"/>
    <w:rsid w:val="00847182"/>
    <w:rsid w:val="00847618"/>
    <w:rsid w:val="0084778B"/>
    <w:rsid w:val="00847D60"/>
    <w:rsid w:val="008508A1"/>
    <w:rsid w:val="008508EC"/>
    <w:rsid w:val="00850C9D"/>
    <w:rsid w:val="00851050"/>
    <w:rsid w:val="008510DD"/>
    <w:rsid w:val="00851A5F"/>
    <w:rsid w:val="0085215C"/>
    <w:rsid w:val="00852290"/>
    <w:rsid w:val="00852327"/>
    <w:rsid w:val="00853453"/>
    <w:rsid w:val="00853511"/>
    <w:rsid w:val="00853616"/>
    <w:rsid w:val="00853DBE"/>
    <w:rsid w:val="00853EF0"/>
    <w:rsid w:val="00854266"/>
    <w:rsid w:val="00854C0C"/>
    <w:rsid w:val="00856389"/>
    <w:rsid w:val="008564D1"/>
    <w:rsid w:val="008565F9"/>
    <w:rsid w:val="0085692B"/>
    <w:rsid w:val="008569B1"/>
    <w:rsid w:val="00856FE0"/>
    <w:rsid w:val="00857781"/>
    <w:rsid w:val="00857A32"/>
    <w:rsid w:val="008611A6"/>
    <w:rsid w:val="00861DCA"/>
    <w:rsid w:val="0086234D"/>
    <w:rsid w:val="0086284A"/>
    <w:rsid w:val="00862D05"/>
    <w:rsid w:val="00862D69"/>
    <w:rsid w:val="008630B4"/>
    <w:rsid w:val="00863325"/>
    <w:rsid w:val="00863343"/>
    <w:rsid w:val="008642D3"/>
    <w:rsid w:val="00864C60"/>
    <w:rsid w:val="00866700"/>
    <w:rsid w:val="00866FD0"/>
    <w:rsid w:val="008679B5"/>
    <w:rsid w:val="00867EA7"/>
    <w:rsid w:val="00870AD3"/>
    <w:rsid w:val="008716C0"/>
    <w:rsid w:val="00872565"/>
    <w:rsid w:val="0087554F"/>
    <w:rsid w:val="00875EAB"/>
    <w:rsid w:val="008761F5"/>
    <w:rsid w:val="00876B8C"/>
    <w:rsid w:val="008775E7"/>
    <w:rsid w:val="00877C91"/>
    <w:rsid w:val="0088299C"/>
    <w:rsid w:val="00882A05"/>
    <w:rsid w:val="00884F48"/>
    <w:rsid w:val="00884FDF"/>
    <w:rsid w:val="00885CCB"/>
    <w:rsid w:val="008865B4"/>
    <w:rsid w:val="00886C29"/>
    <w:rsid w:val="00891059"/>
    <w:rsid w:val="00891718"/>
    <w:rsid w:val="008917C5"/>
    <w:rsid w:val="00891D70"/>
    <w:rsid w:val="0089212D"/>
    <w:rsid w:val="00892911"/>
    <w:rsid w:val="008931C1"/>
    <w:rsid w:val="00894158"/>
    <w:rsid w:val="00894B25"/>
    <w:rsid w:val="00897177"/>
    <w:rsid w:val="008A0942"/>
    <w:rsid w:val="008A0C8C"/>
    <w:rsid w:val="008A0D7E"/>
    <w:rsid w:val="008A1043"/>
    <w:rsid w:val="008A1249"/>
    <w:rsid w:val="008A233C"/>
    <w:rsid w:val="008A2E63"/>
    <w:rsid w:val="008A385B"/>
    <w:rsid w:val="008A4529"/>
    <w:rsid w:val="008A4887"/>
    <w:rsid w:val="008A6E49"/>
    <w:rsid w:val="008A729B"/>
    <w:rsid w:val="008A78AE"/>
    <w:rsid w:val="008B049D"/>
    <w:rsid w:val="008B0DDB"/>
    <w:rsid w:val="008B16E6"/>
    <w:rsid w:val="008B1CAC"/>
    <w:rsid w:val="008B1F73"/>
    <w:rsid w:val="008B234B"/>
    <w:rsid w:val="008B268A"/>
    <w:rsid w:val="008B3C35"/>
    <w:rsid w:val="008B4418"/>
    <w:rsid w:val="008B51DA"/>
    <w:rsid w:val="008B53B7"/>
    <w:rsid w:val="008B5423"/>
    <w:rsid w:val="008B7A96"/>
    <w:rsid w:val="008B7F92"/>
    <w:rsid w:val="008C0ECD"/>
    <w:rsid w:val="008C2A4F"/>
    <w:rsid w:val="008C2C31"/>
    <w:rsid w:val="008C41A6"/>
    <w:rsid w:val="008C4496"/>
    <w:rsid w:val="008C4A18"/>
    <w:rsid w:val="008C4BDD"/>
    <w:rsid w:val="008C5242"/>
    <w:rsid w:val="008C5629"/>
    <w:rsid w:val="008D08E5"/>
    <w:rsid w:val="008D0EFA"/>
    <w:rsid w:val="008D2EDB"/>
    <w:rsid w:val="008D3144"/>
    <w:rsid w:val="008D461F"/>
    <w:rsid w:val="008D6E6E"/>
    <w:rsid w:val="008D6EE8"/>
    <w:rsid w:val="008D6F53"/>
    <w:rsid w:val="008D7863"/>
    <w:rsid w:val="008D7DDA"/>
    <w:rsid w:val="008E03E4"/>
    <w:rsid w:val="008E0552"/>
    <w:rsid w:val="008E1632"/>
    <w:rsid w:val="008E18B7"/>
    <w:rsid w:val="008E1FF2"/>
    <w:rsid w:val="008E2F24"/>
    <w:rsid w:val="008E32EA"/>
    <w:rsid w:val="008E4052"/>
    <w:rsid w:val="008E4A29"/>
    <w:rsid w:val="008E4C31"/>
    <w:rsid w:val="008E4D6B"/>
    <w:rsid w:val="008E4D7F"/>
    <w:rsid w:val="008E5BB3"/>
    <w:rsid w:val="008E5CD6"/>
    <w:rsid w:val="008E63F3"/>
    <w:rsid w:val="008E67AB"/>
    <w:rsid w:val="008F03CF"/>
    <w:rsid w:val="008F1CF4"/>
    <w:rsid w:val="008F329B"/>
    <w:rsid w:val="008F36B1"/>
    <w:rsid w:val="008F464A"/>
    <w:rsid w:val="008F4768"/>
    <w:rsid w:val="008F57B9"/>
    <w:rsid w:val="008F5CA3"/>
    <w:rsid w:val="008F5E5F"/>
    <w:rsid w:val="008F6FAB"/>
    <w:rsid w:val="008F7BDF"/>
    <w:rsid w:val="009000FF"/>
    <w:rsid w:val="009004AC"/>
    <w:rsid w:val="00900913"/>
    <w:rsid w:val="009009CA"/>
    <w:rsid w:val="00902010"/>
    <w:rsid w:val="009024F8"/>
    <w:rsid w:val="0090311A"/>
    <w:rsid w:val="00903534"/>
    <w:rsid w:val="00904611"/>
    <w:rsid w:val="0090559D"/>
    <w:rsid w:val="00905AB3"/>
    <w:rsid w:val="00906A85"/>
    <w:rsid w:val="009120EE"/>
    <w:rsid w:val="009127F4"/>
    <w:rsid w:val="00912F5C"/>
    <w:rsid w:val="00913B13"/>
    <w:rsid w:val="009148DB"/>
    <w:rsid w:val="00914AD7"/>
    <w:rsid w:val="00915B8A"/>
    <w:rsid w:val="00916692"/>
    <w:rsid w:val="00917367"/>
    <w:rsid w:val="009202ED"/>
    <w:rsid w:val="009208EF"/>
    <w:rsid w:val="00920FD8"/>
    <w:rsid w:val="009214F7"/>
    <w:rsid w:val="00922E1D"/>
    <w:rsid w:val="00923058"/>
    <w:rsid w:val="00923088"/>
    <w:rsid w:val="00923206"/>
    <w:rsid w:val="00923369"/>
    <w:rsid w:val="009235F1"/>
    <w:rsid w:val="009238A8"/>
    <w:rsid w:val="00923DF3"/>
    <w:rsid w:val="00923FC0"/>
    <w:rsid w:val="009242F3"/>
    <w:rsid w:val="009248DF"/>
    <w:rsid w:val="00924A5F"/>
    <w:rsid w:val="009256BA"/>
    <w:rsid w:val="00927057"/>
    <w:rsid w:val="00927D16"/>
    <w:rsid w:val="009303E9"/>
    <w:rsid w:val="00930408"/>
    <w:rsid w:val="0093125F"/>
    <w:rsid w:val="00931A83"/>
    <w:rsid w:val="00931EF1"/>
    <w:rsid w:val="009325DC"/>
    <w:rsid w:val="00932676"/>
    <w:rsid w:val="00933DC0"/>
    <w:rsid w:val="0093403A"/>
    <w:rsid w:val="00934411"/>
    <w:rsid w:val="009350B0"/>
    <w:rsid w:val="00935550"/>
    <w:rsid w:val="00936F41"/>
    <w:rsid w:val="0093709C"/>
    <w:rsid w:val="009402CC"/>
    <w:rsid w:val="00940C30"/>
    <w:rsid w:val="00941434"/>
    <w:rsid w:val="009415E3"/>
    <w:rsid w:val="00941C10"/>
    <w:rsid w:val="00942491"/>
    <w:rsid w:val="0094360A"/>
    <w:rsid w:val="00944A2C"/>
    <w:rsid w:val="00945715"/>
    <w:rsid w:val="0094598E"/>
    <w:rsid w:val="00946411"/>
    <w:rsid w:val="00946FD9"/>
    <w:rsid w:val="0094779C"/>
    <w:rsid w:val="0095072C"/>
    <w:rsid w:val="00951661"/>
    <w:rsid w:val="00951717"/>
    <w:rsid w:val="009518E6"/>
    <w:rsid w:val="00951DC2"/>
    <w:rsid w:val="00952CE3"/>
    <w:rsid w:val="00953232"/>
    <w:rsid w:val="00953362"/>
    <w:rsid w:val="00954B67"/>
    <w:rsid w:val="00954FD9"/>
    <w:rsid w:val="009558E7"/>
    <w:rsid w:val="009559ED"/>
    <w:rsid w:val="00956833"/>
    <w:rsid w:val="0095791E"/>
    <w:rsid w:val="00960283"/>
    <w:rsid w:val="0096059F"/>
    <w:rsid w:val="00960E26"/>
    <w:rsid w:val="00961115"/>
    <w:rsid w:val="009617D3"/>
    <w:rsid w:val="00962558"/>
    <w:rsid w:val="009628E4"/>
    <w:rsid w:val="00962CDB"/>
    <w:rsid w:val="00964049"/>
    <w:rsid w:val="00964EC1"/>
    <w:rsid w:val="00965420"/>
    <w:rsid w:val="009658F7"/>
    <w:rsid w:val="00966523"/>
    <w:rsid w:val="00967935"/>
    <w:rsid w:val="00970D9A"/>
    <w:rsid w:val="00970DCC"/>
    <w:rsid w:val="00971988"/>
    <w:rsid w:val="00971F23"/>
    <w:rsid w:val="00972513"/>
    <w:rsid w:val="00972FFC"/>
    <w:rsid w:val="009746E3"/>
    <w:rsid w:val="00974744"/>
    <w:rsid w:val="00975431"/>
    <w:rsid w:val="0097543E"/>
    <w:rsid w:val="0097625E"/>
    <w:rsid w:val="0097633A"/>
    <w:rsid w:val="00976827"/>
    <w:rsid w:val="00981452"/>
    <w:rsid w:val="0098241D"/>
    <w:rsid w:val="00982A66"/>
    <w:rsid w:val="00982C57"/>
    <w:rsid w:val="00983610"/>
    <w:rsid w:val="009836A5"/>
    <w:rsid w:val="00983D09"/>
    <w:rsid w:val="00983D16"/>
    <w:rsid w:val="0098527E"/>
    <w:rsid w:val="0098552E"/>
    <w:rsid w:val="00986389"/>
    <w:rsid w:val="00986733"/>
    <w:rsid w:val="00986A01"/>
    <w:rsid w:val="009877FC"/>
    <w:rsid w:val="00991009"/>
    <w:rsid w:val="00991752"/>
    <w:rsid w:val="009922F0"/>
    <w:rsid w:val="00992694"/>
    <w:rsid w:val="00992A38"/>
    <w:rsid w:val="00994820"/>
    <w:rsid w:val="009948AC"/>
    <w:rsid w:val="00994C4D"/>
    <w:rsid w:val="009966AE"/>
    <w:rsid w:val="00997D2C"/>
    <w:rsid w:val="009A0C3B"/>
    <w:rsid w:val="009A0FCB"/>
    <w:rsid w:val="009A1083"/>
    <w:rsid w:val="009A13DB"/>
    <w:rsid w:val="009A1EE9"/>
    <w:rsid w:val="009A4429"/>
    <w:rsid w:val="009A47B8"/>
    <w:rsid w:val="009A49C2"/>
    <w:rsid w:val="009A4E2A"/>
    <w:rsid w:val="009A52CA"/>
    <w:rsid w:val="009A5E27"/>
    <w:rsid w:val="009A7CEF"/>
    <w:rsid w:val="009B014E"/>
    <w:rsid w:val="009B115D"/>
    <w:rsid w:val="009B29F3"/>
    <w:rsid w:val="009B2A50"/>
    <w:rsid w:val="009B2AF7"/>
    <w:rsid w:val="009B321D"/>
    <w:rsid w:val="009B50FB"/>
    <w:rsid w:val="009B589B"/>
    <w:rsid w:val="009B6BB5"/>
    <w:rsid w:val="009B71D0"/>
    <w:rsid w:val="009B7DDB"/>
    <w:rsid w:val="009C0485"/>
    <w:rsid w:val="009C1A38"/>
    <w:rsid w:val="009C3683"/>
    <w:rsid w:val="009C59A8"/>
    <w:rsid w:val="009C5A3E"/>
    <w:rsid w:val="009C5B28"/>
    <w:rsid w:val="009C6803"/>
    <w:rsid w:val="009C743F"/>
    <w:rsid w:val="009C76F6"/>
    <w:rsid w:val="009C7B18"/>
    <w:rsid w:val="009C7C66"/>
    <w:rsid w:val="009D104A"/>
    <w:rsid w:val="009D10BE"/>
    <w:rsid w:val="009D154A"/>
    <w:rsid w:val="009D1C95"/>
    <w:rsid w:val="009D1CA5"/>
    <w:rsid w:val="009D268B"/>
    <w:rsid w:val="009D358D"/>
    <w:rsid w:val="009D3E86"/>
    <w:rsid w:val="009D4E41"/>
    <w:rsid w:val="009D5BA6"/>
    <w:rsid w:val="009D64DC"/>
    <w:rsid w:val="009D759C"/>
    <w:rsid w:val="009D7869"/>
    <w:rsid w:val="009D78EB"/>
    <w:rsid w:val="009E0013"/>
    <w:rsid w:val="009E1020"/>
    <w:rsid w:val="009E11E3"/>
    <w:rsid w:val="009E1BA2"/>
    <w:rsid w:val="009E1F09"/>
    <w:rsid w:val="009E3596"/>
    <w:rsid w:val="009E405B"/>
    <w:rsid w:val="009E42FB"/>
    <w:rsid w:val="009E5158"/>
    <w:rsid w:val="009E5F92"/>
    <w:rsid w:val="009E6A92"/>
    <w:rsid w:val="009E7013"/>
    <w:rsid w:val="009F05A3"/>
    <w:rsid w:val="009F3F31"/>
    <w:rsid w:val="009F3FDD"/>
    <w:rsid w:val="009F3FED"/>
    <w:rsid w:val="009F40F3"/>
    <w:rsid w:val="009F4641"/>
    <w:rsid w:val="009F49E0"/>
    <w:rsid w:val="009F51E6"/>
    <w:rsid w:val="009F5C5F"/>
    <w:rsid w:val="009F6DD2"/>
    <w:rsid w:val="009F773D"/>
    <w:rsid w:val="009F77B7"/>
    <w:rsid w:val="009F7AE8"/>
    <w:rsid w:val="00A005CA"/>
    <w:rsid w:val="00A01255"/>
    <w:rsid w:val="00A0196F"/>
    <w:rsid w:val="00A01D01"/>
    <w:rsid w:val="00A0230C"/>
    <w:rsid w:val="00A02D7B"/>
    <w:rsid w:val="00A033BE"/>
    <w:rsid w:val="00A03BBD"/>
    <w:rsid w:val="00A04778"/>
    <w:rsid w:val="00A04D99"/>
    <w:rsid w:val="00A05009"/>
    <w:rsid w:val="00A05B08"/>
    <w:rsid w:val="00A05FFF"/>
    <w:rsid w:val="00A0781B"/>
    <w:rsid w:val="00A105A6"/>
    <w:rsid w:val="00A10C33"/>
    <w:rsid w:val="00A11E9D"/>
    <w:rsid w:val="00A123BF"/>
    <w:rsid w:val="00A1282F"/>
    <w:rsid w:val="00A1311A"/>
    <w:rsid w:val="00A14621"/>
    <w:rsid w:val="00A14990"/>
    <w:rsid w:val="00A159AA"/>
    <w:rsid w:val="00A16D4E"/>
    <w:rsid w:val="00A17004"/>
    <w:rsid w:val="00A20554"/>
    <w:rsid w:val="00A20933"/>
    <w:rsid w:val="00A20EA1"/>
    <w:rsid w:val="00A21BC9"/>
    <w:rsid w:val="00A22005"/>
    <w:rsid w:val="00A22585"/>
    <w:rsid w:val="00A22EB5"/>
    <w:rsid w:val="00A2351A"/>
    <w:rsid w:val="00A238F6"/>
    <w:rsid w:val="00A24669"/>
    <w:rsid w:val="00A267CA"/>
    <w:rsid w:val="00A27385"/>
    <w:rsid w:val="00A27400"/>
    <w:rsid w:val="00A3071D"/>
    <w:rsid w:val="00A30775"/>
    <w:rsid w:val="00A310DC"/>
    <w:rsid w:val="00A3159D"/>
    <w:rsid w:val="00A334D1"/>
    <w:rsid w:val="00A338B4"/>
    <w:rsid w:val="00A33EC7"/>
    <w:rsid w:val="00A340A7"/>
    <w:rsid w:val="00A35A76"/>
    <w:rsid w:val="00A36171"/>
    <w:rsid w:val="00A37C9D"/>
    <w:rsid w:val="00A40611"/>
    <w:rsid w:val="00A40AAE"/>
    <w:rsid w:val="00A41011"/>
    <w:rsid w:val="00A416E8"/>
    <w:rsid w:val="00A426BD"/>
    <w:rsid w:val="00A42828"/>
    <w:rsid w:val="00A46375"/>
    <w:rsid w:val="00A476C6"/>
    <w:rsid w:val="00A47EAE"/>
    <w:rsid w:val="00A502CA"/>
    <w:rsid w:val="00A50DED"/>
    <w:rsid w:val="00A53068"/>
    <w:rsid w:val="00A53255"/>
    <w:rsid w:val="00A53488"/>
    <w:rsid w:val="00A5385D"/>
    <w:rsid w:val="00A54239"/>
    <w:rsid w:val="00A547B9"/>
    <w:rsid w:val="00A54A05"/>
    <w:rsid w:val="00A553C2"/>
    <w:rsid w:val="00A5582D"/>
    <w:rsid w:val="00A56A27"/>
    <w:rsid w:val="00A56EE1"/>
    <w:rsid w:val="00A57013"/>
    <w:rsid w:val="00A5728E"/>
    <w:rsid w:val="00A5783B"/>
    <w:rsid w:val="00A57B26"/>
    <w:rsid w:val="00A60B8C"/>
    <w:rsid w:val="00A61094"/>
    <w:rsid w:val="00A615DC"/>
    <w:rsid w:val="00A6165B"/>
    <w:rsid w:val="00A61C8F"/>
    <w:rsid w:val="00A6201B"/>
    <w:rsid w:val="00A626DD"/>
    <w:rsid w:val="00A63329"/>
    <w:rsid w:val="00A6469D"/>
    <w:rsid w:val="00A64701"/>
    <w:rsid w:val="00A64E50"/>
    <w:rsid w:val="00A64F76"/>
    <w:rsid w:val="00A6533A"/>
    <w:rsid w:val="00A65549"/>
    <w:rsid w:val="00A66243"/>
    <w:rsid w:val="00A6641D"/>
    <w:rsid w:val="00A7364A"/>
    <w:rsid w:val="00A74185"/>
    <w:rsid w:val="00A74C46"/>
    <w:rsid w:val="00A7738B"/>
    <w:rsid w:val="00A7751B"/>
    <w:rsid w:val="00A800CD"/>
    <w:rsid w:val="00A803D7"/>
    <w:rsid w:val="00A80665"/>
    <w:rsid w:val="00A80E95"/>
    <w:rsid w:val="00A81E72"/>
    <w:rsid w:val="00A821D0"/>
    <w:rsid w:val="00A82606"/>
    <w:rsid w:val="00A82A56"/>
    <w:rsid w:val="00A82B0C"/>
    <w:rsid w:val="00A83214"/>
    <w:rsid w:val="00A83D4D"/>
    <w:rsid w:val="00A83DFA"/>
    <w:rsid w:val="00A8419F"/>
    <w:rsid w:val="00A84381"/>
    <w:rsid w:val="00A84F2D"/>
    <w:rsid w:val="00A874E2"/>
    <w:rsid w:val="00A876C2"/>
    <w:rsid w:val="00A9091B"/>
    <w:rsid w:val="00A9281A"/>
    <w:rsid w:val="00A9332F"/>
    <w:rsid w:val="00A93476"/>
    <w:rsid w:val="00A93664"/>
    <w:rsid w:val="00A94F96"/>
    <w:rsid w:val="00A9600E"/>
    <w:rsid w:val="00A97DDA"/>
    <w:rsid w:val="00AA0931"/>
    <w:rsid w:val="00AA100B"/>
    <w:rsid w:val="00AA168D"/>
    <w:rsid w:val="00AA21D3"/>
    <w:rsid w:val="00AA22A8"/>
    <w:rsid w:val="00AA23B9"/>
    <w:rsid w:val="00AA26AD"/>
    <w:rsid w:val="00AA4F49"/>
    <w:rsid w:val="00AA7BA5"/>
    <w:rsid w:val="00AA7FEE"/>
    <w:rsid w:val="00AB10FA"/>
    <w:rsid w:val="00AB12EF"/>
    <w:rsid w:val="00AB1956"/>
    <w:rsid w:val="00AB20B1"/>
    <w:rsid w:val="00AB2C1D"/>
    <w:rsid w:val="00AB2F84"/>
    <w:rsid w:val="00AB34B3"/>
    <w:rsid w:val="00AB36F7"/>
    <w:rsid w:val="00AB3EAD"/>
    <w:rsid w:val="00AB450F"/>
    <w:rsid w:val="00AB4961"/>
    <w:rsid w:val="00AB4C85"/>
    <w:rsid w:val="00AB5737"/>
    <w:rsid w:val="00AB58B0"/>
    <w:rsid w:val="00AB59A6"/>
    <w:rsid w:val="00AB6092"/>
    <w:rsid w:val="00AB7224"/>
    <w:rsid w:val="00AC084E"/>
    <w:rsid w:val="00AC2797"/>
    <w:rsid w:val="00AC2BCD"/>
    <w:rsid w:val="00AC46CE"/>
    <w:rsid w:val="00AC53CB"/>
    <w:rsid w:val="00AC56CB"/>
    <w:rsid w:val="00AC58A2"/>
    <w:rsid w:val="00AC5D90"/>
    <w:rsid w:val="00AC7AC2"/>
    <w:rsid w:val="00AC7BAA"/>
    <w:rsid w:val="00AC7BC5"/>
    <w:rsid w:val="00AD03DD"/>
    <w:rsid w:val="00AD0FC3"/>
    <w:rsid w:val="00AD18E5"/>
    <w:rsid w:val="00AD2659"/>
    <w:rsid w:val="00AD2BCE"/>
    <w:rsid w:val="00AD38F5"/>
    <w:rsid w:val="00AD415A"/>
    <w:rsid w:val="00AD41E3"/>
    <w:rsid w:val="00AD4E1B"/>
    <w:rsid w:val="00AD578A"/>
    <w:rsid w:val="00AD5DFF"/>
    <w:rsid w:val="00AD60F6"/>
    <w:rsid w:val="00AD6FFA"/>
    <w:rsid w:val="00AD7B21"/>
    <w:rsid w:val="00AD7F4B"/>
    <w:rsid w:val="00AE02AD"/>
    <w:rsid w:val="00AE30BB"/>
    <w:rsid w:val="00AE31D7"/>
    <w:rsid w:val="00AE38B0"/>
    <w:rsid w:val="00AE4245"/>
    <w:rsid w:val="00AE43C0"/>
    <w:rsid w:val="00AE4A3F"/>
    <w:rsid w:val="00AE4FF7"/>
    <w:rsid w:val="00AE540C"/>
    <w:rsid w:val="00AE5D02"/>
    <w:rsid w:val="00AE61EF"/>
    <w:rsid w:val="00AE6D8D"/>
    <w:rsid w:val="00AE7BE6"/>
    <w:rsid w:val="00AF0537"/>
    <w:rsid w:val="00AF1719"/>
    <w:rsid w:val="00AF188A"/>
    <w:rsid w:val="00AF2156"/>
    <w:rsid w:val="00AF338A"/>
    <w:rsid w:val="00AF39D0"/>
    <w:rsid w:val="00AF3AA0"/>
    <w:rsid w:val="00AF4906"/>
    <w:rsid w:val="00AF49A0"/>
    <w:rsid w:val="00AF5BBB"/>
    <w:rsid w:val="00AF5BEC"/>
    <w:rsid w:val="00AF5C1B"/>
    <w:rsid w:val="00AF7091"/>
    <w:rsid w:val="00AF70C7"/>
    <w:rsid w:val="00AF7348"/>
    <w:rsid w:val="00AF789C"/>
    <w:rsid w:val="00B00DDA"/>
    <w:rsid w:val="00B0212B"/>
    <w:rsid w:val="00B02C4F"/>
    <w:rsid w:val="00B03E31"/>
    <w:rsid w:val="00B041F9"/>
    <w:rsid w:val="00B042DF"/>
    <w:rsid w:val="00B04834"/>
    <w:rsid w:val="00B04C29"/>
    <w:rsid w:val="00B05378"/>
    <w:rsid w:val="00B05413"/>
    <w:rsid w:val="00B05BC7"/>
    <w:rsid w:val="00B06635"/>
    <w:rsid w:val="00B07087"/>
    <w:rsid w:val="00B0743B"/>
    <w:rsid w:val="00B07471"/>
    <w:rsid w:val="00B076D8"/>
    <w:rsid w:val="00B100A5"/>
    <w:rsid w:val="00B11525"/>
    <w:rsid w:val="00B11C71"/>
    <w:rsid w:val="00B1219A"/>
    <w:rsid w:val="00B12C55"/>
    <w:rsid w:val="00B134E4"/>
    <w:rsid w:val="00B13507"/>
    <w:rsid w:val="00B14147"/>
    <w:rsid w:val="00B14829"/>
    <w:rsid w:val="00B152D1"/>
    <w:rsid w:val="00B15414"/>
    <w:rsid w:val="00B157A5"/>
    <w:rsid w:val="00B15B8C"/>
    <w:rsid w:val="00B16C84"/>
    <w:rsid w:val="00B16FED"/>
    <w:rsid w:val="00B176A9"/>
    <w:rsid w:val="00B2097B"/>
    <w:rsid w:val="00B2131B"/>
    <w:rsid w:val="00B21704"/>
    <w:rsid w:val="00B226EA"/>
    <w:rsid w:val="00B22B50"/>
    <w:rsid w:val="00B22BBE"/>
    <w:rsid w:val="00B24353"/>
    <w:rsid w:val="00B24374"/>
    <w:rsid w:val="00B24ED8"/>
    <w:rsid w:val="00B26505"/>
    <w:rsid w:val="00B26987"/>
    <w:rsid w:val="00B26B10"/>
    <w:rsid w:val="00B26CA0"/>
    <w:rsid w:val="00B278B6"/>
    <w:rsid w:val="00B27F6D"/>
    <w:rsid w:val="00B30016"/>
    <w:rsid w:val="00B30278"/>
    <w:rsid w:val="00B3087F"/>
    <w:rsid w:val="00B30D83"/>
    <w:rsid w:val="00B324F8"/>
    <w:rsid w:val="00B32999"/>
    <w:rsid w:val="00B32D1D"/>
    <w:rsid w:val="00B32D4F"/>
    <w:rsid w:val="00B32F4A"/>
    <w:rsid w:val="00B34B54"/>
    <w:rsid w:val="00B34FF4"/>
    <w:rsid w:val="00B36331"/>
    <w:rsid w:val="00B378A7"/>
    <w:rsid w:val="00B37F90"/>
    <w:rsid w:val="00B4024B"/>
    <w:rsid w:val="00B416E4"/>
    <w:rsid w:val="00B42A45"/>
    <w:rsid w:val="00B44875"/>
    <w:rsid w:val="00B44D7A"/>
    <w:rsid w:val="00B45788"/>
    <w:rsid w:val="00B4601F"/>
    <w:rsid w:val="00B47309"/>
    <w:rsid w:val="00B473AE"/>
    <w:rsid w:val="00B50856"/>
    <w:rsid w:val="00B50C88"/>
    <w:rsid w:val="00B5125C"/>
    <w:rsid w:val="00B518F6"/>
    <w:rsid w:val="00B52772"/>
    <w:rsid w:val="00B52AF4"/>
    <w:rsid w:val="00B53526"/>
    <w:rsid w:val="00B54BB8"/>
    <w:rsid w:val="00B5539F"/>
    <w:rsid w:val="00B5669B"/>
    <w:rsid w:val="00B576D9"/>
    <w:rsid w:val="00B57A38"/>
    <w:rsid w:val="00B57F03"/>
    <w:rsid w:val="00B605C7"/>
    <w:rsid w:val="00B60788"/>
    <w:rsid w:val="00B609ED"/>
    <w:rsid w:val="00B620A5"/>
    <w:rsid w:val="00B62C62"/>
    <w:rsid w:val="00B62DE5"/>
    <w:rsid w:val="00B63FBE"/>
    <w:rsid w:val="00B65403"/>
    <w:rsid w:val="00B65C82"/>
    <w:rsid w:val="00B66568"/>
    <w:rsid w:val="00B667C8"/>
    <w:rsid w:val="00B66F90"/>
    <w:rsid w:val="00B670D7"/>
    <w:rsid w:val="00B67800"/>
    <w:rsid w:val="00B67B01"/>
    <w:rsid w:val="00B7059E"/>
    <w:rsid w:val="00B708A8"/>
    <w:rsid w:val="00B70B0F"/>
    <w:rsid w:val="00B71DED"/>
    <w:rsid w:val="00B738EC"/>
    <w:rsid w:val="00B76A18"/>
    <w:rsid w:val="00B7793C"/>
    <w:rsid w:val="00B77968"/>
    <w:rsid w:val="00B77D99"/>
    <w:rsid w:val="00B808BA"/>
    <w:rsid w:val="00B81524"/>
    <w:rsid w:val="00B81D9B"/>
    <w:rsid w:val="00B821E4"/>
    <w:rsid w:val="00B83BA7"/>
    <w:rsid w:val="00B83D1B"/>
    <w:rsid w:val="00B840CC"/>
    <w:rsid w:val="00B84340"/>
    <w:rsid w:val="00B8467E"/>
    <w:rsid w:val="00B84A5A"/>
    <w:rsid w:val="00B85D46"/>
    <w:rsid w:val="00B9028F"/>
    <w:rsid w:val="00B90301"/>
    <w:rsid w:val="00B9169C"/>
    <w:rsid w:val="00B92AE4"/>
    <w:rsid w:val="00B92CBA"/>
    <w:rsid w:val="00B93208"/>
    <w:rsid w:val="00B93EDC"/>
    <w:rsid w:val="00B94625"/>
    <w:rsid w:val="00B9487B"/>
    <w:rsid w:val="00B952F0"/>
    <w:rsid w:val="00B95B4F"/>
    <w:rsid w:val="00B95BA2"/>
    <w:rsid w:val="00B95BF7"/>
    <w:rsid w:val="00B96D45"/>
    <w:rsid w:val="00B97958"/>
    <w:rsid w:val="00B97B72"/>
    <w:rsid w:val="00B97CCB"/>
    <w:rsid w:val="00BA0179"/>
    <w:rsid w:val="00BA0181"/>
    <w:rsid w:val="00BA0658"/>
    <w:rsid w:val="00BA1A4E"/>
    <w:rsid w:val="00BA1B28"/>
    <w:rsid w:val="00BA1B3E"/>
    <w:rsid w:val="00BA231A"/>
    <w:rsid w:val="00BA274E"/>
    <w:rsid w:val="00BA2C0D"/>
    <w:rsid w:val="00BA2F3D"/>
    <w:rsid w:val="00BA35C5"/>
    <w:rsid w:val="00BA516B"/>
    <w:rsid w:val="00BA572E"/>
    <w:rsid w:val="00BA58B8"/>
    <w:rsid w:val="00BA6E16"/>
    <w:rsid w:val="00BA6EEF"/>
    <w:rsid w:val="00BA7D09"/>
    <w:rsid w:val="00BA7FF0"/>
    <w:rsid w:val="00BB001A"/>
    <w:rsid w:val="00BB05CE"/>
    <w:rsid w:val="00BB1D12"/>
    <w:rsid w:val="00BB2380"/>
    <w:rsid w:val="00BB36ED"/>
    <w:rsid w:val="00BB4021"/>
    <w:rsid w:val="00BB413B"/>
    <w:rsid w:val="00BB4680"/>
    <w:rsid w:val="00BB4F26"/>
    <w:rsid w:val="00BB5A37"/>
    <w:rsid w:val="00BB639C"/>
    <w:rsid w:val="00BB7298"/>
    <w:rsid w:val="00BB7834"/>
    <w:rsid w:val="00BC08CA"/>
    <w:rsid w:val="00BC2439"/>
    <w:rsid w:val="00BC281E"/>
    <w:rsid w:val="00BC3676"/>
    <w:rsid w:val="00BC44DE"/>
    <w:rsid w:val="00BC4A90"/>
    <w:rsid w:val="00BC4EB8"/>
    <w:rsid w:val="00BC5198"/>
    <w:rsid w:val="00BC586B"/>
    <w:rsid w:val="00BC586E"/>
    <w:rsid w:val="00BC5D81"/>
    <w:rsid w:val="00BC6DDC"/>
    <w:rsid w:val="00BC6F8F"/>
    <w:rsid w:val="00BC70A0"/>
    <w:rsid w:val="00BC747F"/>
    <w:rsid w:val="00BD1337"/>
    <w:rsid w:val="00BD1548"/>
    <w:rsid w:val="00BD428A"/>
    <w:rsid w:val="00BD4A1A"/>
    <w:rsid w:val="00BD5446"/>
    <w:rsid w:val="00BD6476"/>
    <w:rsid w:val="00BD7730"/>
    <w:rsid w:val="00BD7865"/>
    <w:rsid w:val="00BD7F17"/>
    <w:rsid w:val="00BE0922"/>
    <w:rsid w:val="00BE0C61"/>
    <w:rsid w:val="00BE11B4"/>
    <w:rsid w:val="00BE17DE"/>
    <w:rsid w:val="00BE3C43"/>
    <w:rsid w:val="00BE434F"/>
    <w:rsid w:val="00BE5696"/>
    <w:rsid w:val="00BE5925"/>
    <w:rsid w:val="00BE5E36"/>
    <w:rsid w:val="00BE630A"/>
    <w:rsid w:val="00BE6550"/>
    <w:rsid w:val="00BE6754"/>
    <w:rsid w:val="00BE6794"/>
    <w:rsid w:val="00BE6D21"/>
    <w:rsid w:val="00BE7331"/>
    <w:rsid w:val="00BE78FB"/>
    <w:rsid w:val="00BE792B"/>
    <w:rsid w:val="00BE7A02"/>
    <w:rsid w:val="00BE7D49"/>
    <w:rsid w:val="00BF001B"/>
    <w:rsid w:val="00BF0477"/>
    <w:rsid w:val="00BF04F6"/>
    <w:rsid w:val="00BF2DF9"/>
    <w:rsid w:val="00BF2F8D"/>
    <w:rsid w:val="00BF3239"/>
    <w:rsid w:val="00BF362A"/>
    <w:rsid w:val="00BF3AA8"/>
    <w:rsid w:val="00BF3CB4"/>
    <w:rsid w:val="00BF530F"/>
    <w:rsid w:val="00BF58DC"/>
    <w:rsid w:val="00BF60B5"/>
    <w:rsid w:val="00BF7F5C"/>
    <w:rsid w:val="00C00214"/>
    <w:rsid w:val="00C008A7"/>
    <w:rsid w:val="00C02661"/>
    <w:rsid w:val="00C02DF6"/>
    <w:rsid w:val="00C02F4C"/>
    <w:rsid w:val="00C039D5"/>
    <w:rsid w:val="00C051D7"/>
    <w:rsid w:val="00C05791"/>
    <w:rsid w:val="00C0592A"/>
    <w:rsid w:val="00C0623A"/>
    <w:rsid w:val="00C076DD"/>
    <w:rsid w:val="00C07882"/>
    <w:rsid w:val="00C07B58"/>
    <w:rsid w:val="00C07DC1"/>
    <w:rsid w:val="00C07E39"/>
    <w:rsid w:val="00C07F38"/>
    <w:rsid w:val="00C10797"/>
    <w:rsid w:val="00C1093D"/>
    <w:rsid w:val="00C11F01"/>
    <w:rsid w:val="00C128BF"/>
    <w:rsid w:val="00C129EE"/>
    <w:rsid w:val="00C12A2E"/>
    <w:rsid w:val="00C12B64"/>
    <w:rsid w:val="00C130A4"/>
    <w:rsid w:val="00C13DB1"/>
    <w:rsid w:val="00C1453C"/>
    <w:rsid w:val="00C14CDC"/>
    <w:rsid w:val="00C16C59"/>
    <w:rsid w:val="00C177A8"/>
    <w:rsid w:val="00C202E0"/>
    <w:rsid w:val="00C20C39"/>
    <w:rsid w:val="00C215F8"/>
    <w:rsid w:val="00C21A97"/>
    <w:rsid w:val="00C23748"/>
    <w:rsid w:val="00C237E7"/>
    <w:rsid w:val="00C23E5D"/>
    <w:rsid w:val="00C2493D"/>
    <w:rsid w:val="00C2597A"/>
    <w:rsid w:val="00C25E55"/>
    <w:rsid w:val="00C26A58"/>
    <w:rsid w:val="00C26B5A"/>
    <w:rsid w:val="00C26D38"/>
    <w:rsid w:val="00C2703F"/>
    <w:rsid w:val="00C3015E"/>
    <w:rsid w:val="00C30396"/>
    <w:rsid w:val="00C307AE"/>
    <w:rsid w:val="00C30969"/>
    <w:rsid w:val="00C31F4F"/>
    <w:rsid w:val="00C32A57"/>
    <w:rsid w:val="00C330A9"/>
    <w:rsid w:val="00C33C6B"/>
    <w:rsid w:val="00C33D8D"/>
    <w:rsid w:val="00C34A90"/>
    <w:rsid w:val="00C350FC"/>
    <w:rsid w:val="00C359CD"/>
    <w:rsid w:val="00C3684A"/>
    <w:rsid w:val="00C36DE8"/>
    <w:rsid w:val="00C373B4"/>
    <w:rsid w:val="00C4070F"/>
    <w:rsid w:val="00C408E0"/>
    <w:rsid w:val="00C41027"/>
    <w:rsid w:val="00C41CB0"/>
    <w:rsid w:val="00C43007"/>
    <w:rsid w:val="00C43D1B"/>
    <w:rsid w:val="00C44729"/>
    <w:rsid w:val="00C461A7"/>
    <w:rsid w:val="00C46A6C"/>
    <w:rsid w:val="00C474F2"/>
    <w:rsid w:val="00C47BDC"/>
    <w:rsid w:val="00C50DCA"/>
    <w:rsid w:val="00C52F30"/>
    <w:rsid w:val="00C53526"/>
    <w:rsid w:val="00C5374B"/>
    <w:rsid w:val="00C5377C"/>
    <w:rsid w:val="00C53DC8"/>
    <w:rsid w:val="00C54DA9"/>
    <w:rsid w:val="00C55E1A"/>
    <w:rsid w:val="00C56593"/>
    <w:rsid w:val="00C56A49"/>
    <w:rsid w:val="00C570FB"/>
    <w:rsid w:val="00C572D9"/>
    <w:rsid w:val="00C57586"/>
    <w:rsid w:val="00C6040E"/>
    <w:rsid w:val="00C6103C"/>
    <w:rsid w:val="00C6152F"/>
    <w:rsid w:val="00C61E04"/>
    <w:rsid w:val="00C61ED3"/>
    <w:rsid w:val="00C624D4"/>
    <w:rsid w:val="00C639C4"/>
    <w:rsid w:val="00C63E7A"/>
    <w:rsid w:val="00C64B71"/>
    <w:rsid w:val="00C653BE"/>
    <w:rsid w:val="00C65D38"/>
    <w:rsid w:val="00C66A67"/>
    <w:rsid w:val="00C670A7"/>
    <w:rsid w:val="00C67519"/>
    <w:rsid w:val="00C679DF"/>
    <w:rsid w:val="00C71D99"/>
    <w:rsid w:val="00C72166"/>
    <w:rsid w:val="00C72701"/>
    <w:rsid w:val="00C728CC"/>
    <w:rsid w:val="00C72A6A"/>
    <w:rsid w:val="00C742DB"/>
    <w:rsid w:val="00C75B12"/>
    <w:rsid w:val="00C7635A"/>
    <w:rsid w:val="00C76533"/>
    <w:rsid w:val="00C76FBA"/>
    <w:rsid w:val="00C77B23"/>
    <w:rsid w:val="00C803A8"/>
    <w:rsid w:val="00C80A0D"/>
    <w:rsid w:val="00C80D22"/>
    <w:rsid w:val="00C81628"/>
    <w:rsid w:val="00C83706"/>
    <w:rsid w:val="00C839D1"/>
    <w:rsid w:val="00C84662"/>
    <w:rsid w:val="00C847B6"/>
    <w:rsid w:val="00C84AFA"/>
    <w:rsid w:val="00C85CEB"/>
    <w:rsid w:val="00C8616A"/>
    <w:rsid w:val="00C86A92"/>
    <w:rsid w:val="00C877EA"/>
    <w:rsid w:val="00C87A19"/>
    <w:rsid w:val="00C87F97"/>
    <w:rsid w:val="00C9045E"/>
    <w:rsid w:val="00C90AB5"/>
    <w:rsid w:val="00C91574"/>
    <w:rsid w:val="00C91840"/>
    <w:rsid w:val="00C919CA"/>
    <w:rsid w:val="00C91B28"/>
    <w:rsid w:val="00C91D58"/>
    <w:rsid w:val="00C925DE"/>
    <w:rsid w:val="00C92DF2"/>
    <w:rsid w:val="00C93A3C"/>
    <w:rsid w:val="00C950DE"/>
    <w:rsid w:val="00C95101"/>
    <w:rsid w:val="00C95961"/>
    <w:rsid w:val="00C9688E"/>
    <w:rsid w:val="00C96A5B"/>
    <w:rsid w:val="00C96AED"/>
    <w:rsid w:val="00C97582"/>
    <w:rsid w:val="00CA116C"/>
    <w:rsid w:val="00CA2B17"/>
    <w:rsid w:val="00CA3188"/>
    <w:rsid w:val="00CA3869"/>
    <w:rsid w:val="00CA3E0A"/>
    <w:rsid w:val="00CA419A"/>
    <w:rsid w:val="00CA4B36"/>
    <w:rsid w:val="00CA4C8A"/>
    <w:rsid w:val="00CA551F"/>
    <w:rsid w:val="00CA608C"/>
    <w:rsid w:val="00CA64D5"/>
    <w:rsid w:val="00CA6600"/>
    <w:rsid w:val="00CA6FAB"/>
    <w:rsid w:val="00CA71FF"/>
    <w:rsid w:val="00CA72C2"/>
    <w:rsid w:val="00CA7A11"/>
    <w:rsid w:val="00CB0AC9"/>
    <w:rsid w:val="00CB160A"/>
    <w:rsid w:val="00CB2A45"/>
    <w:rsid w:val="00CB378E"/>
    <w:rsid w:val="00CB52BA"/>
    <w:rsid w:val="00CB651E"/>
    <w:rsid w:val="00CB6F3E"/>
    <w:rsid w:val="00CB76FB"/>
    <w:rsid w:val="00CB7F40"/>
    <w:rsid w:val="00CC00C7"/>
    <w:rsid w:val="00CC07B3"/>
    <w:rsid w:val="00CC24D8"/>
    <w:rsid w:val="00CC2E07"/>
    <w:rsid w:val="00CC2F88"/>
    <w:rsid w:val="00CC3121"/>
    <w:rsid w:val="00CC3760"/>
    <w:rsid w:val="00CC386A"/>
    <w:rsid w:val="00CC3943"/>
    <w:rsid w:val="00CC3EEA"/>
    <w:rsid w:val="00CC48C9"/>
    <w:rsid w:val="00CC5233"/>
    <w:rsid w:val="00CC5336"/>
    <w:rsid w:val="00CC5B93"/>
    <w:rsid w:val="00CC6518"/>
    <w:rsid w:val="00CD171E"/>
    <w:rsid w:val="00CD1DF3"/>
    <w:rsid w:val="00CD514D"/>
    <w:rsid w:val="00CD5CF6"/>
    <w:rsid w:val="00CD601D"/>
    <w:rsid w:val="00CD6538"/>
    <w:rsid w:val="00CD669E"/>
    <w:rsid w:val="00CD6EBA"/>
    <w:rsid w:val="00CD7C12"/>
    <w:rsid w:val="00CD7D8E"/>
    <w:rsid w:val="00CD7F89"/>
    <w:rsid w:val="00CE0E08"/>
    <w:rsid w:val="00CE1216"/>
    <w:rsid w:val="00CE21BB"/>
    <w:rsid w:val="00CE255D"/>
    <w:rsid w:val="00CE3504"/>
    <w:rsid w:val="00CE3DDD"/>
    <w:rsid w:val="00CE4396"/>
    <w:rsid w:val="00CE547D"/>
    <w:rsid w:val="00CE59D5"/>
    <w:rsid w:val="00CE623F"/>
    <w:rsid w:val="00CE6382"/>
    <w:rsid w:val="00CE63A7"/>
    <w:rsid w:val="00CE6AEF"/>
    <w:rsid w:val="00CE6F49"/>
    <w:rsid w:val="00CE6F72"/>
    <w:rsid w:val="00CE6F8F"/>
    <w:rsid w:val="00CE730F"/>
    <w:rsid w:val="00CF063B"/>
    <w:rsid w:val="00CF1840"/>
    <w:rsid w:val="00CF2CDF"/>
    <w:rsid w:val="00CF398B"/>
    <w:rsid w:val="00CF4111"/>
    <w:rsid w:val="00CF42DD"/>
    <w:rsid w:val="00CF4423"/>
    <w:rsid w:val="00CF470E"/>
    <w:rsid w:val="00CF4CB8"/>
    <w:rsid w:val="00CF6223"/>
    <w:rsid w:val="00CF637B"/>
    <w:rsid w:val="00CF6780"/>
    <w:rsid w:val="00CF7B62"/>
    <w:rsid w:val="00D00C1A"/>
    <w:rsid w:val="00D01599"/>
    <w:rsid w:val="00D024ED"/>
    <w:rsid w:val="00D03DB5"/>
    <w:rsid w:val="00D04257"/>
    <w:rsid w:val="00D05773"/>
    <w:rsid w:val="00D06134"/>
    <w:rsid w:val="00D065D2"/>
    <w:rsid w:val="00D070A7"/>
    <w:rsid w:val="00D07A6F"/>
    <w:rsid w:val="00D07C6A"/>
    <w:rsid w:val="00D10FCF"/>
    <w:rsid w:val="00D11423"/>
    <w:rsid w:val="00D11D66"/>
    <w:rsid w:val="00D128F2"/>
    <w:rsid w:val="00D1293B"/>
    <w:rsid w:val="00D12D57"/>
    <w:rsid w:val="00D14371"/>
    <w:rsid w:val="00D143BE"/>
    <w:rsid w:val="00D148ED"/>
    <w:rsid w:val="00D153F7"/>
    <w:rsid w:val="00D1544B"/>
    <w:rsid w:val="00D165B8"/>
    <w:rsid w:val="00D17708"/>
    <w:rsid w:val="00D17779"/>
    <w:rsid w:val="00D2004E"/>
    <w:rsid w:val="00D20E56"/>
    <w:rsid w:val="00D21399"/>
    <w:rsid w:val="00D21503"/>
    <w:rsid w:val="00D21CB1"/>
    <w:rsid w:val="00D22317"/>
    <w:rsid w:val="00D22627"/>
    <w:rsid w:val="00D244F8"/>
    <w:rsid w:val="00D24B32"/>
    <w:rsid w:val="00D300FB"/>
    <w:rsid w:val="00D304F4"/>
    <w:rsid w:val="00D3059A"/>
    <w:rsid w:val="00D31A98"/>
    <w:rsid w:val="00D31EC4"/>
    <w:rsid w:val="00D32722"/>
    <w:rsid w:val="00D3308D"/>
    <w:rsid w:val="00D33224"/>
    <w:rsid w:val="00D33672"/>
    <w:rsid w:val="00D3460C"/>
    <w:rsid w:val="00D35776"/>
    <w:rsid w:val="00D35A8D"/>
    <w:rsid w:val="00D36EF9"/>
    <w:rsid w:val="00D37508"/>
    <w:rsid w:val="00D3782F"/>
    <w:rsid w:val="00D37FAC"/>
    <w:rsid w:val="00D405F0"/>
    <w:rsid w:val="00D40D4C"/>
    <w:rsid w:val="00D413CB"/>
    <w:rsid w:val="00D41F2B"/>
    <w:rsid w:val="00D424F5"/>
    <w:rsid w:val="00D428AA"/>
    <w:rsid w:val="00D43A4A"/>
    <w:rsid w:val="00D44C4D"/>
    <w:rsid w:val="00D45432"/>
    <w:rsid w:val="00D47017"/>
    <w:rsid w:val="00D52854"/>
    <w:rsid w:val="00D52DDF"/>
    <w:rsid w:val="00D54093"/>
    <w:rsid w:val="00D54D85"/>
    <w:rsid w:val="00D5505A"/>
    <w:rsid w:val="00D552FB"/>
    <w:rsid w:val="00D558D3"/>
    <w:rsid w:val="00D5599B"/>
    <w:rsid w:val="00D55B06"/>
    <w:rsid w:val="00D55E36"/>
    <w:rsid w:val="00D55EA1"/>
    <w:rsid w:val="00D572EF"/>
    <w:rsid w:val="00D577FA"/>
    <w:rsid w:val="00D60213"/>
    <w:rsid w:val="00D60F33"/>
    <w:rsid w:val="00D60F7F"/>
    <w:rsid w:val="00D622D6"/>
    <w:rsid w:val="00D63865"/>
    <w:rsid w:val="00D63A0F"/>
    <w:rsid w:val="00D63CB3"/>
    <w:rsid w:val="00D64CCE"/>
    <w:rsid w:val="00D659A4"/>
    <w:rsid w:val="00D659B7"/>
    <w:rsid w:val="00D661EA"/>
    <w:rsid w:val="00D66265"/>
    <w:rsid w:val="00D67A28"/>
    <w:rsid w:val="00D67AD1"/>
    <w:rsid w:val="00D70662"/>
    <w:rsid w:val="00D70FC0"/>
    <w:rsid w:val="00D7198A"/>
    <w:rsid w:val="00D7238D"/>
    <w:rsid w:val="00D72CDE"/>
    <w:rsid w:val="00D738A9"/>
    <w:rsid w:val="00D7428F"/>
    <w:rsid w:val="00D767A8"/>
    <w:rsid w:val="00D815EA"/>
    <w:rsid w:val="00D82135"/>
    <w:rsid w:val="00D82586"/>
    <w:rsid w:val="00D83147"/>
    <w:rsid w:val="00D832EF"/>
    <w:rsid w:val="00D83472"/>
    <w:rsid w:val="00D834A4"/>
    <w:rsid w:val="00D83D65"/>
    <w:rsid w:val="00D84854"/>
    <w:rsid w:val="00D85796"/>
    <w:rsid w:val="00D860A5"/>
    <w:rsid w:val="00D875AB"/>
    <w:rsid w:val="00D8771F"/>
    <w:rsid w:val="00D877F6"/>
    <w:rsid w:val="00D87D00"/>
    <w:rsid w:val="00D90156"/>
    <w:rsid w:val="00D90652"/>
    <w:rsid w:val="00D90677"/>
    <w:rsid w:val="00D90C1E"/>
    <w:rsid w:val="00D91173"/>
    <w:rsid w:val="00D91472"/>
    <w:rsid w:val="00D91A0F"/>
    <w:rsid w:val="00D91AF4"/>
    <w:rsid w:val="00D91C3D"/>
    <w:rsid w:val="00D91CF9"/>
    <w:rsid w:val="00D93592"/>
    <w:rsid w:val="00D9389B"/>
    <w:rsid w:val="00D93998"/>
    <w:rsid w:val="00D93FB3"/>
    <w:rsid w:val="00D95899"/>
    <w:rsid w:val="00D95C4F"/>
    <w:rsid w:val="00D96954"/>
    <w:rsid w:val="00DA053A"/>
    <w:rsid w:val="00DA1211"/>
    <w:rsid w:val="00DA1A41"/>
    <w:rsid w:val="00DA1D12"/>
    <w:rsid w:val="00DA33B5"/>
    <w:rsid w:val="00DA36F7"/>
    <w:rsid w:val="00DA3A94"/>
    <w:rsid w:val="00DA3AFE"/>
    <w:rsid w:val="00DA3DF8"/>
    <w:rsid w:val="00DA3EBC"/>
    <w:rsid w:val="00DA40FA"/>
    <w:rsid w:val="00DA4BD1"/>
    <w:rsid w:val="00DA5D77"/>
    <w:rsid w:val="00DA6214"/>
    <w:rsid w:val="00DA6ABB"/>
    <w:rsid w:val="00DA6C29"/>
    <w:rsid w:val="00DA774C"/>
    <w:rsid w:val="00DB0333"/>
    <w:rsid w:val="00DB0E3B"/>
    <w:rsid w:val="00DB139C"/>
    <w:rsid w:val="00DB2B34"/>
    <w:rsid w:val="00DB2DB4"/>
    <w:rsid w:val="00DB3257"/>
    <w:rsid w:val="00DB4341"/>
    <w:rsid w:val="00DB487A"/>
    <w:rsid w:val="00DB5653"/>
    <w:rsid w:val="00DB5A02"/>
    <w:rsid w:val="00DB5BD4"/>
    <w:rsid w:val="00DB6C48"/>
    <w:rsid w:val="00DB713E"/>
    <w:rsid w:val="00DB75D9"/>
    <w:rsid w:val="00DB773F"/>
    <w:rsid w:val="00DB7C10"/>
    <w:rsid w:val="00DB7DFE"/>
    <w:rsid w:val="00DC0356"/>
    <w:rsid w:val="00DC20F1"/>
    <w:rsid w:val="00DC3822"/>
    <w:rsid w:val="00DC4542"/>
    <w:rsid w:val="00DC49B9"/>
    <w:rsid w:val="00DC5CC2"/>
    <w:rsid w:val="00DC5D81"/>
    <w:rsid w:val="00DC5E45"/>
    <w:rsid w:val="00DC60F3"/>
    <w:rsid w:val="00DC68B4"/>
    <w:rsid w:val="00DC73F8"/>
    <w:rsid w:val="00DC78EF"/>
    <w:rsid w:val="00DD0394"/>
    <w:rsid w:val="00DD0BFF"/>
    <w:rsid w:val="00DD1138"/>
    <w:rsid w:val="00DD12C5"/>
    <w:rsid w:val="00DD2E5B"/>
    <w:rsid w:val="00DD335D"/>
    <w:rsid w:val="00DD4195"/>
    <w:rsid w:val="00DD482A"/>
    <w:rsid w:val="00DD49E7"/>
    <w:rsid w:val="00DD4A4E"/>
    <w:rsid w:val="00DD521A"/>
    <w:rsid w:val="00DD5C74"/>
    <w:rsid w:val="00DD601E"/>
    <w:rsid w:val="00DD7706"/>
    <w:rsid w:val="00DD7910"/>
    <w:rsid w:val="00DD7BC1"/>
    <w:rsid w:val="00DD7ECD"/>
    <w:rsid w:val="00DE01FD"/>
    <w:rsid w:val="00DE1FC4"/>
    <w:rsid w:val="00DE2711"/>
    <w:rsid w:val="00DE2EDC"/>
    <w:rsid w:val="00DE3159"/>
    <w:rsid w:val="00DE4EFF"/>
    <w:rsid w:val="00DE59E0"/>
    <w:rsid w:val="00DE60C6"/>
    <w:rsid w:val="00DE64B5"/>
    <w:rsid w:val="00DE689E"/>
    <w:rsid w:val="00DE6AC1"/>
    <w:rsid w:val="00DE7076"/>
    <w:rsid w:val="00DE76CC"/>
    <w:rsid w:val="00DF10FB"/>
    <w:rsid w:val="00DF14F7"/>
    <w:rsid w:val="00DF170C"/>
    <w:rsid w:val="00DF1BFC"/>
    <w:rsid w:val="00DF1D0D"/>
    <w:rsid w:val="00DF1FC9"/>
    <w:rsid w:val="00DF2D19"/>
    <w:rsid w:val="00DF31F1"/>
    <w:rsid w:val="00DF3B85"/>
    <w:rsid w:val="00DF419E"/>
    <w:rsid w:val="00DF5BEB"/>
    <w:rsid w:val="00DF6383"/>
    <w:rsid w:val="00DF7490"/>
    <w:rsid w:val="00DF7BCB"/>
    <w:rsid w:val="00E00156"/>
    <w:rsid w:val="00E00797"/>
    <w:rsid w:val="00E00A24"/>
    <w:rsid w:val="00E01823"/>
    <w:rsid w:val="00E01F54"/>
    <w:rsid w:val="00E029B6"/>
    <w:rsid w:val="00E0304A"/>
    <w:rsid w:val="00E0399B"/>
    <w:rsid w:val="00E03AE4"/>
    <w:rsid w:val="00E04B9F"/>
    <w:rsid w:val="00E04E76"/>
    <w:rsid w:val="00E05CE5"/>
    <w:rsid w:val="00E06126"/>
    <w:rsid w:val="00E06591"/>
    <w:rsid w:val="00E06CEE"/>
    <w:rsid w:val="00E06D1F"/>
    <w:rsid w:val="00E07C15"/>
    <w:rsid w:val="00E07DBB"/>
    <w:rsid w:val="00E1035E"/>
    <w:rsid w:val="00E12871"/>
    <w:rsid w:val="00E12978"/>
    <w:rsid w:val="00E13D8D"/>
    <w:rsid w:val="00E156AB"/>
    <w:rsid w:val="00E15F56"/>
    <w:rsid w:val="00E16905"/>
    <w:rsid w:val="00E16B3E"/>
    <w:rsid w:val="00E16F00"/>
    <w:rsid w:val="00E175E0"/>
    <w:rsid w:val="00E20444"/>
    <w:rsid w:val="00E20652"/>
    <w:rsid w:val="00E24076"/>
    <w:rsid w:val="00E24749"/>
    <w:rsid w:val="00E249F9"/>
    <w:rsid w:val="00E2558A"/>
    <w:rsid w:val="00E25943"/>
    <w:rsid w:val="00E25A73"/>
    <w:rsid w:val="00E25CB2"/>
    <w:rsid w:val="00E26641"/>
    <w:rsid w:val="00E26882"/>
    <w:rsid w:val="00E27436"/>
    <w:rsid w:val="00E275C8"/>
    <w:rsid w:val="00E31643"/>
    <w:rsid w:val="00E316BC"/>
    <w:rsid w:val="00E31929"/>
    <w:rsid w:val="00E31DB2"/>
    <w:rsid w:val="00E32005"/>
    <w:rsid w:val="00E320CA"/>
    <w:rsid w:val="00E32B66"/>
    <w:rsid w:val="00E33DA3"/>
    <w:rsid w:val="00E33FDA"/>
    <w:rsid w:val="00E34135"/>
    <w:rsid w:val="00E341AF"/>
    <w:rsid w:val="00E34247"/>
    <w:rsid w:val="00E34509"/>
    <w:rsid w:val="00E37DE7"/>
    <w:rsid w:val="00E40107"/>
    <w:rsid w:val="00E41108"/>
    <w:rsid w:val="00E413F5"/>
    <w:rsid w:val="00E419EE"/>
    <w:rsid w:val="00E420D4"/>
    <w:rsid w:val="00E448EC"/>
    <w:rsid w:val="00E44EC1"/>
    <w:rsid w:val="00E4563F"/>
    <w:rsid w:val="00E46572"/>
    <w:rsid w:val="00E46B31"/>
    <w:rsid w:val="00E47869"/>
    <w:rsid w:val="00E47E8B"/>
    <w:rsid w:val="00E51CDB"/>
    <w:rsid w:val="00E51E06"/>
    <w:rsid w:val="00E51FD6"/>
    <w:rsid w:val="00E52C76"/>
    <w:rsid w:val="00E53A5D"/>
    <w:rsid w:val="00E53FD0"/>
    <w:rsid w:val="00E54488"/>
    <w:rsid w:val="00E54A18"/>
    <w:rsid w:val="00E55355"/>
    <w:rsid w:val="00E56453"/>
    <w:rsid w:val="00E568EC"/>
    <w:rsid w:val="00E56F8B"/>
    <w:rsid w:val="00E57063"/>
    <w:rsid w:val="00E574BE"/>
    <w:rsid w:val="00E60410"/>
    <w:rsid w:val="00E6098C"/>
    <w:rsid w:val="00E60E3E"/>
    <w:rsid w:val="00E61E47"/>
    <w:rsid w:val="00E62257"/>
    <w:rsid w:val="00E628FA"/>
    <w:rsid w:val="00E62AE7"/>
    <w:rsid w:val="00E62FE7"/>
    <w:rsid w:val="00E6312F"/>
    <w:rsid w:val="00E6469F"/>
    <w:rsid w:val="00E64FF5"/>
    <w:rsid w:val="00E65032"/>
    <w:rsid w:val="00E651EB"/>
    <w:rsid w:val="00E6579E"/>
    <w:rsid w:val="00E65E32"/>
    <w:rsid w:val="00E6610F"/>
    <w:rsid w:val="00E66705"/>
    <w:rsid w:val="00E66FE8"/>
    <w:rsid w:val="00E6704D"/>
    <w:rsid w:val="00E67826"/>
    <w:rsid w:val="00E709DD"/>
    <w:rsid w:val="00E70BD0"/>
    <w:rsid w:val="00E70F14"/>
    <w:rsid w:val="00E72AE7"/>
    <w:rsid w:val="00E72E9A"/>
    <w:rsid w:val="00E73833"/>
    <w:rsid w:val="00E740C6"/>
    <w:rsid w:val="00E74B6D"/>
    <w:rsid w:val="00E74D4D"/>
    <w:rsid w:val="00E75FD2"/>
    <w:rsid w:val="00E76540"/>
    <w:rsid w:val="00E76EAE"/>
    <w:rsid w:val="00E77275"/>
    <w:rsid w:val="00E775BF"/>
    <w:rsid w:val="00E77794"/>
    <w:rsid w:val="00E82088"/>
    <w:rsid w:val="00E82F37"/>
    <w:rsid w:val="00E83395"/>
    <w:rsid w:val="00E83B62"/>
    <w:rsid w:val="00E85624"/>
    <w:rsid w:val="00E85EA4"/>
    <w:rsid w:val="00E86081"/>
    <w:rsid w:val="00E86184"/>
    <w:rsid w:val="00E865EE"/>
    <w:rsid w:val="00E86EC7"/>
    <w:rsid w:val="00E904F5"/>
    <w:rsid w:val="00E9105E"/>
    <w:rsid w:val="00E91273"/>
    <w:rsid w:val="00E917B1"/>
    <w:rsid w:val="00E922BE"/>
    <w:rsid w:val="00E92DB4"/>
    <w:rsid w:val="00E9337B"/>
    <w:rsid w:val="00E953C2"/>
    <w:rsid w:val="00E95D89"/>
    <w:rsid w:val="00E963E6"/>
    <w:rsid w:val="00E9677E"/>
    <w:rsid w:val="00E97A42"/>
    <w:rsid w:val="00EA005A"/>
    <w:rsid w:val="00EA0E1A"/>
    <w:rsid w:val="00EA1318"/>
    <w:rsid w:val="00EA15C4"/>
    <w:rsid w:val="00EA1D1B"/>
    <w:rsid w:val="00EA2317"/>
    <w:rsid w:val="00EA3A68"/>
    <w:rsid w:val="00EA5A4A"/>
    <w:rsid w:val="00EA6E53"/>
    <w:rsid w:val="00EA70DA"/>
    <w:rsid w:val="00EA7BD9"/>
    <w:rsid w:val="00EA7CB7"/>
    <w:rsid w:val="00EB0A24"/>
    <w:rsid w:val="00EB0EA9"/>
    <w:rsid w:val="00EB1423"/>
    <w:rsid w:val="00EB1B78"/>
    <w:rsid w:val="00EB1E05"/>
    <w:rsid w:val="00EB2441"/>
    <w:rsid w:val="00EB28FC"/>
    <w:rsid w:val="00EB33C1"/>
    <w:rsid w:val="00EB3614"/>
    <w:rsid w:val="00EB4EB7"/>
    <w:rsid w:val="00EB5255"/>
    <w:rsid w:val="00EB7A70"/>
    <w:rsid w:val="00EC02E9"/>
    <w:rsid w:val="00EC19F8"/>
    <w:rsid w:val="00EC3DAF"/>
    <w:rsid w:val="00EC45AC"/>
    <w:rsid w:val="00EC55CE"/>
    <w:rsid w:val="00EC5983"/>
    <w:rsid w:val="00EC60B6"/>
    <w:rsid w:val="00EC62D0"/>
    <w:rsid w:val="00EC66B3"/>
    <w:rsid w:val="00EC66E3"/>
    <w:rsid w:val="00EC6736"/>
    <w:rsid w:val="00EC6B97"/>
    <w:rsid w:val="00EC7E6F"/>
    <w:rsid w:val="00ED0FC7"/>
    <w:rsid w:val="00ED10BC"/>
    <w:rsid w:val="00ED15BB"/>
    <w:rsid w:val="00ED2FF6"/>
    <w:rsid w:val="00ED30DA"/>
    <w:rsid w:val="00ED3A47"/>
    <w:rsid w:val="00ED4F26"/>
    <w:rsid w:val="00ED59B9"/>
    <w:rsid w:val="00ED5ED7"/>
    <w:rsid w:val="00ED63AB"/>
    <w:rsid w:val="00ED6686"/>
    <w:rsid w:val="00ED67AC"/>
    <w:rsid w:val="00ED730F"/>
    <w:rsid w:val="00EE0420"/>
    <w:rsid w:val="00EE2576"/>
    <w:rsid w:val="00EE25D8"/>
    <w:rsid w:val="00EE2737"/>
    <w:rsid w:val="00EE319F"/>
    <w:rsid w:val="00EE37A6"/>
    <w:rsid w:val="00EE3AE8"/>
    <w:rsid w:val="00EE4173"/>
    <w:rsid w:val="00EE4466"/>
    <w:rsid w:val="00EE4B0D"/>
    <w:rsid w:val="00EE4D4D"/>
    <w:rsid w:val="00EE5BD4"/>
    <w:rsid w:val="00EE6432"/>
    <w:rsid w:val="00EE646E"/>
    <w:rsid w:val="00EE6758"/>
    <w:rsid w:val="00EE728D"/>
    <w:rsid w:val="00EF047F"/>
    <w:rsid w:val="00EF0EA2"/>
    <w:rsid w:val="00EF2728"/>
    <w:rsid w:val="00EF2E82"/>
    <w:rsid w:val="00EF358E"/>
    <w:rsid w:val="00EF461E"/>
    <w:rsid w:val="00EF49B8"/>
    <w:rsid w:val="00EF5057"/>
    <w:rsid w:val="00EF52D0"/>
    <w:rsid w:val="00EF5AC3"/>
    <w:rsid w:val="00EF5F53"/>
    <w:rsid w:val="00EF7033"/>
    <w:rsid w:val="00F014FB"/>
    <w:rsid w:val="00F02537"/>
    <w:rsid w:val="00F02876"/>
    <w:rsid w:val="00F04387"/>
    <w:rsid w:val="00F04504"/>
    <w:rsid w:val="00F04B39"/>
    <w:rsid w:val="00F067B9"/>
    <w:rsid w:val="00F07F59"/>
    <w:rsid w:val="00F108EF"/>
    <w:rsid w:val="00F10985"/>
    <w:rsid w:val="00F11E70"/>
    <w:rsid w:val="00F1246F"/>
    <w:rsid w:val="00F12DD7"/>
    <w:rsid w:val="00F130DB"/>
    <w:rsid w:val="00F13441"/>
    <w:rsid w:val="00F14658"/>
    <w:rsid w:val="00F14EB7"/>
    <w:rsid w:val="00F15809"/>
    <w:rsid w:val="00F15F20"/>
    <w:rsid w:val="00F167A8"/>
    <w:rsid w:val="00F17764"/>
    <w:rsid w:val="00F2037A"/>
    <w:rsid w:val="00F20658"/>
    <w:rsid w:val="00F21326"/>
    <w:rsid w:val="00F2263D"/>
    <w:rsid w:val="00F22B8C"/>
    <w:rsid w:val="00F2334D"/>
    <w:rsid w:val="00F23C79"/>
    <w:rsid w:val="00F2431A"/>
    <w:rsid w:val="00F24322"/>
    <w:rsid w:val="00F24D23"/>
    <w:rsid w:val="00F24EB2"/>
    <w:rsid w:val="00F253B1"/>
    <w:rsid w:val="00F253DB"/>
    <w:rsid w:val="00F255B3"/>
    <w:rsid w:val="00F25D15"/>
    <w:rsid w:val="00F26126"/>
    <w:rsid w:val="00F262EF"/>
    <w:rsid w:val="00F26367"/>
    <w:rsid w:val="00F27381"/>
    <w:rsid w:val="00F27CB8"/>
    <w:rsid w:val="00F301C9"/>
    <w:rsid w:val="00F31BAE"/>
    <w:rsid w:val="00F31F6A"/>
    <w:rsid w:val="00F34046"/>
    <w:rsid w:val="00F347C4"/>
    <w:rsid w:val="00F34EAF"/>
    <w:rsid w:val="00F35921"/>
    <w:rsid w:val="00F36506"/>
    <w:rsid w:val="00F379C8"/>
    <w:rsid w:val="00F37A72"/>
    <w:rsid w:val="00F37B2E"/>
    <w:rsid w:val="00F37F76"/>
    <w:rsid w:val="00F4051D"/>
    <w:rsid w:val="00F408C3"/>
    <w:rsid w:val="00F40A8B"/>
    <w:rsid w:val="00F411E2"/>
    <w:rsid w:val="00F4200B"/>
    <w:rsid w:val="00F42305"/>
    <w:rsid w:val="00F42C29"/>
    <w:rsid w:val="00F43B49"/>
    <w:rsid w:val="00F44BF5"/>
    <w:rsid w:val="00F45FDF"/>
    <w:rsid w:val="00F462F9"/>
    <w:rsid w:val="00F479A9"/>
    <w:rsid w:val="00F50767"/>
    <w:rsid w:val="00F5095D"/>
    <w:rsid w:val="00F50FA3"/>
    <w:rsid w:val="00F514EA"/>
    <w:rsid w:val="00F530B2"/>
    <w:rsid w:val="00F530F2"/>
    <w:rsid w:val="00F53932"/>
    <w:rsid w:val="00F53C07"/>
    <w:rsid w:val="00F53C27"/>
    <w:rsid w:val="00F53E2E"/>
    <w:rsid w:val="00F544B5"/>
    <w:rsid w:val="00F558D8"/>
    <w:rsid w:val="00F56494"/>
    <w:rsid w:val="00F566DF"/>
    <w:rsid w:val="00F56730"/>
    <w:rsid w:val="00F5743E"/>
    <w:rsid w:val="00F578A9"/>
    <w:rsid w:val="00F57D0A"/>
    <w:rsid w:val="00F60C33"/>
    <w:rsid w:val="00F614B7"/>
    <w:rsid w:val="00F614D0"/>
    <w:rsid w:val="00F6209D"/>
    <w:rsid w:val="00F62DB4"/>
    <w:rsid w:val="00F62EB3"/>
    <w:rsid w:val="00F62FAF"/>
    <w:rsid w:val="00F63B7D"/>
    <w:rsid w:val="00F64075"/>
    <w:rsid w:val="00F647DF"/>
    <w:rsid w:val="00F67ACA"/>
    <w:rsid w:val="00F70CDA"/>
    <w:rsid w:val="00F70D77"/>
    <w:rsid w:val="00F71109"/>
    <w:rsid w:val="00F7120E"/>
    <w:rsid w:val="00F718BD"/>
    <w:rsid w:val="00F71B7C"/>
    <w:rsid w:val="00F72E62"/>
    <w:rsid w:val="00F739E2"/>
    <w:rsid w:val="00F743ED"/>
    <w:rsid w:val="00F758C7"/>
    <w:rsid w:val="00F764C5"/>
    <w:rsid w:val="00F76542"/>
    <w:rsid w:val="00F76C54"/>
    <w:rsid w:val="00F80336"/>
    <w:rsid w:val="00F81746"/>
    <w:rsid w:val="00F82A59"/>
    <w:rsid w:val="00F82D73"/>
    <w:rsid w:val="00F82DDB"/>
    <w:rsid w:val="00F84132"/>
    <w:rsid w:val="00F85783"/>
    <w:rsid w:val="00F85A10"/>
    <w:rsid w:val="00F85BC6"/>
    <w:rsid w:val="00F871ED"/>
    <w:rsid w:val="00F872EA"/>
    <w:rsid w:val="00F873A5"/>
    <w:rsid w:val="00F87825"/>
    <w:rsid w:val="00F87E2E"/>
    <w:rsid w:val="00F903C4"/>
    <w:rsid w:val="00F90474"/>
    <w:rsid w:val="00F90DF4"/>
    <w:rsid w:val="00F90F0D"/>
    <w:rsid w:val="00F91D93"/>
    <w:rsid w:val="00F93DA7"/>
    <w:rsid w:val="00F9489F"/>
    <w:rsid w:val="00F94BC0"/>
    <w:rsid w:val="00F95808"/>
    <w:rsid w:val="00F95DC4"/>
    <w:rsid w:val="00F95F4A"/>
    <w:rsid w:val="00F96263"/>
    <w:rsid w:val="00F963A0"/>
    <w:rsid w:val="00F96965"/>
    <w:rsid w:val="00FA0CDA"/>
    <w:rsid w:val="00FA1034"/>
    <w:rsid w:val="00FA103E"/>
    <w:rsid w:val="00FA12C1"/>
    <w:rsid w:val="00FA2B28"/>
    <w:rsid w:val="00FA2E30"/>
    <w:rsid w:val="00FA3740"/>
    <w:rsid w:val="00FA4F7D"/>
    <w:rsid w:val="00FA6D0F"/>
    <w:rsid w:val="00FA7805"/>
    <w:rsid w:val="00FB09DA"/>
    <w:rsid w:val="00FB2D5A"/>
    <w:rsid w:val="00FB30C4"/>
    <w:rsid w:val="00FB4889"/>
    <w:rsid w:val="00FB6729"/>
    <w:rsid w:val="00FB6C4D"/>
    <w:rsid w:val="00FB7B20"/>
    <w:rsid w:val="00FC056F"/>
    <w:rsid w:val="00FC1127"/>
    <w:rsid w:val="00FC13C7"/>
    <w:rsid w:val="00FC1D12"/>
    <w:rsid w:val="00FC3705"/>
    <w:rsid w:val="00FC3B3A"/>
    <w:rsid w:val="00FC3C05"/>
    <w:rsid w:val="00FC3F36"/>
    <w:rsid w:val="00FC4431"/>
    <w:rsid w:val="00FC4A46"/>
    <w:rsid w:val="00FC4C37"/>
    <w:rsid w:val="00FC4ECC"/>
    <w:rsid w:val="00FC5EB9"/>
    <w:rsid w:val="00FC64DB"/>
    <w:rsid w:val="00FD0011"/>
    <w:rsid w:val="00FD009E"/>
    <w:rsid w:val="00FD156C"/>
    <w:rsid w:val="00FD1DA0"/>
    <w:rsid w:val="00FD2036"/>
    <w:rsid w:val="00FD205C"/>
    <w:rsid w:val="00FD205F"/>
    <w:rsid w:val="00FD2887"/>
    <w:rsid w:val="00FD301C"/>
    <w:rsid w:val="00FD3545"/>
    <w:rsid w:val="00FD3761"/>
    <w:rsid w:val="00FD4C4B"/>
    <w:rsid w:val="00FD684A"/>
    <w:rsid w:val="00FD695B"/>
    <w:rsid w:val="00FD6CC2"/>
    <w:rsid w:val="00FD762E"/>
    <w:rsid w:val="00FE0967"/>
    <w:rsid w:val="00FE10E8"/>
    <w:rsid w:val="00FE14D3"/>
    <w:rsid w:val="00FE29F3"/>
    <w:rsid w:val="00FE411D"/>
    <w:rsid w:val="00FE4726"/>
    <w:rsid w:val="00FE48C2"/>
    <w:rsid w:val="00FE5DA8"/>
    <w:rsid w:val="00FF0B6C"/>
    <w:rsid w:val="00FF1276"/>
    <w:rsid w:val="00FF1305"/>
    <w:rsid w:val="00FF2756"/>
    <w:rsid w:val="00FF3153"/>
    <w:rsid w:val="00FF43D5"/>
    <w:rsid w:val="00FF4578"/>
    <w:rsid w:val="00FF5307"/>
    <w:rsid w:val="00FF571A"/>
    <w:rsid w:val="00FF5ED7"/>
    <w:rsid w:val="00FF6560"/>
    <w:rsid w:val="00FF7865"/>
    <w:rsid w:val="00FF7BB1"/>
    <w:rsid w:val="703B43C6"/>
    <w:rsid w:val="FD834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unhideWhenUsed/>
    <w:qFormat/>
    <w:uiPriority w:val="39"/>
    <w:pPr>
      <w:ind w:left="1260"/>
      <w:jc w:val="left"/>
    </w:pPr>
    <w:rPr>
      <w:rFonts w:eastAsiaTheme="minorHAnsi"/>
      <w:sz w:val="20"/>
      <w:szCs w:val="20"/>
    </w:rPr>
  </w:style>
  <w:style w:type="paragraph" w:styleId="5">
    <w:name w:val="toc 5"/>
    <w:basedOn w:val="1"/>
    <w:next w:val="1"/>
    <w:semiHidden/>
    <w:unhideWhenUsed/>
    <w:qFormat/>
    <w:uiPriority w:val="39"/>
    <w:pPr>
      <w:ind w:left="840"/>
      <w:jc w:val="left"/>
    </w:pPr>
    <w:rPr>
      <w:rFonts w:eastAsiaTheme="minorHAnsi"/>
      <w:sz w:val="20"/>
      <w:szCs w:val="20"/>
    </w:rPr>
  </w:style>
  <w:style w:type="paragraph" w:styleId="6">
    <w:name w:val="toc 3"/>
    <w:basedOn w:val="1"/>
    <w:next w:val="1"/>
    <w:unhideWhenUsed/>
    <w:qFormat/>
    <w:uiPriority w:val="39"/>
    <w:pPr>
      <w:ind w:left="420"/>
      <w:jc w:val="left"/>
    </w:pPr>
    <w:rPr>
      <w:rFonts w:eastAsiaTheme="minorHAnsi"/>
      <w:sz w:val="20"/>
      <w:szCs w:val="20"/>
    </w:rPr>
  </w:style>
  <w:style w:type="paragraph" w:styleId="7">
    <w:name w:val="toc 8"/>
    <w:basedOn w:val="1"/>
    <w:next w:val="1"/>
    <w:semiHidden/>
    <w:unhideWhenUsed/>
    <w:qFormat/>
    <w:uiPriority w:val="39"/>
    <w:pPr>
      <w:ind w:left="1470"/>
      <w:jc w:val="left"/>
    </w:pPr>
    <w:rPr>
      <w:rFonts w:eastAsiaTheme="minorHAnsi"/>
      <w:sz w:val="20"/>
      <w:szCs w:val="20"/>
    </w:rPr>
  </w:style>
  <w:style w:type="paragraph" w:styleId="8">
    <w:name w:val="Date"/>
    <w:basedOn w:val="1"/>
    <w:next w:val="1"/>
    <w:link w:val="20"/>
    <w:semiHidden/>
    <w:unhideWhenUsed/>
    <w:qFormat/>
    <w:uiPriority w:val="99"/>
    <w:pPr>
      <w:ind w:left="100" w:leftChars="2500"/>
    </w:p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before="240" w:after="120"/>
      <w:jc w:val="left"/>
    </w:pPr>
    <w:rPr>
      <w:rFonts w:eastAsiaTheme="minorHAnsi"/>
      <w:b/>
      <w:bCs/>
      <w:sz w:val="20"/>
      <w:szCs w:val="20"/>
    </w:rPr>
  </w:style>
  <w:style w:type="paragraph" w:styleId="12">
    <w:name w:val="toc 4"/>
    <w:basedOn w:val="1"/>
    <w:next w:val="1"/>
    <w:semiHidden/>
    <w:unhideWhenUsed/>
    <w:qFormat/>
    <w:uiPriority w:val="39"/>
    <w:pPr>
      <w:ind w:left="630"/>
      <w:jc w:val="left"/>
    </w:pPr>
    <w:rPr>
      <w:rFonts w:eastAsiaTheme="minorHAnsi"/>
      <w:sz w:val="20"/>
      <w:szCs w:val="20"/>
    </w:rPr>
  </w:style>
  <w:style w:type="paragraph" w:styleId="13">
    <w:name w:val="toc 6"/>
    <w:basedOn w:val="1"/>
    <w:next w:val="1"/>
    <w:semiHidden/>
    <w:unhideWhenUsed/>
    <w:qFormat/>
    <w:uiPriority w:val="39"/>
    <w:pPr>
      <w:ind w:left="1050"/>
      <w:jc w:val="left"/>
    </w:pPr>
    <w:rPr>
      <w:rFonts w:eastAsiaTheme="minorHAnsi"/>
      <w:sz w:val="20"/>
      <w:szCs w:val="20"/>
    </w:rPr>
  </w:style>
  <w:style w:type="paragraph" w:styleId="14">
    <w:name w:val="toc 2"/>
    <w:basedOn w:val="1"/>
    <w:next w:val="1"/>
    <w:unhideWhenUsed/>
    <w:qFormat/>
    <w:uiPriority w:val="39"/>
    <w:pPr>
      <w:spacing w:before="120"/>
      <w:ind w:left="210"/>
      <w:jc w:val="left"/>
    </w:pPr>
    <w:rPr>
      <w:rFonts w:eastAsiaTheme="minorHAnsi"/>
      <w:i/>
      <w:iCs/>
      <w:sz w:val="20"/>
      <w:szCs w:val="20"/>
    </w:rPr>
  </w:style>
  <w:style w:type="paragraph" w:styleId="15">
    <w:name w:val="toc 9"/>
    <w:basedOn w:val="1"/>
    <w:next w:val="1"/>
    <w:semiHidden/>
    <w:unhideWhenUsed/>
    <w:qFormat/>
    <w:uiPriority w:val="39"/>
    <w:pPr>
      <w:ind w:left="1680"/>
      <w:jc w:val="left"/>
    </w:pPr>
    <w:rPr>
      <w:rFonts w:eastAsiaTheme="minorHAnsi"/>
      <w:sz w:val="20"/>
      <w:szCs w:val="20"/>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日期 字符"/>
    <w:basedOn w:val="18"/>
    <w:link w:val="8"/>
    <w:semiHidden/>
    <w:qFormat/>
    <w:uiPriority w:val="99"/>
  </w:style>
  <w:style w:type="character" w:customStyle="1" w:styleId="21">
    <w:name w:val="页眉 字符"/>
    <w:basedOn w:val="18"/>
    <w:link w:val="10"/>
    <w:qFormat/>
    <w:uiPriority w:val="99"/>
    <w:rPr>
      <w:sz w:val="18"/>
      <w:szCs w:val="18"/>
    </w:rPr>
  </w:style>
  <w:style w:type="character" w:customStyle="1" w:styleId="22">
    <w:name w:val="页脚 字符"/>
    <w:basedOn w:val="18"/>
    <w:link w:val="9"/>
    <w:qFormat/>
    <w:uiPriority w:val="99"/>
    <w:rPr>
      <w:sz w:val="18"/>
      <w:szCs w:val="18"/>
    </w:rPr>
  </w:style>
  <w:style w:type="paragraph" w:styleId="23">
    <w:name w:val="List Paragraph"/>
    <w:basedOn w:val="1"/>
    <w:qFormat/>
    <w:uiPriority w:val="34"/>
    <w:pPr>
      <w:ind w:firstLine="420" w:firstLineChars="200"/>
    </w:pPr>
  </w:style>
  <w:style w:type="table" w:customStyle="1" w:styleId="24">
    <w:name w:val="网格型1"/>
    <w:basedOn w:val="16"/>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2"/>
    <w:basedOn w:val="16"/>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网格型3"/>
    <w:basedOn w:val="16"/>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标题 1 字符"/>
    <w:basedOn w:val="18"/>
    <w:link w:val="2"/>
    <w:qFormat/>
    <w:uiPriority w:val="9"/>
    <w:rPr>
      <w:b/>
      <w:bCs/>
      <w:kern w:val="44"/>
      <w:sz w:val="44"/>
      <w:szCs w:val="44"/>
    </w:rPr>
  </w:style>
  <w:style w:type="paragraph" w:customStyle="1" w:styleId="2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29">
    <w:name w:val="标题 2 字符"/>
    <w:basedOn w:val="18"/>
    <w:link w:val="3"/>
    <w:qFormat/>
    <w:uiPriority w:val="9"/>
    <w:rPr>
      <w:rFonts w:asciiTheme="majorHAnsi" w:hAnsiTheme="majorHAnsi" w:eastAsiaTheme="majorEastAsia" w:cstheme="majorBidi"/>
      <w:b/>
      <w:bCs/>
      <w:sz w:val="32"/>
      <w:szCs w:val="32"/>
    </w:rPr>
  </w:style>
  <w:style w:type="table" w:customStyle="1" w:styleId="30">
    <w:name w:val="网格型4"/>
    <w:basedOn w:val="16"/>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5"/>
    <w:basedOn w:val="16"/>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6"/>
    <w:basedOn w:val="16"/>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7"/>
    <w:basedOn w:val="16"/>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8"/>
    <w:basedOn w:val="16"/>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2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7/relationships/diagramDrawing" Target="diagrams/drawing1.xml"/><Relationship Id="rId16" Type="http://schemas.openxmlformats.org/officeDocument/2006/relationships/diagramColors" Target="diagrams/colors1.xml"/><Relationship Id="rId15" Type="http://schemas.openxmlformats.org/officeDocument/2006/relationships/diagramQuickStyle" Target="diagrams/quickStyle1.xml"/><Relationship Id="rId14" Type="http://schemas.openxmlformats.org/officeDocument/2006/relationships/diagramLayout" Target="diagrams/layout1.xml"/><Relationship Id="rId13" Type="http://schemas.openxmlformats.org/officeDocument/2006/relationships/diagramData" Target="diagrams/data1.xml"/><Relationship Id="rId12" Type="http://schemas.openxmlformats.org/officeDocument/2006/relationships/chart" Target="charts/chart7.xml"/><Relationship Id="rId11" Type="http://schemas.openxmlformats.org/officeDocument/2006/relationships/image" Target="media/image2.png"/><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3.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2.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800" b="1" i="0" u="none" strike="noStrike" kern="1200" cap="all" spc="50" baseline="0">
                <a:solidFill>
                  <a:schemeClr val="lt1"/>
                </a:solidFill>
                <a:latin typeface="+mn-lt"/>
                <a:ea typeface="+mn-ea"/>
                <a:cs typeface="+mn-cs"/>
              </a:defRPr>
            </a:pPr>
            <a:r>
              <a:rPr lang="zh-CN"/>
              <a:t>表</a:t>
            </a:r>
            <a:r>
              <a:rPr lang="en-US"/>
              <a:t>1 23</a:t>
            </a:r>
            <a:r>
              <a:rPr lang="zh-CN"/>
              <a:t>个成员单位发文情况汇总表（</a:t>
            </a:r>
            <a:r>
              <a:rPr lang="en-US"/>
              <a:t>2023.5.1-2024.4.</a:t>
            </a:r>
            <a:r>
              <a:rPr lang="en-US" altLang="zh-CN"/>
              <a:t>30</a:t>
            </a:r>
            <a:r>
              <a:rPr lang="zh-CN"/>
              <a:t>）</a:t>
            </a:r>
            <a:endParaRPr 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涉及市场主体经济活动的文件量</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lstStyle/>
              <a:p>
                <a:pPr>
                  <a:defRPr lang="zh-CN" sz="1100" b="1" i="0" u="none" strike="noStrike" kern="1200" baseline="0">
                    <a:solidFill>
                      <a:schemeClr val="lt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Sheet1!$A$2:$A$13</c:f>
              <c:strCache>
                <c:ptCount val="12"/>
                <c:pt idx="0">
                  <c:v>住房和城乡建设局</c:v>
                </c:pt>
                <c:pt idx="1">
                  <c:v>生态环境分局</c:v>
                </c:pt>
                <c:pt idx="2">
                  <c:v>自然资源和规划局</c:v>
                </c:pt>
                <c:pt idx="3">
                  <c:v>财政局</c:v>
                </c:pt>
                <c:pt idx="4">
                  <c:v>司法局</c:v>
                </c:pt>
                <c:pt idx="5">
                  <c:v>民政局</c:v>
                </c:pt>
                <c:pt idx="6">
                  <c:v>科经局</c:v>
                </c:pt>
                <c:pt idx="7">
                  <c:v>教育局</c:v>
                </c:pt>
                <c:pt idx="8">
                  <c:v>烟草专卖局</c:v>
                </c:pt>
                <c:pt idx="9">
                  <c:v>公共资源交易中心</c:v>
                </c:pt>
                <c:pt idx="10">
                  <c:v>产业发展中心</c:v>
                </c:pt>
                <c:pt idx="11">
                  <c:v>发改局</c:v>
                </c:pt>
              </c:strCache>
            </c:strRef>
          </c:cat>
          <c:val>
            <c:numRef>
              <c:f>Sheet1!$B$2:$B$13</c:f>
              <c:numCache>
                <c:formatCode>General</c:formatCode>
                <c:ptCount val="12"/>
                <c:pt idx="0">
                  <c:v>1</c:v>
                </c:pt>
                <c:pt idx="1">
                  <c:v>0</c:v>
                </c:pt>
                <c:pt idx="2">
                  <c:v>1</c:v>
                </c:pt>
                <c:pt idx="3">
                  <c:v>5</c:v>
                </c:pt>
                <c:pt idx="4">
                  <c:v>0</c:v>
                </c:pt>
                <c:pt idx="5">
                  <c:v>4</c:v>
                </c:pt>
                <c:pt idx="6">
                  <c:v>3</c:v>
                </c:pt>
                <c:pt idx="7">
                  <c:v>0</c:v>
                </c:pt>
                <c:pt idx="8">
                  <c:v>2</c:v>
                </c:pt>
                <c:pt idx="9">
                  <c:v>0</c:v>
                </c:pt>
                <c:pt idx="10">
                  <c:v>0</c:v>
                </c:pt>
                <c:pt idx="11">
                  <c:v>2</c:v>
                </c:pt>
              </c:numCache>
            </c:numRef>
          </c:val>
        </c:ser>
        <c:ser>
          <c:idx val="1"/>
          <c:order val="1"/>
          <c:tx>
            <c:strRef>
              <c:f>Sheet1!$C$1</c:f>
              <c:strCache>
                <c:ptCount val="1"/>
                <c:pt idx="0">
                  <c:v>发文总量</c:v>
                </c:pt>
              </c:strCache>
            </c:strRef>
          </c:tx>
          <c:spPr>
            <a:gradFill>
              <a:gsLst>
                <a:gs pos="100000">
                  <a:schemeClr val="accent4">
                    <a:alpha val="0"/>
                  </a:schemeClr>
                </a:gs>
                <a:gs pos="50000">
                  <a:schemeClr val="accent4"/>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lstStyle/>
              <a:p>
                <a:pPr>
                  <a:defRPr lang="zh-CN" sz="1100" b="1" i="0" u="none" strike="noStrike" kern="1200" baseline="0">
                    <a:solidFill>
                      <a:schemeClr val="lt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Sheet1!$A$2:$A$13</c:f>
              <c:strCache>
                <c:ptCount val="12"/>
                <c:pt idx="0">
                  <c:v>住房和城乡建设局</c:v>
                </c:pt>
                <c:pt idx="1">
                  <c:v>生态环境分局</c:v>
                </c:pt>
                <c:pt idx="2">
                  <c:v>自然资源和规划局</c:v>
                </c:pt>
                <c:pt idx="3">
                  <c:v>财政局</c:v>
                </c:pt>
                <c:pt idx="4">
                  <c:v>司法局</c:v>
                </c:pt>
                <c:pt idx="5">
                  <c:v>民政局</c:v>
                </c:pt>
                <c:pt idx="6">
                  <c:v>科经局</c:v>
                </c:pt>
                <c:pt idx="7">
                  <c:v>教育局</c:v>
                </c:pt>
                <c:pt idx="8">
                  <c:v>烟草专卖局</c:v>
                </c:pt>
                <c:pt idx="9">
                  <c:v>公共资源交易中心</c:v>
                </c:pt>
                <c:pt idx="10">
                  <c:v>产业发展中心</c:v>
                </c:pt>
                <c:pt idx="11">
                  <c:v>发改局</c:v>
                </c:pt>
              </c:strCache>
            </c:strRef>
          </c:cat>
          <c:val>
            <c:numRef>
              <c:f>Sheet1!$C$2:$C$13</c:f>
              <c:numCache>
                <c:formatCode>General</c:formatCode>
                <c:ptCount val="12"/>
                <c:pt idx="0">
                  <c:v>5</c:v>
                </c:pt>
                <c:pt idx="1">
                  <c:v>7</c:v>
                </c:pt>
                <c:pt idx="2">
                  <c:v>3</c:v>
                </c:pt>
                <c:pt idx="3">
                  <c:v>135</c:v>
                </c:pt>
                <c:pt idx="4">
                  <c:v>0</c:v>
                </c:pt>
                <c:pt idx="5">
                  <c:v>150</c:v>
                </c:pt>
                <c:pt idx="6">
                  <c:v>31</c:v>
                </c:pt>
                <c:pt idx="7">
                  <c:v>39</c:v>
                </c:pt>
                <c:pt idx="8">
                  <c:v>15</c:v>
                </c:pt>
                <c:pt idx="9">
                  <c:v>0</c:v>
                </c:pt>
                <c:pt idx="10">
                  <c:v>10</c:v>
                </c:pt>
                <c:pt idx="11">
                  <c:v>46</c:v>
                </c:pt>
              </c:numCache>
            </c:numRef>
          </c:val>
        </c:ser>
        <c:dLbls>
          <c:showLegendKey val="0"/>
          <c:showVal val="1"/>
          <c:showCatName val="0"/>
          <c:showSerName val="0"/>
          <c:showPercent val="0"/>
          <c:showBubbleSize val="0"/>
        </c:dLbls>
        <c:gapWidth val="150"/>
        <c:axId val="212567568"/>
        <c:axId val="212572144"/>
      </c:barChart>
      <c:catAx>
        <c:axId val="2125675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200" b="1" i="0" u="none" strike="noStrike" kern="1200" baseline="0">
                <a:solidFill>
                  <a:schemeClr val="bg1"/>
                </a:solidFill>
                <a:latin typeface="+mn-lt"/>
                <a:ea typeface="+mn-ea"/>
                <a:cs typeface="+mn-cs"/>
              </a:defRPr>
            </a:pPr>
          </a:p>
        </c:txPr>
        <c:crossAx val="212572144"/>
        <c:crosses val="autoZero"/>
        <c:auto val="1"/>
        <c:lblAlgn val="ctr"/>
        <c:lblOffset val="100"/>
        <c:noMultiLvlLbl val="0"/>
      </c:catAx>
      <c:valAx>
        <c:axId val="21257214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lt1"/>
                </a:solidFill>
                <a:latin typeface="+mn-lt"/>
                <a:ea typeface="+mn-ea"/>
                <a:cs typeface="+mn-cs"/>
              </a:defRPr>
            </a:pPr>
          </a:p>
        </c:txPr>
        <c:crossAx val="212567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200" b="1" i="0" u="none" strike="noStrike" kern="1200" baseline="0">
              <a:solidFill>
                <a:schemeClr val="lt1"/>
              </a:solidFill>
              <a:latin typeface="+mn-lt"/>
              <a:ea typeface="+mn-ea"/>
              <a:cs typeface="+mn-cs"/>
            </a:defRPr>
          </a:pPr>
        </a:p>
      </c:txPr>
    </c:legend>
    <c:plotVisOnly val="1"/>
    <c:dispBlanksAs val="gap"/>
    <c:showDLblsOverMax val="0"/>
  </c:chart>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c:spPr>
  <c:txPr>
    <a:bodyPr/>
    <a:lstStyle/>
    <a:p>
      <a:pPr>
        <a:defRPr lang="zh-CN">
          <a:solidFill>
            <a:schemeClr val="lt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800" b="1" i="0" u="none" strike="noStrike" kern="1200" baseline="0">
                <a:solidFill>
                  <a:schemeClr val="lt1"/>
                </a:solidFill>
                <a:latin typeface="+mn-lt"/>
                <a:ea typeface="+mn-ea"/>
                <a:cs typeface="+mn-cs"/>
              </a:defRPr>
            </a:pPr>
            <a:r>
              <a:rPr lang="zh-CN"/>
              <a:t>表</a:t>
            </a:r>
            <a:r>
              <a:rPr lang="en-US"/>
              <a:t>2 23</a:t>
            </a:r>
            <a:r>
              <a:rPr lang="zh-CN"/>
              <a:t>个成员单位发文情况汇总表（</a:t>
            </a:r>
            <a:r>
              <a:rPr lang="en-US"/>
              <a:t>2023.</a:t>
            </a:r>
            <a:r>
              <a:rPr lang="en-US" altLang="zh-CN"/>
              <a:t>5</a:t>
            </a:r>
            <a:r>
              <a:rPr lang="en-US"/>
              <a:t>.1-202</a:t>
            </a:r>
            <a:r>
              <a:rPr lang="en-US" altLang="zh-CN"/>
              <a:t>4</a:t>
            </a:r>
            <a:r>
              <a:rPr lang="en-US"/>
              <a:t>.</a:t>
            </a:r>
            <a:r>
              <a:rPr lang="en-US" altLang="zh-CN"/>
              <a:t>4</a:t>
            </a:r>
            <a:r>
              <a:rPr lang="en-US"/>
              <a:t>.</a:t>
            </a:r>
            <a:r>
              <a:rPr lang="en-US" altLang="zh-CN"/>
              <a:t>30</a:t>
            </a:r>
            <a:r>
              <a:rPr lang="zh-CN"/>
              <a:t>）</a:t>
            </a:r>
            <a:endParaRPr lang="zh-CN"/>
          </a:p>
        </c:rich>
      </c:tx>
      <c:layout/>
      <c:overlay val="0"/>
      <c:spPr>
        <a:noFill/>
        <a:ln>
          <a:noFill/>
        </a:ln>
        <a:effectLst/>
      </c:spPr>
    </c:title>
    <c:autoTitleDeleted val="0"/>
    <c:plotArea>
      <c:layout>
        <c:manualLayout>
          <c:layoutTarget val="inner"/>
          <c:xMode val="edge"/>
          <c:yMode val="edge"/>
          <c:x val="0.0659618152569638"/>
          <c:y val="0.202861356932153"/>
          <c:w val="0.814104355131787"/>
          <c:h val="0.439466471558312"/>
        </c:manualLayout>
      </c:layout>
      <c:barChart>
        <c:barDir val="col"/>
        <c:grouping val="clustered"/>
        <c:varyColors val="0"/>
        <c:ser>
          <c:idx val="0"/>
          <c:order val="0"/>
          <c:tx>
            <c:strRef>
              <c:f>Sheet1!$B$1</c:f>
              <c:strCache>
                <c:ptCount val="1"/>
                <c:pt idx="0">
                  <c:v>涉及市场主体经济活动的文件量</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lstStyle/>
              <a:p>
                <a:pPr>
                  <a:defRPr lang="zh-CN" sz="1100" b="1" i="0" u="none" strike="noStrike" kern="1200" baseline="0">
                    <a:solidFill>
                      <a:schemeClr val="lt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Sheet1!$A$2:$A$12</c:f>
              <c:strCache>
                <c:ptCount val="11"/>
                <c:pt idx="0">
                  <c:v>医保局</c:v>
                </c:pt>
                <c:pt idx="1">
                  <c:v>国税局</c:v>
                </c:pt>
                <c:pt idx="2">
                  <c:v>市场监督管理局</c:v>
                </c:pt>
                <c:pt idx="3">
                  <c:v>应急管理局</c:v>
                </c:pt>
                <c:pt idx="4">
                  <c:v>卫健局</c:v>
                </c:pt>
                <c:pt idx="5">
                  <c:v>文化和旅游局</c:v>
                </c:pt>
                <c:pt idx="6">
                  <c:v>农业农村局</c:v>
                </c:pt>
                <c:pt idx="7">
                  <c:v>水利和湖泊局</c:v>
                </c:pt>
                <c:pt idx="8">
                  <c:v>招商服务中心</c:v>
                </c:pt>
                <c:pt idx="9">
                  <c:v>政数局</c:v>
                </c:pt>
                <c:pt idx="10">
                  <c:v>交通局</c:v>
                </c:pt>
              </c:strCache>
            </c:strRef>
          </c:cat>
          <c:val>
            <c:numRef>
              <c:f>Sheet1!$B$2:$B$12</c:f>
              <c:numCache>
                <c:formatCode>General</c:formatCode>
                <c:ptCount val="11"/>
                <c:pt idx="0">
                  <c:v>0</c:v>
                </c:pt>
                <c:pt idx="1">
                  <c:v>1</c:v>
                </c:pt>
                <c:pt idx="2">
                  <c:v>4</c:v>
                </c:pt>
                <c:pt idx="3">
                  <c:v>4</c:v>
                </c:pt>
                <c:pt idx="4">
                  <c:v>1</c:v>
                </c:pt>
                <c:pt idx="5">
                  <c:v>1</c:v>
                </c:pt>
                <c:pt idx="6">
                  <c:v>3</c:v>
                </c:pt>
                <c:pt idx="7">
                  <c:v>0</c:v>
                </c:pt>
                <c:pt idx="8">
                  <c:v>4</c:v>
                </c:pt>
                <c:pt idx="9">
                  <c:v>2</c:v>
                </c:pt>
                <c:pt idx="10">
                  <c:v>2</c:v>
                </c:pt>
              </c:numCache>
            </c:numRef>
          </c:val>
        </c:ser>
        <c:ser>
          <c:idx val="1"/>
          <c:order val="1"/>
          <c:tx>
            <c:strRef>
              <c:f>Sheet1!$C$1</c:f>
              <c:strCache>
                <c:ptCount val="1"/>
                <c:pt idx="0">
                  <c:v>发文总量</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lstStyle/>
              <a:p>
                <a:pPr>
                  <a:defRPr lang="zh-CN" sz="1100" b="1" i="0" u="none" strike="noStrike" kern="1200" baseline="0">
                    <a:solidFill>
                      <a:schemeClr val="lt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Sheet1!$A$2:$A$12</c:f>
              <c:strCache>
                <c:ptCount val="11"/>
                <c:pt idx="0">
                  <c:v>医保局</c:v>
                </c:pt>
                <c:pt idx="1">
                  <c:v>国税局</c:v>
                </c:pt>
                <c:pt idx="2">
                  <c:v>市场监督管理局</c:v>
                </c:pt>
                <c:pt idx="3">
                  <c:v>应急管理局</c:v>
                </c:pt>
                <c:pt idx="4">
                  <c:v>卫健局</c:v>
                </c:pt>
                <c:pt idx="5">
                  <c:v>文化和旅游局</c:v>
                </c:pt>
                <c:pt idx="6">
                  <c:v>农业农村局</c:v>
                </c:pt>
                <c:pt idx="7">
                  <c:v>水利和湖泊局</c:v>
                </c:pt>
                <c:pt idx="8">
                  <c:v>招商服务中心</c:v>
                </c:pt>
                <c:pt idx="9">
                  <c:v>政数局</c:v>
                </c:pt>
                <c:pt idx="10">
                  <c:v>交通局</c:v>
                </c:pt>
              </c:strCache>
            </c:strRef>
          </c:cat>
          <c:val>
            <c:numRef>
              <c:f>Sheet1!$C$2:$C$12</c:f>
              <c:numCache>
                <c:formatCode>General</c:formatCode>
                <c:ptCount val="11"/>
                <c:pt idx="0">
                  <c:v>9</c:v>
                </c:pt>
                <c:pt idx="1">
                  <c:v>30</c:v>
                </c:pt>
                <c:pt idx="2">
                  <c:v>60</c:v>
                </c:pt>
                <c:pt idx="3">
                  <c:v>118</c:v>
                </c:pt>
                <c:pt idx="4">
                  <c:v>22</c:v>
                </c:pt>
                <c:pt idx="5">
                  <c:v>120</c:v>
                </c:pt>
                <c:pt idx="6">
                  <c:v>83</c:v>
                </c:pt>
                <c:pt idx="7">
                  <c:v>79</c:v>
                </c:pt>
                <c:pt idx="8">
                  <c:v>4</c:v>
                </c:pt>
                <c:pt idx="9">
                  <c:v>8</c:v>
                </c:pt>
                <c:pt idx="10">
                  <c:v>127</c:v>
                </c:pt>
              </c:numCache>
            </c:numRef>
          </c:val>
        </c:ser>
        <c:dLbls>
          <c:showLegendKey val="0"/>
          <c:showVal val="1"/>
          <c:showCatName val="0"/>
          <c:showSerName val="0"/>
          <c:showPercent val="0"/>
          <c:showBubbleSize val="0"/>
        </c:dLbls>
        <c:gapWidth val="65"/>
        <c:axId val="212567568"/>
        <c:axId val="212572144"/>
      </c:barChart>
      <c:catAx>
        <c:axId val="2125675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zh-CN" sz="1200" b="1" i="0" u="none" strike="noStrike" kern="1200" cap="all" baseline="0">
                <a:solidFill>
                  <a:schemeClr val="lt1"/>
                </a:solidFill>
                <a:latin typeface="+mn-lt"/>
                <a:ea typeface="+mn-ea"/>
                <a:cs typeface="+mn-cs"/>
              </a:defRPr>
            </a:pPr>
          </a:p>
        </c:txPr>
        <c:crossAx val="212572144"/>
        <c:crosses val="autoZero"/>
        <c:auto val="1"/>
        <c:lblAlgn val="ctr"/>
        <c:lblOffset val="100"/>
        <c:noMultiLvlLbl val="0"/>
      </c:catAx>
      <c:valAx>
        <c:axId val="21257214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lt1"/>
                </a:solidFill>
                <a:latin typeface="+mn-lt"/>
                <a:ea typeface="+mn-ea"/>
                <a:cs typeface="+mn-cs"/>
              </a:defRPr>
            </a:pPr>
          </a:p>
        </c:txPr>
        <c:crossAx val="212567568"/>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lang="zh-CN" sz="1200" b="1" i="0" u="none" strike="noStrike" kern="1200" baseline="0">
              <a:solidFill>
                <a:schemeClr val="lt1"/>
              </a:solidFill>
              <a:latin typeface="+mn-lt"/>
              <a:ea typeface="+mn-ea"/>
              <a:cs typeface="+mn-cs"/>
            </a:defRPr>
          </a:pPr>
        </a:p>
      </c:txPr>
    </c:legend>
    <c:plotVisOnly val="1"/>
    <c:dispBlanksAs val="gap"/>
    <c:showDLblsOverMax val="0"/>
  </c:chart>
  <c:spPr>
    <a:solidFill>
      <a:schemeClr val="accent1"/>
    </a:solidFill>
    <a:ln w="19050" cap="flat" cmpd="sng" algn="ctr">
      <a:solidFill>
        <a:schemeClr val="lt1"/>
      </a:solidFill>
      <a:prstDash val="solid"/>
      <a:miter lim="800000"/>
    </a:ln>
    <a:effectLst/>
  </c:spPr>
  <c:txPr>
    <a:bodyPr/>
    <a:lstStyle/>
    <a:p>
      <a:pPr>
        <a:defRPr lang="zh-CN">
          <a:solidFill>
            <a:schemeClr val="lt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800" b="1" i="0" u="none" strike="noStrike" kern="1200" cap="all" spc="50" baseline="0">
                <a:solidFill>
                  <a:schemeClr val="lt1"/>
                </a:solidFill>
                <a:latin typeface="+mn-lt"/>
                <a:ea typeface="+mn-ea"/>
                <a:cs typeface="+mn-cs"/>
              </a:defRPr>
            </a:pPr>
            <a:r>
              <a:rPr lang="zh-CN"/>
              <a:t>表</a:t>
            </a:r>
            <a:r>
              <a:rPr lang="en-US" altLang="zh-CN"/>
              <a:t>3</a:t>
            </a:r>
            <a:r>
              <a:rPr lang="en-US"/>
              <a:t> </a:t>
            </a:r>
            <a:r>
              <a:rPr lang="zh-CN" altLang="en-US"/>
              <a:t>各成员单位三次评估发文总量对比表</a:t>
            </a:r>
            <a:endParaRPr lang="zh-CN"/>
          </a:p>
        </c:rich>
      </c:tx>
      <c:layout/>
      <c:overlay val="0"/>
      <c:spPr>
        <a:noFill/>
        <a:ln>
          <a:noFill/>
        </a:ln>
        <a:effectLst/>
      </c:spPr>
    </c:title>
    <c:autoTitleDeleted val="0"/>
    <c:plotArea>
      <c:layout/>
      <c:barChart>
        <c:barDir val="bar"/>
        <c:grouping val="stacked"/>
        <c:varyColors val="0"/>
        <c:ser>
          <c:idx val="0"/>
          <c:order val="0"/>
          <c:tx>
            <c:strRef>
              <c:f>Sheet1!$B$1</c:f>
              <c:strCache>
                <c:ptCount val="1"/>
                <c:pt idx="0">
                  <c:v>2022评估</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1"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Sheet1!$A$2:$A$13</c:f>
              <c:strCache>
                <c:ptCount val="12"/>
                <c:pt idx="0">
                  <c:v>住房和城乡建设局</c:v>
                </c:pt>
                <c:pt idx="1">
                  <c:v>生态环境分局</c:v>
                </c:pt>
                <c:pt idx="2">
                  <c:v>自然资源和规划局</c:v>
                </c:pt>
                <c:pt idx="3">
                  <c:v>财政局</c:v>
                </c:pt>
                <c:pt idx="4">
                  <c:v>司法局</c:v>
                </c:pt>
                <c:pt idx="5">
                  <c:v>民政局</c:v>
                </c:pt>
                <c:pt idx="6">
                  <c:v>科经局</c:v>
                </c:pt>
                <c:pt idx="7">
                  <c:v>教育局</c:v>
                </c:pt>
                <c:pt idx="8">
                  <c:v>烟草专卖局</c:v>
                </c:pt>
                <c:pt idx="9">
                  <c:v>公共资源交易中心</c:v>
                </c:pt>
                <c:pt idx="10">
                  <c:v>产业发展中心</c:v>
                </c:pt>
                <c:pt idx="11">
                  <c:v>发改局</c:v>
                </c:pt>
              </c:strCache>
            </c:strRef>
          </c:cat>
          <c:val>
            <c:numRef>
              <c:f>Sheet1!$B$2:$B$13</c:f>
              <c:numCache>
                <c:formatCode>General</c:formatCode>
                <c:ptCount val="12"/>
                <c:pt idx="0">
                  <c:v>21</c:v>
                </c:pt>
                <c:pt idx="1">
                  <c:v>4</c:v>
                </c:pt>
                <c:pt idx="2">
                  <c:v>39</c:v>
                </c:pt>
                <c:pt idx="3">
                  <c:v>78</c:v>
                </c:pt>
                <c:pt idx="4">
                  <c:v>16</c:v>
                </c:pt>
                <c:pt idx="5">
                  <c:v>27</c:v>
                </c:pt>
                <c:pt idx="6">
                  <c:v>69</c:v>
                </c:pt>
                <c:pt idx="7">
                  <c:v>56</c:v>
                </c:pt>
                <c:pt idx="8">
                  <c:v>0</c:v>
                </c:pt>
                <c:pt idx="9">
                  <c:v>0</c:v>
                </c:pt>
                <c:pt idx="10">
                  <c:v>7</c:v>
                </c:pt>
                <c:pt idx="11">
                  <c:v>125</c:v>
                </c:pt>
              </c:numCache>
            </c:numRef>
          </c:val>
        </c:ser>
        <c:ser>
          <c:idx val="1"/>
          <c:order val="1"/>
          <c:tx>
            <c:strRef>
              <c:f>Sheet1!$C$1</c:f>
              <c:strCache>
                <c:ptCount val="1"/>
                <c:pt idx="0">
                  <c:v>2023评估</c:v>
                </c:pt>
              </c:strCache>
            </c:strRef>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Sheet1!$A$2:$A$13</c:f>
              <c:strCache>
                <c:ptCount val="12"/>
                <c:pt idx="0">
                  <c:v>住房和城乡建设局</c:v>
                </c:pt>
                <c:pt idx="1">
                  <c:v>生态环境分局</c:v>
                </c:pt>
                <c:pt idx="2">
                  <c:v>自然资源和规划局</c:v>
                </c:pt>
                <c:pt idx="3">
                  <c:v>财政局</c:v>
                </c:pt>
                <c:pt idx="4">
                  <c:v>司法局</c:v>
                </c:pt>
                <c:pt idx="5">
                  <c:v>民政局</c:v>
                </c:pt>
                <c:pt idx="6">
                  <c:v>科经局</c:v>
                </c:pt>
                <c:pt idx="7">
                  <c:v>教育局</c:v>
                </c:pt>
                <c:pt idx="8">
                  <c:v>烟草专卖局</c:v>
                </c:pt>
                <c:pt idx="9">
                  <c:v>公共资源交易中心</c:v>
                </c:pt>
                <c:pt idx="10">
                  <c:v>产业发展中心</c:v>
                </c:pt>
                <c:pt idx="11">
                  <c:v>发改局</c:v>
                </c:pt>
              </c:strCache>
            </c:strRef>
          </c:cat>
          <c:val>
            <c:numRef>
              <c:f>Sheet1!$C$2:$C$13</c:f>
              <c:numCache>
                <c:formatCode>General</c:formatCode>
                <c:ptCount val="12"/>
                <c:pt idx="0">
                  <c:v>9</c:v>
                </c:pt>
                <c:pt idx="1">
                  <c:v>26</c:v>
                </c:pt>
                <c:pt idx="2">
                  <c:v>291</c:v>
                </c:pt>
                <c:pt idx="3">
                  <c:v>8</c:v>
                </c:pt>
                <c:pt idx="4">
                  <c:v>14</c:v>
                </c:pt>
                <c:pt idx="5">
                  <c:v>144</c:v>
                </c:pt>
                <c:pt idx="6">
                  <c:v>6</c:v>
                </c:pt>
                <c:pt idx="7">
                  <c:v>66</c:v>
                </c:pt>
                <c:pt idx="8">
                  <c:v>0</c:v>
                </c:pt>
                <c:pt idx="9">
                  <c:v>0</c:v>
                </c:pt>
                <c:pt idx="10">
                  <c:v>9</c:v>
                </c:pt>
                <c:pt idx="11">
                  <c:v>82</c:v>
                </c:pt>
              </c:numCache>
            </c:numRef>
          </c:val>
        </c:ser>
        <c:ser>
          <c:idx val="2"/>
          <c:order val="2"/>
          <c:tx>
            <c:strRef>
              <c:f>Sheet1!$D$1</c:f>
              <c:strCache>
                <c:ptCount val="1"/>
                <c:pt idx="0">
                  <c:v>2024评估</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5400000" scaled="0"/>
            </a:gradFill>
            <a:ln>
              <a:noFill/>
            </a:ln>
            <a:effectLst/>
          </c:spPr>
          <c:invertIfNegative val="0"/>
          <c:dLbls>
            <c:dLbl>
              <c:idx val="5"/>
              <c:layout>
                <c:manualLayout>
                  <c:x val="0.00613496932515337"/>
                  <c:y val="-0.011876484560570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Sheet1!$A$2:$A$13</c:f>
              <c:strCache>
                <c:ptCount val="12"/>
                <c:pt idx="0">
                  <c:v>住房和城乡建设局</c:v>
                </c:pt>
                <c:pt idx="1">
                  <c:v>生态环境分局</c:v>
                </c:pt>
                <c:pt idx="2">
                  <c:v>自然资源和规划局</c:v>
                </c:pt>
                <c:pt idx="3">
                  <c:v>财政局</c:v>
                </c:pt>
                <c:pt idx="4">
                  <c:v>司法局</c:v>
                </c:pt>
                <c:pt idx="5">
                  <c:v>民政局</c:v>
                </c:pt>
                <c:pt idx="6">
                  <c:v>科经局</c:v>
                </c:pt>
                <c:pt idx="7">
                  <c:v>教育局</c:v>
                </c:pt>
                <c:pt idx="8">
                  <c:v>烟草专卖局</c:v>
                </c:pt>
                <c:pt idx="9">
                  <c:v>公共资源交易中心</c:v>
                </c:pt>
                <c:pt idx="10">
                  <c:v>产业发展中心</c:v>
                </c:pt>
                <c:pt idx="11">
                  <c:v>发改局</c:v>
                </c:pt>
              </c:strCache>
            </c:strRef>
          </c:cat>
          <c:val>
            <c:numRef>
              <c:f>Sheet1!$D$2:$D$13</c:f>
              <c:numCache>
                <c:formatCode>General</c:formatCode>
                <c:ptCount val="12"/>
                <c:pt idx="0">
                  <c:v>5</c:v>
                </c:pt>
                <c:pt idx="1">
                  <c:v>7</c:v>
                </c:pt>
                <c:pt idx="2">
                  <c:v>3</c:v>
                </c:pt>
                <c:pt idx="3">
                  <c:v>135</c:v>
                </c:pt>
                <c:pt idx="4">
                  <c:v>0</c:v>
                </c:pt>
                <c:pt idx="5">
                  <c:v>150</c:v>
                </c:pt>
                <c:pt idx="6">
                  <c:v>31</c:v>
                </c:pt>
                <c:pt idx="7">
                  <c:v>39</c:v>
                </c:pt>
                <c:pt idx="8">
                  <c:v>15</c:v>
                </c:pt>
                <c:pt idx="9">
                  <c:v>0</c:v>
                </c:pt>
                <c:pt idx="10">
                  <c:v>10</c:v>
                </c:pt>
                <c:pt idx="11">
                  <c:v>46</c:v>
                </c:pt>
              </c:numCache>
            </c:numRef>
          </c:val>
        </c:ser>
        <c:dLbls>
          <c:showLegendKey val="0"/>
          <c:showVal val="1"/>
          <c:showCatName val="0"/>
          <c:showSerName val="0"/>
          <c:showPercent val="0"/>
          <c:showBubbleSize val="0"/>
        </c:dLbls>
        <c:gapWidth val="150"/>
        <c:overlap val="100"/>
        <c:axId val="212567568"/>
        <c:axId val="212572144"/>
      </c:barChart>
      <c:catAx>
        <c:axId val="2125675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200" b="1" i="0" u="none" strike="noStrike" kern="1200" baseline="0">
                <a:solidFill>
                  <a:schemeClr val="bg1"/>
                </a:solidFill>
                <a:latin typeface="+mn-lt"/>
                <a:ea typeface="+mn-ea"/>
                <a:cs typeface="+mn-cs"/>
              </a:defRPr>
            </a:pPr>
          </a:p>
        </c:txPr>
        <c:crossAx val="212572144"/>
        <c:crosses val="autoZero"/>
        <c:auto val="1"/>
        <c:lblAlgn val="ctr"/>
        <c:lblOffset val="100"/>
        <c:noMultiLvlLbl val="0"/>
      </c:catAx>
      <c:valAx>
        <c:axId val="212572144"/>
        <c:scaling>
          <c:orientation val="minMax"/>
        </c:scaling>
        <c:delete val="0"/>
        <c:axPos val="b"/>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lt1"/>
                </a:solidFill>
                <a:latin typeface="+mn-lt"/>
                <a:ea typeface="+mn-ea"/>
                <a:cs typeface="+mn-cs"/>
              </a:defRPr>
            </a:pPr>
          </a:p>
        </c:txPr>
        <c:crossAx val="212567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200" b="1" i="0" u="none" strike="noStrike" kern="1200" baseline="0">
              <a:solidFill>
                <a:schemeClr val="lt1"/>
              </a:solidFill>
              <a:latin typeface="+mn-lt"/>
              <a:ea typeface="+mn-ea"/>
              <a:cs typeface="+mn-cs"/>
            </a:defRPr>
          </a:pPr>
        </a:p>
      </c:txPr>
    </c:legend>
    <c:plotVisOnly val="1"/>
    <c:dispBlanksAs val="gap"/>
    <c:showDLblsOverMax val="0"/>
  </c:chart>
  <c:spPr>
    <a:solidFill>
      <a:schemeClr val="accent5"/>
    </a:solidFill>
    <a:ln w="6350" cap="flat" cmpd="sng" algn="ctr">
      <a:solidFill>
        <a:schemeClr val="accent1"/>
      </a:solidFill>
      <a:prstDash val="solid"/>
      <a:miter lim="800000"/>
    </a:ln>
    <a:effectLst/>
  </c:spPr>
  <c:txPr>
    <a:bodyPr/>
    <a:lstStyle/>
    <a:p>
      <a:pPr>
        <a:defRPr lang="zh-CN">
          <a:solidFill>
            <a:schemeClr val="lt1"/>
          </a:solidFill>
          <a:latin typeface="+mn-lt"/>
          <a:ea typeface="+mn-ea"/>
          <a:cs typeface="+mn-cs"/>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800" b="1" i="0" u="none" strike="noStrike" kern="1200" cap="all" spc="50" baseline="0">
                <a:solidFill>
                  <a:schemeClr val="lt1"/>
                </a:solidFill>
                <a:latin typeface="+mn-lt"/>
                <a:ea typeface="+mn-ea"/>
                <a:cs typeface="+mn-cs"/>
              </a:defRPr>
            </a:pPr>
            <a:r>
              <a:rPr lang="zh-CN"/>
              <a:t>表</a:t>
            </a:r>
            <a:r>
              <a:rPr lang="en-US" altLang="zh-CN"/>
              <a:t>4 </a:t>
            </a:r>
            <a:r>
              <a:rPr lang="zh-CN" altLang="en-US"/>
              <a:t>各成员单位三次评估发文总量对比表</a:t>
            </a:r>
            <a:r>
              <a:rPr lang="en-US"/>
              <a:t> </a:t>
            </a:r>
            <a:endParaRPr lang="zh-CN"/>
          </a:p>
        </c:rich>
      </c:tx>
      <c:layout/>
      <c:overlay val="0"/>
      <c:spPr>
        <a:noFill/>
        <a:ln>
          <a:noFill/>
        </a:ln>
        <a:effectLst/>
      </c:spPr>
    </c:title>
    <c:autoTitleDeleted val="0"/>
    <c:plotArea>
      <c:layout/>
      <c:barChart>
        <c:barDir val="bar"/>
        <c:grouping val="stacked"/>
        <c:varyColors val="0"/>
        <c:ser>
          <c:idx val="0"/>
          <c:order val="0"/>
          <c:tx>
            <c:strRef>
              <c:f>Sheet1!$B$1</c:f>
              <c:strCache>
                <c:ptCount val="1"/>
                <c:pt idx="0">
                  <c:v>2022评估</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1"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Sheet1!$A$2:$A$12</c:f>
              <c:strCache>
                <c:ptCount val="11"/>
                <c:pt idx="0">
                  <c:v>交通局</c:v>
                </c:pt>
                <c:pt idx="1">
                  <c:v>政数局</c:v>
                </c:pt>
                <c:pt idx="2">
                  <c:v>招商服务中心</c:v>
                </c:pt>
                <c:pt idx="3">
                  <c:v>水利局</c:v>
                </c:pt>
                <c:pt idx="4">
                  <c:v>农业农村局</c:v>
                </c:pt>
                <c:pt idx="5">
                  <c:v>文化和旅游局</c:v>
                </c:pt>
                <c:pt idx="6">
                  <c:v>卫健局</c:v>
                </c:pt>
                <c:pt idx="7">
                  <c:v>应急管理局</c:v>
                </c:pt>
                <c:pt idx="8">
                  <c:v>市场监督管理局</c:v>
                </c:pt>
                <c:pt idx="9">
                  <c:v>国税局</c:v>
                </c:pt>
                <c:pt idx="10">
                  <c:v>医保局</c:v>
                </c:pt>
              </c:strCache>
            </c:strRef>
          </c:cat>
          <c:val>
            <c:numRef>
              <c:f>Sheet1!$B$2:$B$12</c:f>
              <c:numCache>
                <c:formatCode>General</c:formatCode>
                <c:ptCount val="11"/>
                <c:pt idx="0">
                  <c:v>53</c:v>
                </c:pt>
                <c:pt idx="1">
                  <c:v>2</c:v>
                </c:pt>
                <c:pt idx="2">
                  <c:v>4</c:v>
                </c:pt>
                <c:pt idx="3">
                  <c:v>22</c:v>
                </c:pt>
                <c:pt idx="4">
                  <c:v>42</c:v>
                </c:pt>
                <c:pt idx="5">
                  <c:v>46</c:v>
                </c:pt>
                <c:pt idx="6">
                  <c:v>16</c:v>
                </c:pt>
                <c:pt idx="7">
                  <c:v>45</c:v>
                </c:pt>
                <c:pt idx="8">
                  <c:v>36</c:v>
                </c:pt>
                <c:pt idx="9">
                  <c:v>30</c:v>
                </c:pt>
                <c:pt idx="10">
                  <c:v>8</c:v>
                </c:pt>
              </c:numCache>
            </c:numRef>
          </c:val>
        </c:ser>
        <c:ser>
          <c:idx val="1"/>
          <c:order val="1"/>
          <c:tx>
            <c:strRef>
              <c:f>Sheet1!$C$1</c:f>
              <c:strCache>
                <c:ptCount val="1"/>
                <c:pt idx="0">
                  <c:v>2023评估</c:v>
                </c:pt>
              </c:strCache>
            </c:strRef>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Sheet1!$A$2:$A$12</c:f>
              <c:strCache>
                <c:ptCount val="11"/>
                <c:pt idx="0">
                  <c:v>交通局</c:v>
                </c:pt>
                <c:pt idx="1">
                  <c:v>政数局</c:v>
                </c:pt>
                <c:pt idx="2">
                  <c:v>招商服务中心</c:v>
                </c:pt>
                <c:pt idx="3">
                  <c:v>水利局</c:v>
                </c:pt>
                <c:pt idx="4">
                  <c:v>农业农村局</c:v>
                </c:pt>
                <c:pt idx="5">
                  <c:v>文化和旅游局</c:v>
                </c:pt>
                <c:pt idx="6">
                  <c:v>卫健局</c:v>
                </c:pt>
                <c:pt idx="7">
                  <c:v>应急管理局</c:v>
                </c:pt>
                <c:pt idx="8">
                  <c:v>市场监督管理局</c:v>
                </c:pt>
                <c:pt idx="9">
                  <c:v>国税局</c:v>
                </c:pt>
                <c:pt idx="10">
                  <c:v>医保局</c:v>
                </c:pt>
              </c:strCache>
            </c:strRef>
          </c:cat>
          <c:val>
            <c:numRef>
              <c:f>Sheet1!$C$2:$C$12</c:f>
              <c:numCache>
                <c:formatCode>General</c:formatCode>
                <c:ptCount val="11"/>
                <c:pt idx="0">
                  <c:v>101</c:v>
                </c:pt>
                <c:pt idx="1">
                  <c:v>2</c:v>
                </c:pt>
                <c:pt idx="2">
                  <c:v>2</c:v>
                </c:pt>
                <c:pt idx="3">
                  <c:v>75</c:v>
                </c:pt>
                <c:pt idx="4">
                  <c:v>30</c:v>
                </c:pt>
                <c:pt idx="5">
                  <c:v>117</c:v>
                </c:pt>
                <c:pt idx="6">
                  <c:v>7</c:v>
                </c:pt>
                <c:pt idx="7">
                  <c:v>86</c:v>
                </c:pt>
                <c:pt idx="8">
                  <c:v>28</c:v>
                </c:pt>
                <c:pt idx="9">
                  <c:v>0</c:v>
                </c:pt>
                <c:pt idx="10">
                  <c:v>0</c:v>
                </c:pt>
              </c:numCache>
            </c:numRef>
          </c:val>
        </c:ser>
        <c:ser>
          <c:idx val="2"/>
          <c:order val="2"/>
          <c:tx>
            <c:strRef>
              <c:f>Sheet1!$D$1</c:f>
              <c:strCache>
                <c:ptCount val="1"/>
                <c:pt idx="0">
                  <c:v>2024评估</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Sheet1!$A$2:$A$12</c:f>
              <c:strCache>
                <c:ptCount val="11"/>
                <c:pt idx="0">
                  <c:v>交通局</c:v>
                </c:pt>
                <c:pt idx="1">
                  <c:v>政数局</c:v>
                </c:pt>
                <c:pt idx="2">
                  <c:v>招商服务中心</c:v>
                </c:pt>
                <c:pt idx="3">
                  <c:v>水利局</c:v>
                </c:pt>
                <c:pt idx="4">
                  <c:v>农业农村局</c:v>
                </c:pt>
                <c:pt idx="5">
                  <c:v>文化和旅游局</c:v>
                </c:pt>
                <c:pt idx="6">
                  <c:v>卫健局</c:v>
                </c:pt>
                <c:pt idx="7">
                  <c:v>应急管理局</c:v>
                </c:pt>
                <c:pt idx="8">
                  <c:v>市场监督管理局</c:v>
                </c:pt>
                <c:pt idx="9">
                  <c:v>国税局</c:v>
                </c:pt>
                <c:pt idx="10">
                  <c:v>医保局</c:v>
                </c:pt>
              </c:strCache>
            </c:strRef>
          </c:cat>
          <c:val>
            <c:numRef>
              <c:f>Sheet1!$D$2:$D$12</c:f>
              <c:numCache>
                <c:formatCode>General</c:formatCode>
                <c:ptCount val="11"/>
                <c:pt idx="0">
                  <c:v>127</c:v>
                </c:pt>
                <c:pt idx="1">
                  <c:v>8</c:v>
                </c:pt>
                <c:pt idx="2">
                  <c:v>4</c:v>
                </c:pt>
                <c:pt idx="3">
                  <c:v>79</c:v>
                </c:pt>
                <c:pt idx="4">
                  <c:v>83</c:v>
                </c:pt>
                <c:pt idx="5">
                  <c:v>120</c:v>
                </c:pt>
                <c:pt idx="6">
                  <c:v>22</c:v>
                </c:pt>
                <c:pt idx="7">
                  <c:v>118</c:v>
                </c:pt>
                <c:pt idx="8">
                  <c:v>60</c:v>
                </c:pt>
                <c:pt idx="9">
                  <c:v>30</c:v>
                </c:pt>
                <c:pt idx="10">
                  <c:v>9</c:v>
                </c:pt>
              </c:numCache>
            </c:numRef>
          </c:val>
        </c:ser>
        <c:dLbls>
          <c:showLegendKey val="0"/>
          <c:showVal val="1"/>
          <c:showCatName val="0"/>
          <c:showSerName val="0"/>
          <c:showPercent val="0"/>
          <c:showBubbleSize val="0"/>
        </c:dLbls>
        <c:gapWidth val="150"/>
        <c:overlap val="100"/>
        <c:axId val="212567568"/>
        <c:axId val="212572144"/>
      </c:barChart>
      <c:catAx>
        <c:axId val="2125675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200" b="1" i="0" u="none" strike="noStrike" kern="1200" baseline="0">
                <a:solidFill>
                  <a:schemeClr val="bg1"/>
                </a:solidFill>
                <a:latin typeface="+mn-lt"/>
                <a:ea typeface="+mn-ea"/>
                <a:cs typeface="+mn-cs"/>
              </a:defRPr>
            </a:pPr>
          </a:p>
        </c:txPr>
        <c:crossAx val="212572144"/>
        <c:crosses val="autoZero"/>
        <c:auto val="1"/>
        <c:lblAlgn val="ctr"/>
        <c:lblOffset val="100"/>
        <c:noMultiLvlLbl val="0"/>
      </c:catAx>
      <c:valAx>
        <c:axId val="212572144"/>
        <c:scaling>
          <c:orientation val="minMax"/>
        </c:scaling>
        <c:delete val="0"/>
        <c:axPos val="b"/>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lt1"/>
                </a:solidFill>
                <a:latin typeface="+mn-lt"/>
                <a:ea typeface="+mn-ea"/>
                <a:cs typeface="+mn-cs"/>
              </a:defRPr>
            </a:pPr>
          </a:p>
        </c:txPr>
        <c:crossAx val="212567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200" b="1" i="0" u="none" strike="noStrike" kern="1200" baseline="0">
              <a:solidFill>
                <a:schemeClr val="lt1"/>
              </a:solidFill>
              <a:latin typeface="+mn-lt"/>
              <a:ea typeface="+mn-ea"/>
              <a:cs typeface="+mn-cs"/>
            </a:defRPr>
          </a:pPr>
        </a:p>
      </c:txPr>
    </c:legend>
    <c:plotVisOnly val="1"/>
    <c:dispBlanksAs val="gap"/>
    <c:showDLblsOverMax val="0"/>
  </c:chart>
  <c:spPr>
    <a:solidFill>
      <a:srgbClr val="5B9BD5"/>
    </a:solidFill>
    <a:ln w="6350" cap="flat" cmpd="sng" algn="ctr">
      <a:solidFill>
        <a:schemeClr val="accent1"/>
      </a:solidFill>
      <a:prstDash val="solid"/>
      <a:miter lim="800000"/>
    </a:ln>
    <a:effectLst/>
  </c:spPr>
  <c:txPr>
    <a:bodyPr/>
    <a:lstStyle/>
    <a:p>
      <a:pPr>
        <a:defRPr lang="zh-CN">
          <a:solidFill>
            <a:schemeClr val="lt1"/>
          </a:solidFill>
          <a:latin typeface="+mn-lt"/>
          <a:ea typeface="+mn-ea"/>
          <a:cs typeface="+mn-cs"/>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800" b="1" i="0" u="none" strike="noStrike" kern="1200" cap="all" spc="50" baseline="0">
                <a:solidFill>
                  <a:schemeClr val="lt1"/>
                </a:solidFill>
                <a:latin typeface="+mn-lt"/>
                <a:ea typeface="+mn-ea"/>
                <a:cs typeface="+mn-cs"/>
              </a:defRPr>
            </a:pPr>
            <a:r>
              <a:rPr lang="zh-CN"/>
              <a:t>表</a:t>
            </a:r>
            <a:r>
              <a:rPr lang="en-US" altLang="zh-CN"/>
              <a:t>5</a:t>
            </a:r>
            <a:r>
              <a:rPr lang="en-US"/>
              <a:t> </a:t>
            </a:r>
            <a:r>
              <a:rPr lang="zh-CN" altLang="en-US"/>
              <a:t>各成员单位三次评估所发布涉及市场主体经济活动文件数量对比表</a:t>
            </a:r>
            <a:endParaRPr lang="zh-CN"/>
          </a:p>
        </c:rich>
      </c:tx>
      <c:layout/>
      <c:overlay val="0"/>
      <c:spPr>
        <a:noFill/>
        <a:ln>
          <a:noFill/>
        </a:ln>
        <a:effectLst/>
      </c:spPr>
    </c:title>
    <c:autoTitleDeleted val="0"/>
    <c:plotArea>
      <c:layout/>
      <c:barChart>
        <c:barDir val="bar"/>
        <c:grouping val="stacked"/>
        <c:varyColors val="0"/>
        <c:ser>
          <c:idx val="0"/>
          <c:order val="0"/>
          <c:tx>
            <c:strRef>
              <c:f>Sheet1!$B$1</c:f>
              <c:strCache>
                <c:ptCount val="1"/>
                <c:pt idx="0">
                  <c:v>2022评估</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1"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Sheet1!$A$2:$A$13</c:f>
              <c:strCache>
                <c:ptCount val="12"/>
                <c:pt idx="0">
                  <c:v>住房和城乡建设局</c:v>
                </c:pt>
                <c:pt idx="1">
                  <c:v>生态环境分局</c:v>
                </c:pt>
                <c:pt idx="2">
                  <c:v>自然资源和规划局</c:v>
                </c:pt>
                <c:pt idx="3">
                  <c:v>财政局</c:v>
                </c:pt>
                <c:pt idx="4">
                  <c:v>司法局</c:v>
                </c:pt>
                <c:pt idx="5">
                  <c:v>民政局</c:v>
                </c:pt>
                <c:pt idx="6">
                  <c:v>科经局</c:v>
                </c:pt>
                <c:pt idx="7">
                  <c:v>教育局</c:v>
                </c:pt>
                <c:pt idx="8">
                  <c:v>烟草专卖局</c:v>
                </c:pt>
                <c:pt idx="9">
                  <c:v>公共资源交易中心</c:v>
                </c:pt>
                <c:pt idx="10">
                  <c:v>产业发展中心</c:v>
                </c:pt>
                <c:pt idx="11">
                  <c:v>发改局</c:v>
                </c:pt>
              </c:strCache>
            </c:strRef>
          </c:cat>
          <c:val>
            <c:numRef>
              <c:f>Sheet1!$B$2:$B$13</c:f>
              <c:numCache>
                <c:formatCode>General</c:formatCode>
                <c:ptCount val="12"/>
                <c:pt idx="0">
                  <c:v>3</c:v>
                </c:pt>
                <c:pt idx="1">
                  <c:v>0</c:v>
                </c:pt>
                <c:pt idx="2">
                  <c:v>3</c:v>
                </c:pt>
                <c:pt idx="3">
                  <c:v>4</c:v>
                </c:pt>
                <c:pt idx="4">
                  <c:v>0</c:v>
                </c:pt>
                <c:pt idx="5">
                  <c:v>2</c:v>
                </c:pt>
                <c:pt idx="6">
                  <c:v>5</c:v>
                </c:pt>
                <c:pt idx="7">
                  <c:v>0</c:v>
                </c:pt>
                <c:pt idx="8">
                  <c:v>0</c:v>
                </c:pt>
                <c:pt idx="9">
                  <c:v>0</c:v>
                </c:pt>
                <c:pt idx="10">
                  <c:v>1</c:v>
                </c:pt>
                <c:pt idx="11">
                  <c:v>4</c:v>
                </c:pt>
              </c:numCache>
            </c:numRef>
          </c:val>
        </c:ser>
        <c:ser>
          <c:idx val="1"/>
          <c:order val="1"/>
          <c:tx>
            <c:strRef>
              <c:f>Sheet1!$C$1</c:f>
              <c:strCache>
                <c:ptCount val="1"/>
                <c:pt idx="0">
                  <c:v>2023评估</c:v>
                </c:pt>
              </c:strCache>
            </c:strRef>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Sheet1!$A$2:$A$13</c:f>
              <c:strCache>
                <c:ptCount val="12"/>
                <c:pt idx="0">
                  <c:v>住房和城乡建设局</c:v>
                </c:pt>
                <c:pt idx="1">
                  <c:v>生态环境分局</c:v>
                </c:pt>
                <c:pt idx="2">
                  <c:v>自然资源和规划局</c:v>
                </c:pt>
                <c:pt idx="3">
                  <c:v>财政局</c:v>
                </c:pt>
                <c:pt idx="4">
                  <c:v>司法局</c:v>
                </c:pt>
                <c:pt idx="5">
                  <c:v>民政局</c:v>
                </c:pt>
                <c:pt idx="6">
                  <c:v>科经局</c:v>
                </c:pt>
                <c:pt idx="7">
                  <c:v>教育局</c:v>
                </c:pt>
                <c:pt idx="8">
                  <c:v>烟草专卖局</c:v>
                </c:pt>
                <c:pt idx="9">
                  <c:v>公共资源交易中心</c:v>
                </c:pt>
                <c:pt idx="10">
                  <c:v>产业发展中心</c:v>
                </c:pt>
                <c:pt idx="11">
                  <c:v>发改局</c:v>
                </c:pt>
              </c:strCache>
            </c:strRef>
          </c:cat>
          <c:val>
            <c:numRef>
              <c:f>Sheet1!$C$2:$C$13</c:f>
              <c:numCache>
                <c:formatCode>General</c:formatCode>
                <c:ptCount val="12"/>
                <c:pt idx="0">
                  <c:v>4</c:v>
                </c:pt>
                <c:pt idx="1">
                  <c:v>0</c:v>
                </c:pt>
                <c:pt idx="2">
                  <c:v>4</c:v>
                </c:pt>
                <c:pt idx="3">
                  <c:v>0</c:v>
                </c:pt>
                <c:pt idx="4">
                  <c:v>0</c:v>
                </c:pt>
                <c:pt idx="5">
                  <c:v>0</c:v>
                </c:pt>
                <c:pt idx="6">
                  <c:v>2</c:v>
                </c:pt>
                <c:pt idx="7">
                  <c:v>2</c:v>
                </c:pt>
                <c:pt idx="8">
                  <c:v>0</c:v>
                </c:pt>
                <c:pt idx="9">
                  <c:v>0</c:v>
                </c:pt>
                <c:pt idx="10">
                  <c:v>2</c:v>
                </c:pt>
                <c:pt idx="11">
                  <c:v>2</c:v>
                </c:pt>
              </c:numCache>
            </c:numRef>
          </c:val>
        </c:ser>
        <c:ser>
          <c:idx val="2"/>
          <c:order val="2"/>
          <c:tx>
            <c:strRef>
              <c:f>Sheet1!$D$1</c:f>
              <c:strCache>
                <c:ptCount val="1"/>
                <c:pt idx="0">
                  <c:v>2024评估</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Sheet1!$A$2:$A$13</c:f>
              <c:strCache>
                <c:ptCount val="12"/>
                <c:pt idx="0">
                  <c:v>住房和城乡建设局</c:v>
                </c:pt>
                <c:pt idx="1">
                  <c:v>生态环境分局</c:v>
                </c:pt>
                <c:pt idx="2">
                  <c:v>自然资源和规划局</c:v>
                </c:pt>
                <c:pt idx="3">
                  <c:v>财政局</c:v>
                </c:pt>
                <c:pt idx="4">
                  <c:v>司法局</c:v>
                </c:pt>
                <c:pt idx="5">
                  <c:v>民政局</c:v>
                </c:pt>
                <c:pt idx="6">
                  <c:v>科经局</c:v>
                </c:pt>
                <c:pt idx="7">
                  <c:v>教育局</c:v>
                </c:pt>
                <c:pt idx="8">
                  <c:v>烟草专卖局</c:v>
                </c:pt>
                <c:pt idx="9">
                  <c:v>公共资源交易中心</c:v>
                </c:pt>
                <c:pt idx="10">
                  <c:v>产业发展中心</c:v>
                </c:pt>
                <c:pt idx="11">
                  <c:v>发改局</c:v>
                </c:pt>
              </c:strCache>
            </c:strRef>
          </c:cat>
          <c:val>
            <c:numRef>
              <c:f>Sheet1!$D$2:$D$13</c:f>
              <c:numCache>
                <c:formatCode>General</c:formatCode>
                <c:ptCount val="12"/>
                <c:pt idx="0">
                  <c:v>1</c:v>
                </c:pt>
                <c:pt idx="1">
                  <c:v>0</c:v>
                </c:pt>
                <c:pt idx="2">
                  <c:v>1</c:v>
                </c:pt>
                <c:pt idx="3">
                  <c:v>5</c:v>
                </c:pt>
                <c:pt idx="4">
                  <c:v>0</c:v>
                </c:pt>
                <c:pt idx="5">
                  <c:v>4</c:v>
                </c:pt>
                <c:pt idx="6">
                  <c:v>3</c:v>
                </c:pt>
                <c:pt idx="7">
                  <c:v>0</c:v>
                </c:pt>
                <c:pt idx="8">
                  <c:v>2</c:v>
                </c:pt>
                <c:pt idx="9">
                  <c:v>0</c:v>
                </c:pt>
                <c:pt idx="10">
                  <c:v>0</c:v>
                </c:pt>
                <c:pt idx="11">
                  <c:v>2</c:v>
                </c:pt>
              </c:numCache>
            </c:numRef>
          </c:val>
        </c:ser>
        <c:dLbls>
          <c:showLegendKey val="0"/>
          <c:showVal val="1"/>
          <c:showCatName val="0"/>
          <c:showSerName val="0"/>
          <c:showPercent val="0"/>
          <c:showBubbleSize val="0"/>
        </c:dLbls>
        <c:gapWidth val="150"/>
        <c:overlap val="100"/>
        <c:axId val="212567568"/>
        <c:axId val="212572144"/>
      </c:barChart>
      <c:catAx>
        <c:axId val="2125675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200" b="1" i="0" u="none" strike="noStrike" kern="1200" baseline="0">
                <a:solidFill>
                  <a:schemeClr val="bg1"/>
                </a:solidFill>
                <a:latin typeface="+mn-lt"/>
                <a:ea typeface="+mn-ea"/>
                <a:cs typeface="+mn-cs"/>
              </a:defRPr>
            </a:pPr>
          </a:p>
        </c:txPr>
        <c:crossAx val="212572144"/>
        <c:crosses val="autoZero"/>
        <c:auto val="1"/>
        <c:lblAlgn val="ctr"/>
        <c:lblOffset val="100"/>
        <c:noMultiLvlLbl val="0"/>
      </c:catAx>
      <c:valAx>
        <c:axId val="212572144"/>
        <c:scaling>
          <c:orientation val="minMax"/>
        </c:scaling>
        <c:delete val="0"/>
        <c:axPos val="b"/>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lt1"/>
                </a:solidFill>
                <a:latin typeface="+mn-lt"/>
                <a:ea typeface="+mn-ea"/>
                <a:cs typeface="+mn-cs"/>
              </a:defRPr>
            </a:pPr>
          </a:p>
        </c:txPr>
        <c:crossAx val="212567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200" b="1" i="0" u="none" strike="noStrike" kern="1200" baseline="0">
              <a:solidFill>
                <a:schemeClr val="lt1"/>
              </a:solidFill>
              <a:latin typeface="+mn-lt"/>
              <a:ea typeface="+mn-ea"/>
              <a:cs typeface="+mn-cs"/>
            </a:defRPr>
          </a:pPr>
        </a:p>
      </c:txPr>
    </c:legend>
    <c:plotVisOnly val="1"/>
    <c:dispBlanksAs val="gap"/>
    <c:showDLblsOverMax val="0"/>
  </c:chart>
  <c:spPr>
    <a:solidFill>
      <a:schemeClr val="accent5"/>
    </a:solidFill>
    <a:ln w="6350" cap="flat" cmpd="sng" algn="ctr">
      <a:solidFill>
        <a:schemeClr val="accent1"/>
      </a:solidFill>
      <a:prstDash val="solid"/>
      <a:miter lim="800000"/>
    </a:ln>
    <a:effectLst/>
  </c:spPr>
  <c:txPr>
    <a:bodyPr/>
    <a:lstStyle/>
    <a:p>
      <a:pPr>
        <a:defRPr lang="zh-CN">
          <a:solidFill>
            <a:schemeClr val="lt1"/>
          </a:solidFill>
          <a:latin typeface="+mn-lt"/>
          <a:ea typeface="+mn-ea"/>
          <a:cs typeface="+mn-cs"/>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800" b="1" i="0" u="none" strike="noStrike" kern="1200" cap="all" spc="50" baseline="0">
                <a:solidFill>
                  <a:schemeClr val="lt1"/>
                </a:solidFill>
                <a:latin typeface="+mn-lt"/>
                <a:ea typeface="+mn-ea"/>
                <a:cs typeface="+mn-cs"/>
              </a:defRPr>
            </a:pPr>
            <a:r>
              <a:rPr lang="zh-CN"/>
              <a:t>表</a:t>
            </a:r>
            <a:r>
              <a:rPr lang="en-US" altLang="zh-CN"/>
              <a:t>6 </a:t>
            </a:r>
            <a:r>
              <a:rPr lang="zh-CN" altLang="en-US"/>
              <a:t>各成员单位三次评估所发布涉及市场主体经济活动文件数量对比表</a:t>
            </a:r>
            <a:r>
              <a:rPr lang="en-US"/>
              <a:t> </a:t>
            </a:r>
            <a:endParaRPr lang="zh-CN"/>
          </a:p>
        </c:rich>
      </c:tx>
      <c:layout/>
      <c:overlay val="0"/>
      <c:spPr>
        <a:noFill/>
        <a:ln>
          <a:noFill/>
        </a:ln>
        <a:effectLst/>
      </c:spPr>
    </c:title>
    <c:autoTitleDeleted val="0"/>
    <c:plotArea>
      <c:layout/>
      <c:barChart>
        <c:barDir val="bar"/>
        <c:grouping val="stacked"/>
        <c:varyColors val="0"/>
        <c:ser>
          <c:idx val="0"/>
          <c:order val="0"/>
          <c:tx>
            <c:strRef>
              <c:f>Sheet1!$B$1</c:f>
              <c:strCache>
                <c:ptCount val="1"/>
                <c:pt idx="0">
                  <c:v>2022评估</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1"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Sheet1!$A$2:$A$12</c:f>
              <c:strCache>
                <c:ptCount val="11"/>
                <c:pt idx="0">
                  <c:v>交通局</c:v>
                </c:pt>
                <c:pt idx="1">
                  <c:v>政数局</c:v>
                </c:pt>
                <c:pt idx="2">
                  <c:v>招商服务中心</c:v>
                </c:pt>
                <c:pt idx="3">
                  <c:v>水利局</c:v>
                </c:pt>
                <c:pt idx="4">
                  <c:v>农业农村局</c:v>
                </c:pt>
                <c:pt idx="5">
                  <c:v>文化和旅游局</c:v>
                </c:pt>
                <c:pt idx="6">
                  <c:v>卫健局</c:v>
                </c:pt>
                <c:pt idx="7">
                  <c:v>应急管理局</c:v>
                </c:pt>
                <c:pt idx="8">
                  <c:v>市场监督管理局</c:v>
                </c:pt>
                <c:pt idx="9">
                  <c:v>国税局</c:v>
                </c:pt>
                <c:pt idx="10">
                  <c:v>医保局</c:v>
                </c:pt>
              </c:strCache>
            </c:strRef>
          </c:cat>
          <c:val>
            <c:numRef>
              <c:f>Sheet1!$B$2:$B$12</c:f>
              <c:numCache>
                <c:formatCode>General</c:formatCode>
                <c:ptCount val="11"/>
                <c:pt idx="0">
                  <c:v>4</c:v>
                </c:pt>
                <c:pt idx="1">
                  <c:v>0</c:v>
                </c:pt>
                <c:pt idx="2">
                  <c:v>1</c:v>
                </c:pt>
                <c:pt idx="3">
                  <c:v>0</c:v>
                </c:pt>
                <c:pt idx="4">
                  <c:v>4</c:v>
                </c:pt>
                <c:pt idx="5">
                  <c:v>3</c:v>
                </c:pt>
                <c:pt idx="6">
                  <c:v>4</c:v>
                </c:pt>
                <c:pt idx="7">
                  <c:v>1</c:v>
                </c:pt>
                <c:pt idx="8">
                  <c:v>5</c:v>
                </c:pt>
                <c:pt idx="9">
                  <c:v>0</c:v>
                </c:pt>
                <c:pt idx="10">
                  <c:v>1</c:v>
                </c:pt>
              </c:numCache>
            </c:numRef>
          </c:val>
        </c:ser>
        <c:ser>
          <c:idx val="1"/>
          <c:order val="1"/>
          <c:tx>
            <c:strRef>
              <c:f>Sheet1!$C$1</c:f>
              <c:strCache>
                <c:ptCount val="1"/>
                <c:pt idx="0">
                  <c:v>2023评估</c:v>
                </c:pt>
              </c:strCache>
            </c:strRef>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Sheet1!$A$2:$A$12</c:f>
              <c:strCache>
                <c:ptCount val="11"/>
                <c:pt idx="0">
                  <c:v>交通局</c:v>
                </c:pt>
                <c:pt idx="1">
                  <c:v>政数局</c:v>
                </c:pt>
                <c:pt idx="2">
                  <c:v>招商服务中心</c:v>
                </c:pt>
                <c:pt idx="3">
                  <c:v>水利局</c:v>
                </c:pt>
                <c:pt idx="4">
                  <c:v>农业农村局</c:v>
                </c:pt>
                <c:pt idx="5">
                  <c:v>文化和旅游局</c:v>
                </c:pt>
                <c:pt idx="6">
                  <c:v>卫健局</c:v>
                </c:pt>
                <c:pt idx="7">
                  <c:v>应急管理局</c:v>
                </c:pt>
                <c:pt idx="8">
                  <c:v>市场监督管理局</c:v>
                </c:pt>
                <c:pt idx="9">
                  <c:v>国税局</c:v>
                </c:pt>
                <c:pt idx="10">
                  <c:v>医保局</c:v>
                </c:pt>
              </c:strCache>
            </c:strRef>
          </c:cat>
          <c:val>
            <c:numRef>
              <c:f>Sheet1!$C$2:$C$12</c:f>
              <c:numCache>
                <c:formatCode>General</c:formatCode>
                <c:ptCount val="11"/>
                <c:pt idx="0">
                  <c:v>4</c:v>
                </c:pt>
                <c:pt idx="1">
                  <c:v>2</c:v>
                </c:pt>
                <c:pt idx="2">
                  <c:v>2</c:v>
                </c:pt>
                <c:pt idx="3">
                  <c:v>1</c:v>
                </c:pt>
                <c:pt idx="4">
                  <c:v>2</c:v>
                </c:pt>
                <c:pt idx="5">
                  <c:v>2</c:v>
                </c:pt>
                <c:pt idx="6">
                  <c:v>1</c:v>
                </c:pt>
                <c:pt idx="7">
                  <c:v>2</c:v>
                </c:pt>
                <c:pt idx="8">
                  <c:v>2</c:v>
                </c:pt>
                <c:pt idx="9">
                  <c:v>0</c:v>
                </c:pt>
                <c:pt idx="10">
                  <c:v>0</c:v>
                </c:pt>
              </c:numCache>
            </c:numRef>
          </c:val>
        </c:ser>
        <c:ser>
          <c:idx val="2"/>
          <c:order val="2"/>
          <c:tx>
            <c:strRef>
              <c:f>Sheet1!$D$1</c:f>
              <c:strCache>
                <c:ptCount val="1"/>
                <c:pt idx="0">
                  <c:v>2024评估</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5400000" scaled="0"/>
            </a:gradFill>
            <a:ln>
              <a:noFill/>
            </a:ln>
            <a:effectLst/>
          </c:spPr>
          <c:invertIfNegative val="0"/>
          <c:dLbls>
            <c:dLbl>
              <c:idx val="10"/>
              <c:layout/>
              <c:dLblPos val="inBase"/>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Sheet1!$A$2:$A$12</c:f>
              <c:strCache>
                <c:ptCount val="11"/>
                <c:pt idx="0">
                  <c:v>交通局</c:v>
                </c:pt>
                <c:pt idx="1">
                  <c:v>政数局</c:v>
                </c:pt>
                <c:pt idx="2">
                  <c:v>招商服务中心</c:v>
                </c:pt>
                <c:pt idx="3">
                  <c:v>水利局</c:v>
                </c:pt>
                <c:pt idx="4">
                  <c:v>农业农村局</c:v>
                </c:pt>
                <c:pt idx="5">
                  <c:v>文化和旅游局</c:v>
                </c:pt>
                <c:pt idx="6">
                  <c:v>卫健局</c:v>
                </c:pt>
                <c:pt idx="7">
                  <c:v>应急管理局</c:v>
                </c:pt>
                <c:pt idx="8">
                  <c:v>市场监督管理局</c:v>
                </c:pt>
                <c:pt idx="9">
                  <c:v>国税局</c:v>
                </c:pt>
                <c:pt idx="10">
                  <c:v>医保局</c:v>
                </c:pt>
              </c:strCache>
            </c:strRef>
          </c:cat>
          <c:val>
            <c:numRef>
              <c:f>Sheet1!$D$2:$D$12</c:f>
              <c:numCache>
                <c:formatCode>General</c:formatCode>
                <c:ptCount val="11"/>
                <c:pt idx="0">
                  <c:v>2</c:v>
                </c:pt>
                <c:pt idx="1">
                  <c:v>2</c:v>
                </c:pt>
                <c:pt idx="2">
                  <c:v>4</c:v>
                </c:pt>
                <c:pt idx="3">
                  <c:v>0</c:v>
                </c:pt>
                <c:pt idx="4">
                  <c:v>3</c:v>
                </c:pt>
                <c:pt idx="5">
                  <c:v>1</c:v>
                </c:pt>
                <c:pt idx="6">
                  <c:v>1</c:v>
                </c:pt>
                <c:pt idx="7">
                  <c:v>4</c:v>
                </c:pt>
                <c:pt idx="8">
                  <c:v>4</c:v>
                </c:pt>
                <c:pt idx="9">
                  <c:v>1</c:v>
                </c:pt>
                <c:pt idx="10">
                  <c:v>0</c:v>
                </c:pt>
              </c:numCache>
            </c:numRef>
          </c:val>
        </c:ser>
        <c:dLbls>
          <c:showLegendKey val="0"/>
          <c:showVal val="1"/>
          <c:showCatName val="0"/>
          <c:showSerName val="0"/>
          <c:showPercent val="0"/>
          <c:showBubbleSize val="0"/>
        </c:dLbls>
        <c:gapWidth val="150"/>
        <c:overlap val="100"/>
        <c:axId val="212567568"/>
        <c:axId val="212572144"/>
      </c:barChart>
      <c:catAx>
        <c:axId val="2125675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200" b="1" i="0" u="none" strike="noStrike" kern="1200" baseline="0">
                <a:solidFill>
                  <a:schemeClr val="bg1"/>
                </a:solidFill>
                <a:latin typeface="+mn-lt"/>
                <a:ea typeface="+mn-ea"/>
                <a:cs typeface="+mn-cs"/>
              </a:defRPr>
            </a:pPr>
          </a:p>
        </c:txPr>
        <c:crossAx val="212572144"/>
        <c:crosses val="autoZero"/>
        <c:auto val="1"/>
        <c:lblAlgn val="ctr"/>
        <c:lblOffset val="100"/>
        <c:noMultiLvlLbl val="0"/>
      </c:catAx>
      <c:valAx>
        <c:axId val="212572144"/>
        <c:scaling>
          <c:orientation val="minMax"/>
        </c:scaling>
        <c:delete val="0"/>
        <c:axPos val="b"/>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lt1"/>
                </a:solidFill>
                <a:latin typeface="+mn-lt"/>
                <a:ea typeface="+mn-ea"/>
                <a:cs typeface="+mn-cs"/>
              </a:defRPr>
            </a:pPr>
          </a:p>
        </c:txPr>
        <c:crossAx val="212567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200" b="1" i="0" u="none" strike="noStrike" kern="1200" baseline="0">
              <a:solidFill>
                <a:schemeClr val="lt1"/>
              </a:solidFill>
              <a:latin typeface="+mn-lt"/>
              <a:ea typeface="+mn-ea"/>
              <a:cs typeface="+mn-cs"/>
            </a:defRPr>
          </a:pPr>
        </a:p>
      </c:txPr>
    </c:legend>
    <c:plotVisOnly val="1"/>
    <c:dispBlanksAs val="gap"/>
    <c:showDLblsOverMax val="0"/>
  </c:chart>
  <c:spPr>
    <a:solidFill>
      <a:srgbClr val="5B9BD5"/>
    </a:solidFill>
    <a:ln w="6350" cap="flat" cmpd="sng" algn="ctr">
      <a:solidFill>
        <a:schemeClr val="accent1"/>
      </a:solidFill>
      <a:prstDash val="solid"/>
      <a:miter lim="800000"/>
    </a:ln>
    <a:effectLst/>
  </c:spPr>
  <c:txPr>
    <a:bodyPr/>
    <a:lstStyle/>
    <a:p>
      <a:pPr>
        <a:defRPr lang="zh-CN">
          <a:solidFill>
            <a:schemeClr val="lt1"/>
          </a:solidFill>
          <a:latin typeface="+mn-lt"/>
          <a:ea typeface="+mn-ea"/>
          <a:cs typeface="+mn-cs"/>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00" b="1">
                <a:latin typeface="宋体" panose="02010600030101010101" charset="-122"/>
                <a:ea typeface="宋体" panose="02010600030101010101" charset="-122"/>
              </a:rPr>
              <a:t>5</a:t>
            </a:r>
            <a:r>
              <a:rPr lang="zh-CN" altLang="en-US" sz="1000" b="1">
                <a:latin typeface="宋体" panose="02010600030101010101" charset="-122"/>
                <a:ea typeface="宋体" panose="02010600030101010101" charset="-122"/>
              </a:rPr>
              <a:t>份文件实际违反的审查标准汇总表</a:t>
            </a:r>
            <a:endParaRPr lang="zh-CN" altLang="en-US" sz="1000" b="1">
              <a:latin typeface="宋体" panose="02010600030101010101" charset="-122"/>
              <a:ea typeface="宋体" panose="02010600030101010101" charset="-122"/>
            </a:endParaRP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200" b="1" i="0" u="none" strike="noStrike" kern="1200" baseline="0">
                    <a:solidFill>
                      <a:schemeClr val="tx1">
                        <a:lumMod val="75000"/>
                        <a:lumOff val="25000"/>
                      </a:schemeClr>
                    </a:solidFill>
                    <a:latin typeface="宋体" panose="02010600030101010101" charset="-122"/>
                    <a:ea typeface="+mn-ea"/>
                    <a:cs typeface="+mn-cs"/>
                  </a:defRPr>
                </a:pPr>
              </a:p>
            </c:txPr>
            <c:dLblPos val="inEnd"/>
            <c:showLegendKey val="0"/>
            <c:showVal val="1"/>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变相强制外地经营者在本地投资或者设立分支机构</c:v>
                </c:pt>
                <c:pt idx="1">
                  <c:v>在土地等要素获取方面，给予特定经营者优惠政策</c:v>
                </c:pt>
                <c:pt idx="2">
                  <c:v>将在本地取得的业绩、荣誉等纳入中标条件，变相限制外地经营者参加本地招投标活动</c:v>
                </c:pt>
                <c:pt idx="3">
                  <c:v>将奖补条件与特定经营者缴纳的税收挂钩</c:v>
                </c:pt>
              </c:strCache>
            </c:strRef>
          </c:cat>
          <c:val>
            <c:numRef>
              <c:f>Sheet1!$B$2:$B$5</c:f>
              <c:numCache>
                <c:formatCode>General</c:formatCode>
                <c:ptCount val="4"/>
                <c:pt idx="0">
                  <c:v>5</c:v>
                </c:pt>
                <c:pt idx="1">
                  <c:v>2</c:v>
                </c:pt>
                <c:pt idx="2">
                  <c:v>1</c:v>
                </c:pt>
                <c:pt idx="3">
                  <c:v>3</c:v>
                </c:pt>
              </c:numCache>
            </c:numRef>
          </c:val>
        </c:ser>
        <c:ser>
          <c:idx val="1"/>
          <c:order val="1"/>
          <c:tx>
            <c:strRef>
              <c:f>Sheet1!$C$1</c:f>
              <c:strCache>
                <c:ptCount val="1"/>
                <c:pt idx="0">
                  <c:v>列2</c:v>
                </c:pt>
              </c:strCache>
            </c:strRef>
          </c:tx>
          <c:spPr/>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dLbls>
            <c:delete val="1"/>
          </c:dLbls>
          <c:cat>
            <c:strRef>
              <c:f>Sheet1!$A$2:$A$5</c:f>
              <c:strCache>
                <c:ptCount val="4"/>
                <c:pt idx="0">
                  <c:v>变相强制外地经营者在本地投资或者设立分支机构</c:v>
                </c:pt>
                <c:pt idx="1">
                  <c:v>在土地等要素获取方面，给予特定经营者优惠政策</c:v>
                </c:pt>
                <c:pt idx="2">
                  <c:v>将在本地取得的业绩、荣誉等纳入中标条件，变相限制外地经营者参加本地招投标活动</c:v>
                </c:pt>
                <c:pt idx="3">
                  <c:v>将奖补条件与特定经营者缴纳的税收挂钩</c:v>
                </c:pt>
              </c:strCache>
            </c:strRef>
          </c:cat>
          <c:val>
            <c:numRef>
              <c:f>Sheet1!$C$2:$C$5</c:f>
              <c:numCache>
                <c:formatCode>General</c:formatCode>
                <c:ptCount val="4"/>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F3A84AC-9E72-4956-8CBF-871023147976}" type="doc">
      <dgm:prSet loTypeId="urn:microsoft.com/office/officeart/2005/8/layout/cycle4" loCatId="matrix" qsTypeId="urn:microsoft.com/office/officeart/2005/8/quickstyle/simple1" qsCatId="simple" csTypeId="urn:microsoft.com/office/officeart/2005/8/colors/accent1_2" csCatId="accent1" phldr="1"/>
      <dgm:spPr/>
      <dgm:t>
        <a:bodyPr/>
        <a:p>
          <a:endParaRPr lang="zh-CN" altLang="en-US"/>
        </a:p>
      </dgm:t>
    </dgm:pt>
    <dgm:pt modelId="{02FF707A-5CCA-4E92-8AE2-357C744B072B}">
      <dgm:prSet phldrT="[文本]"/>
      <dgm:spPr/>
      <dgm:t>
        <a:bodyPr/>
        <a:p>
          <a:r>
            <a:rPr lang="zh-CN" altLang="en-US"/>
            <a:t>优势</a:t>
          </a:r>
        </a:p>
      </dgm:t>
    </dgm:pt>
    <dgm:pt modelId="{B13975E7-B8C8-49D8-926B-95DE41815F74}" cxnId="{EC215F81-0FBB-4C4C-BCD6-F3AFA195C319}" type="parTrans">
      <dgm:prSet/>
      <dgm:spPr/>
      <dgm:t>
        <a:bodyPr/>
        <a:p>
          <a:endParaRPr lang="zh-CN" altLang="en-US"/>
        </a:p>
      </dgm:t>
    </dgm:pt>
    <dgm:pt modelId="{7C4F2EB5-313F-4CA4-AEAD-2143284CA42C}" cxnId="{EC215F81-0FBB-4C4C-BCD6-F3AFA195C319}" type="sibTrans">
      <dgm:prSet/>
      <dgm:spPr/>
      <dgm:t>
        <a:bodyPr/>
        <a:p>
          <a:endParaRPr lang="zh-CN" altLang="en-US"/>
        </a:p>
      </dgm:t>
    </dgm:pt>
    <dgm:pt modelId="{4750DE45-B32C-45EB-9984-ACB2F300871A}">
      <dgm:prSet phldrT="[文本]" custT="1"/>
      <dgm:spPr/>
      <dgm:t>
        <a:bodyPr/>
        <a:p>
          <a:r>
            <a:rPr lang="zh-CN" altLang="en-US" sz="1000" b="1"/>
            <a:t>纸面工作制度已建立</a:t>
          </a:r>
        </a:p>
      </dgm:t>
    </dgm:pt>
    <dgm:pt modelId="{D91C3EA4-78EE-4416-A602-BCA978E247EB}" cxnId="{83E0F61F-78CD-46EC-8187-850390B53FAD}" type="parTrans">
      <dgm:prSet/>
      <dgm:spPr/>
      <dgm:t>
        <a:bodyPr/>
        <a:p>
          <a:endParaRPr lang="zh-CN" altLang="en-US"/>
        </a:p>
      </dgm:t>
    </dgm:pt>
    <dgm:pt modelId="{C90C3279-40CE-47D9-9A3E-D6D11571C749}" cxnId="{83E0F61F-78CD-46EC-8187-850390B53FAD}" type="sibTrans">
      <dgm:prSet/>
      <dgm:spPr/>
      <dgm:t>
        <a:bodyPr/>
        <a:p>
          <a:endParaRPr lang="zh-CN" altLang="en-US"/>
        </a:p>
      </dgm:t>
    </dgm:pt>
    <dgm:pt modelId="{F7CAF9E0-0539-47DE-84F0-C1CB0BC5DBB6}">
      <dgm:prSet phldrT="[文本]"/>
      <dgm:spPr/>
      <dgm:t>
        <a:bodyPr/>
        <a:p>
          <a:r>
            <a:rPr lang="zh-CN" altLang="en-US"/>
            <a:t>劣势</a:t>
          </a:r>
        </a:p>
      </dgm:t>
    </dgm:pt>
    <dgm:pt modelId="{22C9D596-60CB-4CD8-B29C-BDCD73E66AD8}" cxnId="{8B02FAE7-057E-4EBF-AFAB-C1E442A26660}" type="parTrans">
      <dgm:prSet/>
      <dgm:spPr/>
      <dgm:t>
        <a:bodyPr/>
        <a:p>
          <a:endParaRPr lang="zh-CN" altLang="en-US"/>
        </a:p>
      </dgm:t>
    </dgm:pt>
    <dgm:pt modelId="{E3B334BC-AE2B-450C-B8D5-45936890104F}" cxnId="{8B02FAE7-057E-4EBF-AFAB-C1E442A26660}" type="sibTrans">
      <dgm:prSet/>
      <dgm:spPr/>
      <dgm:t>
        <a:bodyPr/>
        <a:p>
          <a:endParaRPr lang="zh-CN" altLang="en-US"/>
        </a:p>
      </dgm:t>
    </dgm:pt>
    <dgm:pt modelId="{0FA14CF1-1BA5-4852-BD69-DC4F41025FB4}">
      <dgm:prSet phldrT="[文本]" custT="1"/>
      <dgm:spPr/>
      <dgm:t>
        <a:bodyPr/>
        <a:p>
          <a:r>
            <a:rPr lang="zh-CN" altLang="en-US" sz="800" b="1"/>
            <a:t>公平竞争审查工作的人员配置和专业能力仍有待提高</a:t>
          </a:r>
        </a:p>
      </dgm:t>
    </dgm:pt>
    <dgm:pt modelId="{8CBC3E79-70D4-4F17-BFDA-91D2418CC148}" cxnId="{DD79C280-5088-49E8-A25E-E16E6CA7870E}" type="parTrans">
      <dgm:prSet/>
      <dgm:spPr/>
      <dgm:t>
        <a:bodyPr/>
        <a:p>
          <a:endParaRPr lang="zh-CN" altLang="en-US"/>
        </a:p>
      </dgm:t>
    </dgm:pt>
    <dgm:pt modelId="{31E7FDF5-A4F5-43AE-928F-874FFE91698C}" cxnId="{DD79C280-5088-49E8-A25E-E16E6CA7870E}" type="sibTrans">
      <dgm:prSet/>
      <dgm:spPr/>
      <dgm:t>
        <a:bodyPr/>
        <a:p>
          <a:endParaRPr lang="zh-CN" altLang="en-US"/>
        </a:p>
      </dgm:t>
    </dgm:pt>
    <dgm:pt modelId="{9F4BE9CE-7D2C-4053-AF97-35EC8EF2A83B}">
      <dgm:prSet phldrT="[文本]"/>
      <dgm:spPr/>
      <dgm:t>
        <a:bodyPr/>
        <a:p>
          <a:r>
            <a:rPr lang="zh-CN" altLang="en-US"/>
            <a:t>威胁</a:t>
          </a:r>
        </a:p>
      </dgm:t>
    </dgm:pt>
    <dgm:pt modelId="{7DD923C1-59D0-48DC-A5F5-D1AC1EB320EE}" cxnId="{E88ABEB5-6BE3-4BAF-BBDA-81DB9C9980C2}" type="parTrans">
      <dgm:prSet/>
      <dgm:spPr/>
      <dgm:t>
        <a:bodyPr/>
        <a:p>
          <a:endParaRPr lang="zh-CN" altLang="en-US"/>
        </a:p>
      </dgm:t>
    </dgm:pt>
    <dgm:pt modelId="{74FE15DC-4180-4EE9-81C4-94882D02F925}" cxnId="{E88ABEB5-6BE3-4BAF-BBDA-81DB9C9980C2}" type="sibTrans">
      <dgm:prSet/>
      <dgm:spPr/>
      <dgm:t>
        <a:bodyPr/>
        <a:p>
          <a:endParaRPr lang="zh-CN" altLang="en-US"/>
        </a:p>
      </dgm:t>
    </dgm:pt>
    <dgm:pt modelId="{8304DF4B-23CE-4D98-97F1-1974B2BFC8FB}">
      <dgm:prSet phldrT="[文本]"/>
      <dgm:spPr/>
      <dgm:t>
        <a:bodyPr/>
        <a:p>
          <a:r>
            <a:rPr lang="zh-CN" altLang="en-US" b="1"/>
            <a:t>缺乏人力和经费保障以及刚性制度约束</a:t>
          </a:r>
        </a:p>
      </dgm:t>
    </dgm:pt>
    <dgm:pt modelId="{BFC36E37-53E5-4A3A-8090-DABC9117DE2A}" cxnId="{56EED3C2-273C-4101-AD26-DF61689830E4}" type="parTrans">
      <dgm:prSet/>
      <dgm:spPr/>
      <dgm:t>
        <a:bodyPr/>
        <a:p>
          <a:endParaRPr lang="zh-CN" altLang="en-US"/>
        </a:p>
      </dgm:t>
    </dgm:pt>
    <dgm:pt modelId="{D13CF9FC-99F2-4AD4-86D3-440F16CA8FA0}" cxnId="{56EED3C2-273C-4101-AD26-DF61689830E4}" type="sibTrans">
      <dgm:prSet/>
      <dgm:spPr/>
      <dgm:t>
        <a:bodyPr/>
        <a:p>
          <a:endParaRPr lang="zh-CN" altLang="en-US"/>
        </a:p>
      </dgm:t>
    </dgm:pt>
    <dgm:pt modelId="{4A1107CD-05EC-4C99-86AF-4F1A94A23A61}">
      <dgm:prSet phldrT="[文本]"/>
      <dgm:spPr/>
      <dgm:t>
        <a:bodyPr/>
        <a:p>
          <a:r>
            <a:rPr lang="zh-CN" altLang="en-US"/>
            <a:t>机遇</a:t>
          </a:r>
        </a:p>
      </dgm:t>
    </dgm:pt>
    <dgm:pt modelId="{EEA7214C-E73F-4C7C-AEC8-8C7FFAD62375}" cxnId="{F1D0C9CD-EC72-4A76-9DFD-9ED59C81D0C8}" type="parTrans">
      <dgm:prSet/>
      <dgm:spPr/>
      <dgm:t>
        <a:bodyPr/>
        <a:p>
          <a:endParaRPr lang="zh-CN" altLang="en-US"/>
        </a:p>
      </dgm:t>
    </dgm:pt>
    <dgm:pt modelId="{AED9F960-CDE3-45B9-91FA-04F8E214BC13}" cxnId="{F1D0C9CD-EC72-4A76-9DFD-9ED59C81D0C8}" type="sibTrans">
      <dgm:prSet/>
      <dgm:spPr/>
      <dgm:t>
        <a:bodyPr/>
        <a:p>
          <a:endParaRPr lang="zh-CN" altLang="en-US"/>
        </a:p>
      </dgm:t>
    </dgm:pt>
    <dgm:pt modelId="{A588C2F0-F510-4F90-8DDD-2DC5D6C30406}">
      <dgm:prSet phldrT="[文本]"/>
      <dgm:spPr/>
      <dgm:t>
        <a:bodyPr/>
        <a:p>
          <a:r>
            <a:rPr lang="zh-CN" altLang="en-US" b="1"/>
            <a:t>宏观政策地位快速提升</a:t>
          </a:r>
        </a:p>
      </dgm:t>
    </dgm:pt>
    <dgm:pt modelId="{B043A4DE-622C-40B5-A936-E9C5D6CDB09C}" cxnId="{E1AFF74E-1B7B-420A-9D2E-A8BEB40F1D68}" type="parTrans">
      <dgm:prSet/>
      <dgm:spPr/>
      <dgm:t>
        <a:bodyPr/>
        <a:p>
          <a:endParaRPr lang="zh-CN" altLang="en-US"/>
        </a:p>
      </dgm:t>
    </dgm:pt>
    <dgm:pt modelId="{817C4445-FB05-4974-9F61-248D992259A9}" cxnId="{E1AFF74E-1B7B-420A-9D2E-A8BEB40F1D68}" type="sibTrans">
      <dgm:prSet/>
      <dgm:spPr/>
      <dgm:t>
        <a:bodyPr/>
        <a:p>
          <a:endParaRPr lang="zh-CN" altLang="en-US"/>
        </a:p>
      </dgm:t>
    </dgm:pt>
    <dgm:pt modelId="{017551F4-8EBC-48E9-A3EB-37CC515DBC75}">
      <dgm:prSet phldrT="[文本]" custT="1"/>
      <dgm:spPr/>
      <dgm:t>
        <a:bodyPr/>
        <a:p>
          <a:r>
            <a:rPr lang="zh-CN" altLang="en-US" sz="1000" b="1"/>
            <a:t>工作承办股室已明确</a:t>
          </a:r>
        </a:p>
      </dgm:t>
    </dgm:pt>
    <dgm:pt modelId="{335CD46C-DDB1-4D56-B0B9-971099AF389B}" cxnId="{8A3345C8-5B48-4C11-B2EB-CCC274CAB5DB}" type="parTrans">
      <dgm:prSet/>
      <dgm:spPr/>
      <dgm:t>
        <a:bodyPr/>
        <a:p>
          <a:endParaRPr lang="zh-CN" altLang="en-US"/>
        </a:p>
      </dgm:t>
    </dgm:pt>
    <dgm:pt modelId="{018CD201-5EE6-45CB-A2DC-1F210700ADA9}" cxnId="{8A3345C8-5B48-4C11-B2EB-CCC274CAB5DB}" type="sibTrans">
      <dgm:prSet/>
      <dgm:spPr/>
      <dgm:t>
        <a:bodyPr/>
        <a:p>
          <a:endParaRPr lang="zh-CN" altLang="en-US"/>
        </a:p>
      </dgm:t>
    </dgm:pt>
    <dgm:pt modelId="{1759CD82-A7B4-48D7-9FCF-123FC4FE18EA}">
      <dgm:prSet phldrT="[文本]" custT="1"/>
      <dgm:spPr/>
      <dgm:t>
        <a:bodyPr/>
        <a:p>
          <a:r>
            <a:rPr lang="zh-CN" altLang="en-US" sz="800" b="1"/>
            <a:t>大多数成员单位的公平竞争审查工作流于形式</a:t>
          </a:r>
        </a:p>
      </dgm:t>
    </dgm:pt>
    <dgm:pt modelId="{C2031731-FB32-4E6D-A668-5C7174BCEE16}" cxnId="{1D0DC51A-706C-4C1D-B6EF-0FEFC99E8C6D}" type="parTrans">
      <dgm:prSet/>
      <dgm:spPr/>
      <dgm:t>
        <a:bodyPr/>
        <a:p>
          <a:endParaRPr lang="zh-CN" altLang="en-US"/>
        </a:p>
      </dgm:t>
    </dgm:pt>
    <dgm:pt modelId="{6822C6E6-B6EB-4F6E-9A79-55E2E74963DE}" cxnId="{1D0DC51A-706C-4C1D-B6EF-0FEFC99E8C6D}" type="sibTrans">
      <dgm:prSet/>
      <dgm:spPr/>
      <dgm:t>
        <a:bodyPr/>
        <a:p>
          <a:endParaRPr lang="zh-CN" altLang="en-US"/>
        </a:p>
      </dgm:t>
    </dgm:pt>
    <dgm:pt modelId="{F361B88A-9B6B-483E-B2D9-14FBEB87EDD9}" type="pres">
      <dgm:prSet presAssocID="{DF3A84AC-9E72-4956-8CBF-871023147976}" presName="cycleMatrixDiagram" presStyleCnt="0">
        <dgm:presLayoutVars>
          <dgm:chMax val="1"/>
          <dgm:dir/>
          <dgm:animLvl val="lvl"/>
          <dgm:resizeHandles val="exact"/>
        </dgm:presLayoutVars>
      </dgm:prSet>
      <dgm:spPr/>
    </dgm:pt>
    <dgm:pt modelId="{E383C681-C21A-47D1-9592-B8BCF5D0909B}" type="pres">
      <dgm:prSet presAssocID="{DF3A84AC-9E72-4956-8CBF-871023147976}" presName="children" presStyleCnt="0"/>
      <dgm:spPr/>
    </dgm:pt>
    <dgm:pt modelId="{116AC277-1DE6-4BA4-8EEE-AFE310565F3C}" type="pres">
      <dgm:prSet presAssocID="{DF3A84AC-9E72-4956-8CBF-871023147976}" presName="child1group" presStyleCnt="0"/>
      <dgm:spPr/>
    </dgm:pt>
    <dgm:pt modelId="{0A06F9B3-0C21-4A60-A210-8BF1EEF796FB}" type="pres">
      <dgm:prSet presAssocID="{DF3A84AC-9E72-4956-8CBF-871023147976}" presName="child1" presStyleLbl="bgAcc1" presStyleIdx="0" presStyleCnt="4"/>
      <dgm:spPr/>
    </dgm:pt>
    <dgm:pt modelId="{95FC501F-7FAC-47B5-B62D-A8CA2B35C0A0}" type="pres">
      <dgm:prSet presAssocID="{DF3A84AC-9E72-4956-8CBF-871023147976}" presName="child1Text" presStyleLbl="bgAcc1" presStyleIdx="0" presStyleCnt="4">
        <dgm:presLayoutVars>
          <dgm:bulletEnabled val="1"/>
        </dgm:presLayoutVars>
      </dgm:prSet>
      <dgm:spPr/>
    </dgm:pt>
    <dgm:pt modelId="{A48B2AD0-00C6-4048-B7C4-5264BA16EE08}" type="pres">
      <dgm:prSet presAssocID="{DF3A84AC-9E72-4956-8CBF-871023147976}" presName="child2group" presStyleCnt="0"/>
      <dgm:spPr/>
    </dgm:pt>
    <dgm:pt modelId="{A707A5B3-D2D8-4AF9-A048-781750C220B7}" type="pres">
      <dgm:prSet presAssocID="{DF3A84AC-9E72-4956-8CBF-871023147976}" presName="child2" presStyleLbl="bgAcc1" presStyleIdx="1" presStyleCnt="4" custLinFactNeighborX="10863" custLinFactNeighborY="-1290"/>
      <dgm:spPr/>
    </dgm:pt>
    <dgm:pt modelId="{5610AE91-FA9F-4471-8725-A6D37DCBE653}" type="pres">
      <dgm:prSet presAssocID="{DF3A84AC-9E72-4956-8CBF-871023147976}" presName="child2Text" presStyleLbl="bgAcc1" presStyleIdx="1" presStyleCnt="4">
        <dgm:presLayoutVars>
          <dgm:bulletEnabled val="1"/>
        </dgm:presLayoutVars>
      </dgm:prSet>
      <dgm:spPr/>
    </dgm:pt>
    <dgm:pt modelId="{FB750749-167D-4111-A784-5D40E19B18A7}" type="pres">
      <dgm:prSet presAssocID="{DF3A84AC-9E72-4956-8CBF-871023147976}" presName="child3group" presStyleCnt="0"/>
      <dgm:spPr/>
    </dgm:pt>
    <dgm:pt modelId="{FE1C7865-5C29-42DA-B349-87B7B7A64F2B}" type="pres">
      <dgm:prSet presAssocID="{DF3A84AC-9E72-4956-8CBF-871023147976}" presName="child3" presStyleLbl="bgAcc1" presStyleIdx="2" presStyleCnt="4"/>
      <dgm:spPr/>
    </dgm:pt>
    <dgm:pt modelId="{F4348EEA-ADE4-45E4-A9C0-46A6E97EE9E4}" type="pres">
      <dgm:prSet presAssocID="{DF3A84AC-9E72-4956-8CBF-871023147976}" presName="child3Text" presStyleLbl="bgAcc1" presStyleIdx="2" presStyleCnt="4">
        <dgm:presLayoutVars>
          <dgm:bulletEnabled val="1"/>
        </dgm:presLayoutVars>
      </dgm:prSet>
      <dgm:spPr/>
    </dgm:pt>
    <dgm:pt modelId="{96D73233-6150-4389-9387-479A9CEEBE4E}" type="pres">
      <dgm:prSet presAssocID="{DF3A84AC-9E72-4956-8CBF-871023147976}" presName="child4group" presStyleCnt="0"/>
      <dgm:spPr/>
    </dgm:pt>
    <dgm:pt modelId="{14EC3E13-5038-4E66-8B88-726835DA065E}" type="pres">
      <dgm:prSet presAssocID="{DF3A84AC-9E72-4956-8CBF-871023147976}" presName="child4" presStyleLbl="bgAcc1" presStyleIdx="3" presStyleCnt="4"/>
      <dgm:spPr/>
    </dgm:pt>
    <dgm:pt modelId="{68443698-E837-4AE4-AD1A-68D3BC9E3DB5}" type="pres">
      <dgm:prSet presAssocID="{DF3A84AC-9E72-4956-8CBF-871023147976}" presName="child4Text" presStyleLbl="bgAcc1" presStyleIdx="3" presStyleCnt="4">
        <dgm:presLayoutVars>
          <dgm:bulletEnabled val="1"/>
        </dgm:presLayoutVars>
      </dgm:prSet>
      <dgm:spPr/>
    </dgm:pt>
    <dgm:pt modelId="{887EAAB4-ACDD-465D-AC0C-43E512C9F1D7}" type="pres">
      <dgm:prSet presAssocID="{DF3A84AC-9E72-4956-8CBF-871023147976}" presName="childPlaceholder" presStyleCnt="0"/>
      <dgm:spPr/>
    </dgm:pt>
    <dgm:pt modelId="{7DD1F9B6-E885-494F-8F9A-52F8E3AED669}" type="pres">
      <dgm:prSet presAssocID="{DF3A84AC-9E72-4956-8CBF-871023147976}" presName="circle" presStyleCnt="0"/>
      <dgm:spPr/>
    </dgm:pt>
    <dgm:pt modelId="{451EC9CF-D9EB-47E8-9075-96B29D0D0762}" type="pres">
      <dgm:prSet presAssocID="{DF3A84AC-9E72-4956-8CBF-871023147976}" presName="quadrant1" presStyleLbl="node1" presStyleIdx="0" presStyleCnt="4">
        <dgm:presLayoutVars>
          <dgm:chMax val="1"/>
          <dgm:bulletEnabled val="1"/>
        </dgm:presLayoutVars>
      </dgm:prSet>
      <dgm:spPr/>
    </dgm:pt>
    <dgm:pt modelId="{BFB0A497-2320-4458-8C36-18F1198D5A94}" type="pres">
      <dgm:prSet presAssocID="{DF3A84AC-9E72-4956-8CBF-871023147976}" presName="quadrant2" presStyleLbl="node1" presStyleIdx="1" presStyleCnt="4">
        <dgm:presLayoutVars>
          <dgm:chMax val="1"/>
          <dgm:bulletEnabled val="1"/>
        </dgm:presLayoutVars>
      </dgm:prSet>
      <dgm:spPr/>
    </dgm:pt>
    <dgm:pt modelId="{7B27A74C-B696-4DFF-81EC-6AB9FC7E0298}" type="pres">
      <dgm:prSet presAssocID="{DF3A84AC-9E72-4956-8CBF-871023147976}" presName="quadrant3" presStyleLbl="node1" presStyleIdx="2" presStyleCnt="4">
        <dgm:presLayoutVars>
          <dgm:chMax val="1"/>
          <dgm:bulletEnabled val="1"/>
        </dgm:presLayoutVars>
      </dgm:prSet>
      <dgm:spPr/>
    </dgm:pt>
    <dgm:pt modelId="{2E18B6E6-F0C9-4EDB-8345-F30168455501}" type="pres">
      <dgm:prSet presAssocID="{DF3A84AC-9E72-4956-8CBF-871023147976}" presName="quadrant4" presStyleLbl="node1" presStyleIdx="3" presStyleCnt="4">
        <dgm:presLayoutVars>
          <dgm:chMax val="1"/>
          <dgm:bulletEnabled val="1"/>
        </dgm:presLayoutVars>
      </dgm:prSet>
      <dgm:spPr/>
    </dgm:pt>
    <dgm:pt modelId="{11EB4A5F-D00A-4BA2-BCB2-2B2631942149}" type="pres">
      <dgm:prSet presAssocID="{DF3A84AC-9E72-4956-8CBF-871023147976}" presName="quadrantPlaceholder" presStyleCnt="0"/>
      <dgm:spPr/>
    </dgm:pt>
    <dgm:pt modelId="{9529B7D0-6968-4909-9B9F-1DAEBB764C26}" type="pres">
      <dgm:prSet presAssocID="{DF3A84AC-9E72-4956-8CBF-871023147976}" presName="center1" presStyleLbl="fgShp" presStyleIdx="0" presStyleCnt="2"/>
      <dgm:spPr/>
    </dgm:pt>
    <dgm:pt modelId="{11AD7F89-786F-4535-AC5C-C35D787FA09F}" type="pres">
      <dgm:prSet presAssocID="{DF3A84AC-9E72-4956-8CBF-871023147976}" presName="center2" presStyleLbl="fgShp" presStyleIdx="1" presStyleCnt="2"/>
      <dgm:spPr/>
    </dgm:pt>
  </dgm:ptLst>
  <dgm:cxnLst>
    <dgm:cxn modelId="{F67B6719-4F63-442E-B8D0-46290D3F3CD4}" type="presOf" srcId="{02FF707A-5CCA-4E92-8AE2-357C744B072B}" destId="{451EC9CF-D9EB-47E8-9075-96B29D0D0762}" srcOrd="0" destOrd="0" presId="urn:microsoft.com/office/officeart/2005/8/layout/cycle4"/>
    <dgm:cxn modelId="{1D0DC51A-706C-4C1D-B6EF-0FEFC99E8C6D}" srcId="{F7CAF9E0-0539-47DE-84F0-C1CB0BC5DBB6}" destId="{1759CD82-A7B4-48D7-9FCF-123FC4FE18EA}" srcOrd="1" destOrd="0" parTransId="{C2031731-FB32-4E6D-A668-5C7174BCEE16}" sibTransId="{6822C6E6-B6EB-4F6E-9A79-55E2E74963DE}"/>
    <dgm:cxn modelId="{83E0F61F-78CD-46EC-8187-850390B53FAD}" srcId="{02FF707A-5CCA-4E92-8AE2-357C744B072B}" destId="{4750DE45-B32C-45EB-9984-ACB2F300871A}" srcOrd="0" destOrd="0" parTransId="{D91C3EA4-78EE-4416-A602-BCA978E247EB}" sibTransId="{C90C3279-40CE-47D9-9A3E-D6D11571C749}"/>
    <dgm:cxn modelId="{67620D27-41EE-4B94-A294-55BEDB3F78BC}" type="presOf" srcId="{0FA14CF1-1BA5-4852-BD69-DC4F41025FB4}" destId="{A707A5B3-D2D8-4AF9-A048-781750C220B7}" srcOrd="0" destOrd="0" presId="urn:microsoft.com/office/officeart/2005/8/layout/cycle4"/>
    <dgm:cxn modelId="{5251B05B-B891-4BBF-9EAE-DE4F8DE1D34E}" type="presOf" srcId="{A588C2F0-F510-4F90-8DDD-2DC5D6C30406}" destId="{14EC3E13-5038-4E66-8B88-726835DA065E}" srcOrd="0" destOrd="0" presId="urn:microsoft.com/office/officeart/2005/8/layout/cycle4"/>
    <dgm:cxn modelId="{B7E99546-771F-4B1E-8079-FF62DA9DD5B2}" type="presOf" srcId="{A588C2F0-F510-4F90-8DDD-2DC5D6C30406}" destId="{68443698-E837-4AE4-AD1A-68D3BC9E3DB5}" srcOrd="1" destOrd="0" presId="urn:microsoft.com/office/officeart/2005/8/layout/cycle4"/>
    <dgm:cxn modelId="{370CA347-EFA8-4F41-B041-5C13EAF43B6B}" type="presOf" srcId="{0FA14CF1-1BA5-4852-BD69-DC4F41025FB4}" destId="{5610AE91-FA9F-4471-8725-A6D37DCBE653}" srcOrd="1" destOrd="0" presId="urn:microsoft.com/office/officeart/2005/8/layout/cycle4"/>
    <dgm:cxn modelId="{E1AFF74E-1B7B-420A-9D2E-A8BEB40F1D68}" srcId="{4A1107CD-05EC-4C99-86AF-4F1A94A23A61}" destId="{A588C2F0-F510-4F90-8DDD-2DC5D6C30406}" srcOrd="0" destOrd="0" parTransId="{B043A4DE-622C-40B5-A936-E9C5D6CDB09C}" sibTransId="{817C4445-FB05-4974-9F61-248D992259A9}"/>
    <dgm:cxn modelId="{D5991371-44A6-41FA-8B5E-D62E8CC08745}" type="presOf" srcId="{F7CAF9E0-0539-47DE-84F0-C1CB0BC5DBB6}" destId="{BFB0A497-2320-4458-8C36-18F1198D5A94}" srcOrd="0" destOrd="0" presId="urn:microsoft.com/office/officeart/2005/8/layout/cycle4"/>
    <dgm:cxn modelId="{FA6FB875-9314-477E-BF6E-F641E6B0B910}" type="presOf" srcId="{017551F4-8EBC-48E9-A3EB-37CC515DBC75}" destId="{0A06F9B3-0C21-4A60-A210-8BF1EEF796FB}" srcOrd="0" destOrd="1" presId="urn:microsoft.com/office/officeart/2005/8/layout/cycle4"/>
    <dgm:cxn modelId="{1A1ECA78-9155-4BFB-9CAA-87CE59D2EE0C}" type="presOf" srcId="{4750DE45-B32C-45EB-9984-ACB2F300871A}" destId="{95FC501F-7FAC-47B5-B62D-A8CA2B35C0A0}" srcOrd="1" destOrd="0" presId="urn:microsoft.com/office/officeart/2005/8/layout/cycle4"/>
    <dgm:cxn modelId="{509A2180-5391-4555-9558-C913DBE17E04}" type="presOf" srcId="{1759CD82-A7B4-48D7-9FCF-123FC4FE18EA}" destId="{A707A5B3-D2D8-4AF9-A048-781750C220B7}" srcOrd="0" destOrd="1" presId="urn:microsoft.com/office/officeart/2005/8/layout/cycle4"/>
    <dgm:cxn modelId="{DD79C280-5088-49E8-A25E-E16E6CA7870E}" srcId="{F7CAF9E0-0539-47DE-84F0-C1CB0BC5DBB6}" destId="{0FA14CF1-1BA5-4852-BD69-DC4F41025FB4}" srcOrd="0" destOrd="0" parTransId="{8CBC3E79-70D4-4F17-BFDA-91D2418CC148}" sibTransId="{31E7FDF5-A4F5-43AE-928F-874FFE91698C}"/>
    <dgm:cxn modelId="{EC215F81-0FBB-4C4C-BCD6-F3AFA195C319}" srcId="{DF3A84AC-9E72-4956-8CBF-871023147976}" destId="{02FF707A-5CCA-4E92-8AE2-357C744B072B}" srcOrd="0" destOrd="0" parTransId="{B13975E7-B8C8-49D8-926B-95DE41815F74}" sibTransId="{7C4F2EB5-313F-4CA4-AEAD-2143284CA42C}"/>
    <dgm:cxn modelId="{9751238F-2E3C-47C3-9E64-0A6D5E2AEF61}" type="presOf" srcId="{9F4BE9CE-7D2C-4053-AF97-35EC8EF2A83B}" destId="{7B27A74C-B696-4DFF-81EC-6AB9FC7E0298}" srcOrd="0" destOrd="0" presId="urn:microsoft.com/office/officeart/2005/8/layout/cycle4"/>
    <dgm:cxn modelId="{DB3F08A0-3302-4341-B95C-625C450AEF28}" type="presOf" srcId="{8304DF4B-23CE-4D98-97F1-1974B2BFC8FB}" destId="{F4348EEA-ADE4-45E4-A9C0-46A6E97EE9E4}" srcOrd="1" destOrd="0" presId="urn:microsoft.com/office/officeart/2005/8/layout/cycle4"/>
    <dgm:cxn modelId="{3163CAA4-01BE-4F33-B1AB-008B56866F19}" type="presOf" srcId="{1759CD82-A7B4-48D7-9FCF-123FC4FE18EA}" destId="{5610AE91-FA9F-4471-8725-A6D37DCBE653}" srcOrd="1" destOrd="1" presId="urn:microsoft.com/office/officeart/2005/8/layout/cycle4"/>
    <dgm:cxn modelId="{F73003A7-B611-4B8C-9EB5-3A4C4ACE4AAB}" type="presOf" srcId="{017551F4-8EBC-48E9-A3EB-37CC515DBC75}" destId="{95FC501F-7FAC-47B5-B62D-A8CA2B35C0A0}" srcOrd="1" destOrd="1" presId="urn:microsoft.com/office/officeart/2005/8/layout/cycle4"/>
    <dgm:cxn modelId="{E88ABEB5-6BE3-4BAF-BBDA-81DB9C9980C2}" srcId="{DF3A84AC-9E72-4956-8CBF-871023147976}" destId="{9F4BE9CE-7D2C-4053-AF97-35EC8EF2A83B}" srcOrd="2" destOrd="0" parTransId="{7DD923C1-59D0-48DC-A5F5-D1AC1EB320EE}" sibTransId="{74FE15DC-4180-4EE9-81C4-94882D02F925}"/>
    <dgm:cxn modelId="{D20F6EC1-A6DB-4B67-AA6D-2AFCDA26C3DE}" type="presOf" srcId="{DF3A84AC-9E72-4956-8CBF-871023147976}" destId="{F361B88A-9B6B-483E-B2D9-14FBEB87EDD9}" srcOrd="0" destOrd="0" presId="urn:microsoft.com/office/officeart/2005/8/layout/cycle4"/>
    <dgm:cxn modelId="{56EED3C2-273C-4101-AD26-DF61689830E4}" srcId="{9F4BE9CE-7D2C-4053-AF97-35EC8EF2A83B}" destId="{8304DF4B-23CE-4D98-97F1-1974B2BFC8FB}" srcOrd="0" destOrd="0" parTransId="{BFC36E37-53E5-4A3A-8090-DABC9117DE2A}" sibTransId="{D13CF9FC-99F2-4AD4-86D3-440F16CA8FA0}"/>
    <dgm:cxn modelId="{8A3345C8-5B48-4C11-B2EB-CCC274CAB5DB}" srcId="{02FF707A-5CCA-4E92-8AE2-357C744B072B}" destId="{017551F4-8EBC-48E9-A3EB-37CC515DBC75}" srcOrd="1" destOrd="0" parTransId="{335CD46C-DDB1-4D56-B0B9-971099AF389B}" sibTransId="{018CD201-5EE6-45CB-A2DC-1F210700ADA9}"/>
    <dgm:cxn modelId="{F1D0C9CD-EC72-4A76-9DFD-9ED59C81D0C8}" srcId="{DF3A84AC-9E72-4956-8CBF-871023147976}" destId="{4A1107CD-05EC-4C99-86AF-4F1A94A23A61}" srcOrd="3" destOrd="0" parTransId="{EEA7214C-E73F-4C7C-AEC8-8C7FFAD62375}" sibTransId="{AED9F960-CDE3-45B9-91FA-04F8E214BC13}"/>
    <dgm:cxn modelId="{BDBB22DB-5114-4B91-9B37-0ECCB01B4FD1}" type="presOf" srcId="{8304DF4B-23CE-4D98-97F1-1974B2BFC8FB}" destId="{FE1C7865-5C29-42DA-B349-87B7B7A64F2B}" srcOrd="0" destOrd="0" presId="urn:microsoft.com/office/officeart/2005/8/layout/cycle4"/>
    <dgm:cxn modelId="{8B02FAE7-057E-4EBF-AFAB-C1E442A26660}" srcId="{DF3A84AC-9E72-4956-8CBF-871023147976}" destId="{F7CAF9E0-0539-47DE-84F0-C1CB0BC5DBB6}" srcOrd="1" destOrd="0" parTransId="{22C9D596-60CB-4CD8-B29C-BDCD73E66AD8}" sibTransId="{E3B334BC-AE2B-450C-B8D5-45936890104F}"/>
    <dgm:cxn modelId="{26950FEF-F896-4D98-AFA4-E260E744C2A3}" type="presOf" srcId="{4750DE45-B32C-45EB-9984-ACB2F300871A}" destId="{0A06F9B3-0C21-4A60-A210-8BF1EEF796FB}" srcOrd="0" destOrd="0" presId="urn:microsoft.com/office/officeart/2005/8/layout/cycle4"/>
    <dgm:cxn modelId="{66CE5DFD-D912-411C-AFBD-D8CC5F56AF16}" type="presOf" srcId="{4A1107CD-05EC-4C99-86AF-4F1A94A23A61}" destId="{2E18B6E6-F0C9-4EDB-8345-F30168455501}" srcOrd="0" destOrd="0" presId="urn:microsoft.com/office/officeart/2005/8/layout/cycle4"/>
    <dgm:cxn modelId="{B6628761-7DFF-43DA-B0D6-298374ABBF97}" type="presParOf" srcId="{F361B88A-9B6B-483E-B2D9-14FBEB87EDD9}" destId="{E383C681-C21A-47D1-9592-B8BCF5D0909B}" srcOrd="0" destOrd="0" presId="urn:microsoft.com/office/officeart/2005/8/layout/cycle4"/>
    <dgm:cxn modelId="{7E20C40D-9133-46D9-BBE8-E3D87A7FECED}" type="presParOf" srcId="{E383C681-C21A-47D1-9592-B8BCF5D0909B}" destId="{116AC277-1DE6-4BA4-8EEE-AFE310565F3C}" srcOrd="0" destOrd="0" presId="urn:microsoft.com/office/officeart/2005/8/layout/cycle4"/>
    <dgm:cxn modelId="{2439755E-3D28-42DB-A362-FAA8E38B6973}" type="presParOf" srcId="{116AC277-1DE6-4BA4-8EEE-AFE310565F3C}" destId="{0A06F9B3-0C21-4A60-A210-8BF1EEF796FB}" srcOrd="0" destOrd="0" presId="urn:microsoft.com/office/officeart/2005/8/layout/cycle4"/>
    <dgm:cxn modelId="{473AA35C-F087-46EE-9A5F-45576CB63342}" type="presParOf" srcId="{116AC277-1DE6-4BA4-8EEE-AFE310565F3C}" destId="{95FC501F-7FAC-47B5-B62D-A8CA2B35C0A0}" srcOrd="1" destOrd="0" presId="urn:microsoft.com/office/officeart/2005/8/layout/cycle4"/>
    <dgm:cxn modelId="{B0A9589B-F62A-463C-9878-B4BEE63B07EF}" type="presParOf" srcId="{E383C681-C21A-47D1-9592-B8BCF5D0909B}" destId="{A48B2AD0-00C6-4048-B7C4-5264BA16EE08}" srcOrd="1" destOrd="0" presId="urn:microsoft.com/office/officeart/2005/8/layout/cycle4"/>
    <dgm:cxn modelId="{E6E31E9F-9B37-4B40-9E3D-0B2868521639}" type="presParOf" srcId="{A48B2AD0-00C6-4048-B7C4-5264BA16EE08}" destId="{A707A5B3-D2D8-4AF9-A048-781750C220B7}" srcOrd="0" destOrd="0" presId="urn:microsoft.com/office/officeart/2005/8/layout/cycle4"/>
    <dgm:cxn modelId="{292F3DA3-AC25-4D35-B6EB-684A6E44DFA6}" type="presParOf" srcId="{A48B2AD0-00C6-4048-B7C4-5264BA16EE08}" destId="{5610AE91-FA9F-4471-8725-A6D37DCBE653}" srcOrd="1" destOrd="0" presId="urn:microsoft.com/office/officeart/2005/8/layout/cycle4"/>
    <dgm:cxn modelId="{A98AE5E2-B552-4676-A602-3DCACA9C8142}" type="presParOf" srcId="{E383C681-C21A-47D1-9592-B8BCF5D0909B}" destId="{FB750749-167D-4111-A784-5D40E19B18A7}" srcOrd="2" destOrd="0" presId="urn:microsoft.com/office/officeart/2005/8/layout/cycle4"/>
    <dgm:cxn modelId="{FE72977A-5CBF-4EA7-9C41-FFCF71B713E4}" type="presParOf" srcId="{FB750749-167D-4111-A784-5D40E19B18A7}" destId="{FE1C7865-5C29-42DA-B349-87B7B7A64F2B}" srcOrd="0" destOrd="0" presId="urn:microsoft.com/office/officeart/2005/8/layout/cycle4"/>
    <dgm:cxn modelId="{3BC23BB2-89B3-4CB0-9E9E-2815F17A4557}" type="presParOf" srcId="{FB750749-167D-4111-A784-5D40E19B18A7}" destId="{F4348EEA-ADE4-45E4-A9C0-46A6E97EE9E4}" srcOrd="1" destOrd="0" presId="urn:microsoft.com/office/officeart/2005/8/layout/cycle4"/>
    <dgm:cxn modelId="{78648D86-7FD1-4EEE-89C2-A4C436453ECA}" type="presParOf" srcId="{E383C681-C21A-47D1-9592-B8BCF5D0909B}" destId="{96D73233-6150-4389-9387-479A9CEEBE4E}" srcOrd="3" destOrd="0" presId="urn:microsoft.com/office/officeart/2005/8/layout/cycle4"/>
    <dgm:cxn modelId="{D2BFFDD7-713B-4F96-AF5F-E7E45A9FEE75}" type="presParOf" srcId="{96D73233-6150-4389-9387-479A9CEEBE4E}" destId="{14EC3E13-5038-4E66-8B88-726835DA065E}" srcOrd="0" destOrd="0" presId="urn:microsoft.com/office/officeart/2005/8/layout/cycle4"/>
    <dgm:cxn modelId="{641E6FA4-DD79-4A54-B16D-0925EBD356A6}" type="presParOf" srcId="{96D73233-6150-4389-9387-479A9CEEBE4E}" destId="{68443698-E837-4AE4-AD1A-68D3BC9E3DB5}" srcOrd="1" destOrd="0" presId="urn:microsoft.com/office/officeart/2005/8/layout/cycle4"/>
    <dgm:cxn modelId="{D853E41A-ABD0-4288-BD9B-3D24B9AA72ED}" type="presParOf" srcId="{E383C681-C21A-47D1-9592-B8BCF5D0909B}" destId="{887EAAB4-ACDD-465D-AC0C-43E512C9F1D7}" srcOrd="4" destOrd="0" presId="urn:microsoft.com/office/officeart/2005/8/layout/cycle4"/>
    <dgm:cxn modelId="{36A90F51-168F-4C97-AA5B-6ABCF9E94989}" type="presParOf" srcId="{F361B88A-9B6B-483E-B2D9-14FBEB87EDD9}" destId="{7DD1F9B6-E885-494F-8F9A-52F8E3AED669}" srcOrd="1" destOrd="0" presId="urn:microsoft.com/office/officeart/2005/8/layout/cycle4"/>
    <dgm:cxn modelId="{EDB9EE04-FF65-4007-92FD-58C84862A3AE}" type="presParOf" srcId="{7DD1F9B6-E885-494F-8F9A-52F8E3AED669}" destId="{451EC9CF-D9EB-47E8-9075-96B29D0D0762}" srcOrd="0" destOrd="0" presId="urn:microsoft.com/office/officeart/2005/8/layout/cycle4"/>
    <dgm:cxn modelId="{65C57396-D762-4DA1-8C82-024713E7AC86}" type="presParOf" srcId="{7DD1F9B6-E885-494F-8F9A-52F8E3AED669}" destId="{BFB0A497-2320-4458-8C36-18F1198D5A94}" srcOrd="1" destOrd="0" presId="urn:microsoft.com/office/officeart/2005/8/layout/cycle4"/>
    <dgm:cxn modelId="{08C5BD8E-ED03-4BFC-8C41-F465E4676955}" type="presParOf" srcId="{7DD1F9B6-E885-494F-8F9A-52F8E3AED669}" destId="{7B27A74C-B696-4DFF-81EC-6AB9FC7E0298}" srcOrd="2" destOrd="0" presId="urn:microsoft.com/office/officeart/2005/8/layout/cycle4"/>
    <dgm:cxn modelId="{4ABF3972-0F13-4D7D-8A19-DF5CC89D457D}" type="presParOf" srcId="{7DD1F9B6-E885-494F-8F9A-52F8E3AED669}" destId="{2E18B6E6-F0C9-4EDB-8345-F30168455501}" srcOrd="3" destOrd="0" presId="urn:microsoft.com/office/officeart/2005/8/layout/cycle4"/>
    <dgm:cxn modelId="{E3F40DBB-0055-4E58-BD28-2ADED53BAD64}" type="presParOf" srcId="{7DD1F9B6-E885-494F-8F9A-52F8E3AED669}" destId="{11EB4A5F-D00A-4BA2-BCB2-2B2631942149}" srcOrd="4" destOrd="0" presId="urn:microsoft.com/office/officeart/2005/8/layout/cycle4"/>
    <dgm:cxn modelId="{7EDF3E6B-5FB1-4096-9E4F-C4758D670CB6}" type="presParOf" srcId="{F361B88A-9B6B-483E-B2D9-14FBEB87EDD9}" destId="{9529B7D0-6968-4909-9B9F-1DAEBB764C26}" srcOrd="2" destOrd="0" presId="urn:microsoft.com/office/officeart/2005/8/layout/cycle4"/>
    <dgm:cxn modelId="{EF66AE51-55BC-4D5C-BFEC-DE86E1E009CF}" type="presParOf" srcId="{F361B88A-9B6B-483E-B2D9-14FBEB87EDD9}" destId="{11AD7F89-786F-4535-AC5C-C35D787FA09F}" srcOrd="3" destOrd="0" presId="urn:microsoft.com/office/officeart/2005/8/layout/cycle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C7865-5C29-42DA-B349-87B7B7A64F2B}">
      <dsp:nvSpPr>
        <dsp:cNvPr id="0" name=""/>
        <dsp:cNvSpPr/>
      </dsp:nvSpPr>
      <dsp:spPr>
        <a:xfrm>
          <a:off x="3117100" y="2092070"/>
          <a:ext cx="1519828" cy="9845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57150" lvl="1" indent="-57150" algn="l" defTabSz="488950">
            <a:lnSpc>
              <a:spcPct val="90000"/>
            </a:lnSpc>
            <a:spcBef>
              <a:spcPct val="0"/>
            </a:spcBef>
            <a:spcAft>
              <a:spcPct val="15000"/>
            </a:spcAft>
            <a:buChar char="•"/>
          </a:pPr>
          <a:r>
            <a:rPr lang="zh-CN" altLang="en-US" sz="1100" b="1" kern="1200"/>
            <a:t>缺乏人力和经费保障以及刚性制度约束</a:t>
          </a:r>
        </a:p>
      </dsp:txBody>
      <dsp:txXfrm>
        <a:off x="3594675" y="2359822"/>
        <a:ext cx="1020627" cy="695126"/>
      </dsp:txXfrm>
    </dsp:sp>
    <dsp:sp modelId="{14EC3E13-5038-4E66-8B88-726835DA065E}">
      <dsp:nvSpPr>
        <dsp:cNvPr id="0" name=""/>
        <dsp:cNvSpPr/>
      </dsp:nvSpPr>
      <dsp:spPr>
        <a:xfrm>
          <a:off x="637381" y="2092070"/>
          <a:ext cx="1519828" cy="9845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57150" lvl="1" indent="-57150" algn="l" defTabSz="488950">
            <a:lnSpc>
              <a:spcPct val="90000"/>
            </a:lnSpc>
            <a:spcBef>
              <a:spcPct val="0"/>
            </a:spcBef>
            <a:spcAft>
              <a:spcPct val="15000"/>
            </a:spcAft>
            <a:buChar char="•"/>
          </a:pPr>
          <a:r>
            <a:rPr lang="zh-CN" altLang="en-US" sz="1100" b="1" kern="1200"/>
            <a:t>宏观政策地位快速提升</a:t>
          </a:r>
        </a:p>
      </dsp:txBody>
      <dsp:txXfrm>
        <a:off x="659007" y="2359822"/>
        <a:ext cx="1020627" cy="695126"/>
      </dsp:txXfrm>
    </dsp:sp>
    <dsp:sp modelId="{A707A5B3-D2D8-4AF9-A048-781750C220B7}">
      <dsp:nvSpPr>
        <dsp:cNvPr id="0" name=""/>
        <dsp:cNvSpPr/>
      </dsp:nvSpPr>
      <dsp:spPr>
        <a:xfrm>
          <a:off x="3282199" y="0"/>
          <a:ext cx="1519828" cy="9845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zh-CN" altLang="en-US" sz="800" b="1" kern="1200"/>
            <a:t>公平竞争审查工作的人员配置和专业能力仍有待提高</a:t>
          </a:r>
        </a:p>
        <a:p>
          <a:pPr marL="57150" lvl="1" indent="-57150" algn="l" defTabSz="355600">
            <a:lnSpc>
              <a:spcPct val="90000"/>
            </a:lnSpc>
            <a:spcBef>
              <a:spcPct val="0"/>
            </a:spcBef>
            <a:spcAft>
              <a:spcPct val="15000"/>
            </a:spcAft>
            <a:buChar char="•"/>
          </a:pPr>
          <a:r>
            <a:rPr lang="zh-CN" altLang="en-US" sz="800" b="1" kern="1200"/>
            <a:t>大多数成员单位的公平竞争审查工作流于形式</a:t>
          </a:r>
        </a:p>
      </dsp:txBody>
      <dsp:txXfrm>
        <a:off x="3759774" y="21626"/>
        <a:ext cx="1020627" cy="695126"/>
      </dsp:txXfrm>
    </dsp:sp>
    <dsp:sp modelId="{0A06F9B3-0C21-4A60-A210-8BF1EEF796FB}">
      <dsp:nvSpPr>
        <dsp:cNvPr id="0" name=""/>
        <dsp:cNvSpPr/>
      </dsp:nvSpPr>
      <dsp:spPr>
        <a:xfrm>
          <a:off x="637381" y="0"/>
          <a:ext cx="1519828" cy="9845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zh-CN" altLang="en-US" sz="1000" b="1" kern="1200"/>
            <a:t>纸面工作制度已建立</a:t>
          </a:r>
        </a:p>
        <a:p>
          <a:pPr marL="57150" lvl="1" indent="-57150" algn="l" defTabSz="444500">
            <a:lnSpc>
              <a:spcPct val="90000"/>
            </a:lnSpc>
            <a:spcBef>
              <a:spcPct val="0"/>
            </a:spcBef>
            <a:spcAft>
              <a:spcPct val="15000"/>
            </a:spcAft>
            <a:buChar char="•"/>
          </a:pPr>
          <a:r>
            <a:rPr lang="zh-CN" altLang="en-US" sz="1000" b="1" kern="1200"/>
            <a:t>工作承办股室已明确</a:t>
          </a:r>
        </a:p>
      </dsp:txBody>
      <dsp:txXfrm>
        <a:off x="659007" y="21626"/>
        <a:ext cx="1020627" cy="695126"/>
      </dsp:txXfrm>
    </dsp:sp>
    <dsp:sp modelId="{451EC9CF-D9EB-47E8-9075-96B29D0D0762}">
      <dsp:nvSpPr>
        <dsp:cNvPr id="0" name=""/>
        <dsp:cNvSpPr/>
      </dsp:nvSpPr>
      <dsp:spPr>
        <a:xfrm>
          <a:off x="1274232" y="175364"/>
          <a:ext cx="1332156" cy="1332156"/>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576" tIns="163576" rIns="163576" bIns="163576" numCol="1" spcCol="1270" anchor="ctr" anchorCtr="0">
          <a:noAutofit/>
        </a:bodyPr>
        <a:lstStyle/>
        <a:p>
          <a:pPr marL="0" lvl="0" indent="0" algn="ctr" defTabSz="1022350">
            <a:lnSpc>
              <a:spcPct val="90000"/>
            </a:lnSpc>
            <a:spcBef>
              <a:spcPct val="0"/>
            </a:spcBef>
            <a:spcAft>
              <a:spcPct val="35000"/>
            </a:spcAft>
            <a:buNone/>
          </a:pPr>
          <a:r>
            <a:rPr lang="zh-CN" altLang="en-US" sz="2300" kern="1200"/>
            <a:t>优势</a:t>
          </a:r>
        </a:p>
      </dsp:txBody>
      <dsp:txXfrm>
        <a:off x="1664411" y="565543"/>
        <a:ext cx="941977" cy="941977"/>
      </dsp:txXfrm>
    </dsp:sp>
    <dsp:sp modelId="{BFB0A497-2320-4458-8C36-18F1198D5A94}">
      <dsp:nvSpPr>
        <dsp:cNvPr id="0" name=""/>
        <dsp:cNvSpPr/>
      </dsp:nvSpPr>
      <dsp:spPr>
        <a:xfrm rot="5400000">
          <a:off x="2667920" y="175364"/>
          <a:ext cx="1332156" cy="1332156"/>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576" tIns="163576" rIns="163576" bIns="163576" numCol="1" spcCol="1270" anchor="ctr" anchorCtr="0">
          <a:noAutofit/>
        </a:bodyPr>
        <a:lstStyle/>
        <a:p>
          <a:pPr marL="0" lvl="0" indent="0" algn="ctr" defTabSz="1022350">
            <a:lnSpc>
              <a:spcPct val="90000"/>
            </a:lnSpc>
            <a:spcBef>
              <a:spcPct val="0"/>
            </a:spcBef>
            <a:spcAft>
              <a:spcPct val="35000"/>
            </a:spcAft>
            <a:buNone/>
          </a:pPr>
          <a:r>
            <a:rPr lang="zh-CN" altLang="en-US" sz="2300" kern="1200"/>
            <a:t>劣势</a:t>
          </a:r>
        </a:p>
      </dsp:txBody>
      <dsp:txXfrm rot="-5400000">
        <a:off x="2667920" y="565543"/>
        <a:ext cx="941977" cy="941977"/>
      </dsp:txXfrm>
    </dsp:sp>
    <dsp:sp modelId="{7B27A74C-B696-4DFF-81EC-6AB9FC7E0298}">
      <dsp:nvSpPr>
        <dsp:cNvPr id="0" name=""/>
        <dsp:cNvSpPr/>
      </dsp:nvSpPr>
      <dsp:spPr>
        <a:xfrm rot="10800000">
          <a:off x="2667920" y="1569053"/>
          <a:ext cx="1332156" cy="1332156"/>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576" tIns="163576" rIns="163576" bIns="163576" numCol="1" spcCol="1270" anchor="ctr" anchorCtr="0">
          <a:noAutofit/>
        </a:bodyPr>
        <a:lstStyle/>
        <a:p>
          <a:pPr marL="0" lvl="0" indent="0" algn="ctr" defTabSz="1022350">
            <a:lnSpc>
              <a:spcPct val="90000"/>
            </a:lnSpc>
            <a:spcBef>
              <a:spcPct val="0"/>
            </a:spcBef>
            <a:spcAft>
              <a:spcPct val="35000"/>
            </a:spcAft>
            <a:buNone/>
          </a:pPr>
          <a:r>
            <a:rPr lang="zh-CN" altLang="en-US" sz="2300" kern="1200"/>
            <a:t>威胁</a:t>
          </a:r>
        </a:p>
      </dsp:txBody>
      <dsp:txXfrm rot="10800000">
        <a:off x="2667920" y="1569053"/>
        <a:ext cx="941977" cy="941977"/>
      </dsp:txXfrm>
    </dsp:sp>
    <dsp:sp modelId="{2E18B6E6-F0C9-4EDB-8345-F30168455501}">
      <dsp:nvSpPr>
        <dsp:cNvPr id="0" name=""/>
        <dsp:cNvSpPr/>
      </dsp:nvSpPr>
      <dsp:spPr>
        <a:xfrm rot="16200000">
          <a:off x="1274232" y="1569053"/>
          <a:ext cx="1332156" cy="1332156"/>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576" tIns="163576" rIns="163576" bIns="163576" numCol="1" spcCol="1270" anchor="ctr" anchorCtr="0">
          <a:noAutofit/>
        </a:bodyPr>
        <a:lstStyle/>
        <a:p>
          <a:pPr marL="0" lvl="0" indent="0" algn="ctr" defTabSz="1022350">
            <a:lnSpc>
              <a:spcPct val="90000"/>
            </a:lnSpc>
            <a:spcBef>
              <a:spcPct val="0"/>
            </a:spcBef>
            <a:spcAft>
              <a:spcPct val="35000"/>
            </a:spcAft>
            <a:buNone/>
          </a:pPr>
          <a:r>
            <a:rPr lang="zh-CN" altLang="en-US" sz="2300" kern="1200"/>
            <a:t>机遇</a:t>
          </a:r>
        </a:p>
      </dsp:txBody>
      <dsp:txXfrm rot="5400000">
        <a:off x="1664411" y="1569053"/>
        <a:ext cx="941977" cy="941977"/>
      </dsp:txXfrm>
    </dsp:sp>
    <dsp:sp modelId="{9529B7D0-6968-4909-9B9F-1DAEBB764C26}">
      <dsp:nvSpPr>
        <dsp:cNvPr id="0" name=""/>
        <dsp:cNvSpPr/>
      </dsp:nvSpPr>
      <dsp:spPr>
        <a:xfrm>
          <a:off x="2407181" y="1261395"/>
          <a:ext cx="459947" cy="399954"/>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1AD7F89-786F-4535-AC5C-C35D787FA09F}">
      <dsp:nvSpPr>
        <dsp:cNvPr id="0" name=""/>
        <dsp:cNvSpPr/>
      </dsp:nvSpPr>
      <dsp:spPr>
        <a:xfrm rot="10800000">
          <a:off x="2407181" y="1415224"/>
          <a:ext cx="459947" cy="399954"/>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vertAlign" val="none"/>
                  <dgm:param type="horz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vertAlign" val="none"/>
                  <dgm:param type="horz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vertAlign" val="none"/>
                  <dgm:param type="horz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type="pieWedge" r:blip="" rot="90">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type="pieWedge" r:blip="" rot="90">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type="pieWedge" r:blip="" rot="180">
                  <dgm:adjLst/>
                </dgm:shape>
              </dgm:if>
              <dgm:else name="Name40">
                <dgm:shape xmlns:r="http://schemas.openxmlformats.org/officeDocument/2006/relationships" type="pieWedge" r:blip="" rot="270">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type="pieWedge" r:blip="" rot="270">
                  <dgm:adjLst/>
                </dgm:shape>
              </dgm:if>
              <dgm:else name="Name43">
                <dgm:shape xmlns:r="http://schemas.openxmlformats.org/officeDocument/2006/relationships" type="pieWedge" r:blip="" rot="180">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type="leftCircularArrow" r:blip="" rot="180"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type="circularArrow" r:blip="" rot="180"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36</Pages>
  <Words>11648</Words>
  <Characters>12093</Characters>
  <Lines>102</Lines>
  <Paragraphs>28</Paragraphs>
  <TotalTime>11</TotalTime>
  <ScaleCrop>false</ScaleCrop>
  <LinksUpToDate>false</LinksUpToDate>
  <CharactersWithSpaces>12302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2024-07-15T11:26:00Z</dcterms:created>
  <dc:creator>Huang Hewei</dc:creator>
  <cp:lastModifiedBy>Administrator</cp:lastModifiedBy>
  <dcterms:modified xsi:type="dcterms:W3CDTF">2024-08-12T06:47:53Z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70683B7440EA439DAD4E267CBFDF1865_12</vt:lpwstr>
  </property>
</Properties>
</file>