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34F72">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502051DD">
      <w:pPr>
        <w:pStyle w:val="2"/>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集中排查农户信息核实表</w:t>
      </w:r>
    </w:p>
    <w:p w14:paraId="017CE7D3">
      <w:pPr>
        <w:pStyle w:val="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（此表无需打印，采用手机app在线核实）</w:t>
      </w:r>
    </w:p>
    <w:p w14:paraId="310A93AC">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XX</w:t>
      </w:r>
      <w:r>
        <w:rPr>
          <w:rFonts w:hint="eastAsia" w:ascii="仿宋_GB2312" w:hAnsi="仿宋_GB2312" w:eastAsia="仿宋_GB2312" w:cs="仿宋_GB2312"/>
          <w:sz w:val="32"/>
          <w:szCs w:val="32"/>
        </w:rPr>
        <w:t>省（区、市）</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村民小组（选填）</w:t>
      </w:r>
    </w:p>
    <w:p w14:paraId="338094EE">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排查方式（单选）：</w:t>
      </w:r>
      <w:r>
        <w:rPr>
          <w:rFonts w:hint="eastAsia" w:ascii="仿宋_GB2312" w:hAnsi="仿宋_GB2312" w:eastAsia="仿宋_GB2312" w:cs="仿宋_GB2312"/>
          <w:sz w:val="32"/>
          <w:szCs w:val="32"/>
        </w:rPr>
        <w:t>线上通讯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村级研判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入户排查</w:t>
      </w:r>
      <w:r>
        <w:rPr>
          <w:rFonts w:hint="eastAsia" w:ascii="仿宋_GB2312" w:hAnsi="仿宋_GB2312" w:eastAsia="仿宋_GB2312" w:cs="仿宋_GB2312"/>
          <w:sz w:val="32"/>
          <w:szCs w:val="32"/>
          <w:lang w:eastAsia="zh-CN"/>
        </w:rPr>
        <w:t>；</w:t>
      </w:r>
    </w:p>
    <w:p w14:paraId="37E079B9">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若选择线上通讯，</w:t>
      </w:r>
      <w:r>
        <w:rPr>
          <w:rFonts w:hint="eastAsia" w:ascii="仿宋_GB2312" w:hAnsi="仿宋_GB2312" w:eastAsia="仿宋_GB2312" w:cs="仿宋_GB2312"/>
          <w:sz w:val="32"/>
          <w:szCs w:val="32"/>
        </w:rPr>
        <w:t>填写联系日期（年月日）、联系人姓名及其电话；</w:t>
      </w:r>
    </w:p>
    <w:p w14:paraId="0FEAEF7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若选择村级研判，</w:t>
      </w:r>
      <w:r>
        <w:rPr>
          <w:rFonts w:hint="eastAsia" w:ascii="仿宋_GB2312" w:hAnsi="仿宋_GB2312" w:eastAsia="仿宋_GB2312" w:cs="仿宋_GB2312"/>
          <w:sz w:val="32"/>
          <w:szCs w:val="32"/>
        </w:rPr>
        <w:t>填写研判日期（年月日）、研判人员姓名；</w:t>
      </w:r>
    </w:p>
    <w:p w14:paraId="56A5CB71">
      <w:pPr>
        <w:pStyle w:val="2"/>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若选择入户排查，</w:t>
      </w:r>
      <w:r>
        <w:rPr>
          <w:rFonts w:hint="eastAsia" w:ascii="仿宋_GB2312" w:hAnsi="仿宋_GB2312" w:eastAsia="仿宋_GB2312" w:cs="仿宋_GB2312"/>
          <w:sz w:val="32"/>
          <w:szCs w:val="32"/>
        </w:rPr>
        <w:t>生成农户GPS定位数据，否则无法提交。</w:t>
      </w:r>
    </w:p>
    <w:tbl>
      <w:tblPr>
        <w:tblStyle w:val="3"/>
        <w:tblpPr w:leftFromText="180" w:rightFromText="180" w:vertAnchor="text" w:horzAnchor="page" w:tblpXSpec="center" w:tblpY="623"/>
        <w:tblOverlap w:val="never"/>
        <w:tblW w:w="8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516"/>
        <w:gridCol w:w="2677"/>
        <w:gridCol w:w="2543"/>
        <w:gridCol w:w="1259"/>
      </w:tblGrid>
      <w:tr w14:paraId="1EA8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839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数据提取时间</w:t>
            </w:r>
            <w:r>
              <w:rPr>
                <w:rStyle w:val="5"/>
                <w:rFonts w:hint="eastAsia" w:ascii="仿宋_GB2312" w:hAnsi="仿宋_GB2312" w:eastAsia="仿宋_GB2312" w:cs="仿宋_GB2312"/>
                <w:sz w:val="24"/>
                <w:szCs w:val="24"/>
                <w:lang w:val="en-US" w:eastAsia="zh-CN" w:bidi="ar"/>
              </w:rPr>
              <w:t>-系统预置</w:t>
            </w:r>
          </w:p>
        </w:tc>
      </w:tr>
      <w:tr w14:paraId="339C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C49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基础信息</w:t>
            </w:r>
          </w:p>
        </w:tc>
      </w:tr>
      <w:tr w14:paraId="521C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652F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户类型：脱贫户 防止返贫监测对象（未消除风险/已消除风险） 一般农户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Style w:val="6"/>
                <w:rFonts w:hint="eastAsia" w:ascii="仿宋_GB2312" w:hAnsi="仿宋_GB2312" w:eastAsia="仿宋_GB2312" w:cs="仿宋_GB2312"/>
                <w:sz w:val="24"/>
                <w:szCs w:val="24"/>
                <w:lang w:val="en-US" w:eastAsia="zh-CN" w:bidi="ar"/>
              </w:rPr>
              <w:t>系统预置（不可修改）</w:t>
            </w:r>
          </w:p>
        </w:tc>
      </w:tr>
      <w:tr w14:paraId="4076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46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姓名</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A4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与户主关系</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B4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身份证号码</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98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劳动力</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B6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增减备注</w:t>
            </w:r>
          </w:p>
        </w:tc>
      </w:tr>
      <w:tr w14:paraId="2EE3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B1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张三</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6D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户主</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62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123456789123456789</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E4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普通（技能）劳动力</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69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详见附录</w:t>
            </w:r>
          </w:p>
        </w:tc>
      </w:tr>
      <w:tr w14:paraId="242A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39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李四</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43A2">
            <w:pPr>
              <w:jc w:val="center"/>
              <w:rPr>
                <w:rFonts w:hint="eastAsia" w:ascii="仿宋_GB2312" w:hAnsi="仿宋_GB2312" w:eastAsia="仿宋_GB2312" w:cs="仿宋_GB2312"/>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C43C">
            <w:pPr>
              <w:jc w:val="center"/>
              <w:rPr>
                <w:rFonts w:hint="eastAsia" w:ascii="仿宋_GB2312" w:hAnsi="仿宋_GB2312" w:eastAsia="仿宋_GB2312" w:cs="仿宋_GB2312"/>
                <w:i w:val="0"/>
                <w:iCs w:val="0"/>
                <w:color w:val="000000"/>
                <w:sz w:val="24"/>
                <w:szCs w:val="24"/>
                <w:u w:val="none"/>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F1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弱或半劳动力</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FABC">
            <w:pPr>
              <w:jc w:val="center"/>
              <w:rPr>
                <w:rFonts w:hint="eastAsia" w:ascii="仿宋_GB2312" w:hAnsi="仿宋_GB2312" w:eastAsia="仿宋_GB2312" w:cs="仿宋_GB2312"/>
                <w:i w:val="0"/>
                <w:iCs w:val="0"/>
                <w:color w:val="000000"/>
                <w:sz w:val="24"/>
                <w:szCs w:val="24"/>
                <w:u w:val="none"/>
              </w:rPr>
            </w:pPr>
          </w:p>
        </w:tc>
      </w:tr>
      <w:tr w14:paraId="4814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DD32">
            <w:pPr>
              <w:jc w:val="center"/>
              <w:rPr>
                <w:rFonts w:hint="eastAsia" w:ascii="仿宋_GB2312" w:hAnsi="仿宋_GB2312" w:eastAsia="仿宋_GB2312" w:cs="仿宋_GB2312"/>
                <w:i w:val="0"/>
                <w:iCs w:val="0"/>
                <w:color w:val="000000"/>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8491">
            <w:pPr>
              <w:jc w:val="center"/>
              <w:rPr>
                <w:rFonts w:hint="eastAsia" w:ascii="仿宋_GB2312" w:hAnsi="仿宋_GB2312" w:eastAsia="仿宋_GB2312" w:cs="仿宋_GB2312"/>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C3D7">
            <w:pPr>
              <w:jc w:val="center"/>
              <w:rPr>
                <w:rFonts w:hint="eastAsia" w:ascii="仿宋_GB2312" w:hAnsi="仿宋_GB2312" w:eastAsia="仿宋_GB2312" w:cs="仿宋_GB2312"/>
                <w:i w:val="0"/>
                <w:iCs w:val="0"/>
                <w:color w:val="000000"/>
                <w:sz w:val="24"/>
                <w:szCs w:val="24"/>
                <w:u w:val="none"/>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C4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无/丧失劳动力</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E614">
            <w:pPr>
              <w:jc w:val="center"/>
              <w:rPr>
                <w:rFonts w:hint="eastAsia" w:ascii="仿宋_GB2312" w:hAnsi="仿宋_GB2312" w:eastAsia="仿宋_GB2312" w:cs="仿宋_GB2312"/>
                <w:i w:val="0"/>
                <w:iCs w:val="0"/>
                <w:color w:val="000000"/>
                <w:sz w:val="24"/>
                <w:szCs w:val="24"/>
                <w:u w:val="none"/>
              </w:rPr>
            </w:pPr>
          </w:p>
        </w:tc>
      </w:tr>
    </w:tbl>
    <w:p w14:paraId="0E4E7297">
      <w:pPr>
        <w:rPr>
          <w:rFonts w:hint="eastAsia"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表外：证据新增/删除（详见附录）</w:t>
      </w:r>
    </w:p>
    <w:p w14:paraId="36DBADCE">
      <w:pPr>
        <w:pStyle w:val="2"/>
        <w:rPr>
          <w:rFonts w:hint="eastAsia" w:ascii="仿宋_GB2312" w:hAnsi="仿宋_GB2312" w:eastAsia="仿宋_GB2312" w:cs="仿宋_GB2312"/>
          <w:sz w:val="24"/>
          <w:szCs w:val="24"/>
          <w:lang w:val="en-US" w:eastAsia="zh-CN"/>
        </w:rPr>
      </w:pPr>
    </w:p>
    <w:tbl>
      <w:tblPr>
        <w:tblStyle w:val="3"/>
        <w:tblW w:w="8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0"/>
      </w:tblGrid>
      <w:tr w14:paraId="6D90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413E">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脱贫户、监测对象牛羊养殖情况  </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注：如果待排查户为脱贫户、监测对象，则填写牛羊养殖情况（据实填写，若无可空）                           </w:t>
            </w:r>
          </w:p>
        </w:tc>
      </w:tr>
      <w:tr w14:paraId="089C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8"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BD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1．肉牛（不含牦牛，含小牛犊）：存栏数量</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（头）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年度出栏数量（去年10月1日至当前）</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（头）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2．羊：存栏数量</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（只）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年度出栏数量（去年10月1日至当前）</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3.2023年度户生产经营性收入中牛羊（不含牦牛）售卖净收入为</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元                                    </w:t>
            </w:r>
          </w:p>
        </w:tc>
      </w:tr>
      <w:tr w14:paraId="38CD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CBB6">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家庭收入支出情况（倒推连续12个月的家庭纯收入）</w:t>
            </w:r>
          </w:p>
        </w:tc>
      </w:tr>
      <w:tr w14:paraId="7E6F5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8"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55E0">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 1．家庭人均纯收入</w:t>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b/>
                <w:bCs/>
                <w:i w:val="0"/>
                <w:iCs w:val="0"/>
                <w:color w:val="000000"/>
                <w:kern w:val="0"/>
                <w:sz w:val="24"/>
                <w:szCs w:val="24"/>
                <w:u w:val="none"/>
                <w:lang w:val="en-US" w:eastAsia="zh-CN" w:bidi="ar"/>
              </w:rPr>
              <w:t>(1)经初步研判家庭人均纯收入高于8300元，则按如下收入区间分段勾选：</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8300元-1万元（含）    1万元-1.2万元（含）     1.2万元-1.6万元（含）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1.6万元一2万元（含） 2万元-3万元（含）      &gt;3万元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b/>
                <w:bCs/>
                <w:i w:val="0"/>
                <w:iCs w:val="0"/>
                <w:color w:val="000000"/>
                <w:kern w:val="0"/>
                <w:sz w:val="24"/>
                <w:szCs w:val="24"/>
                <w:u w:val="none"/>
                <w:lang w:val="en-US" w:eastAsia="zh-CN" w:bidi="ar"/>
              </w:rPr>
              <w:t xml:space="preserve">  (2)经初步研判家庭人均纯收入低于或等于8300元，则填写家庭整户收入支出信息如下：</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A．生产经营性收入</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B．工资性收入</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C．转移性收入</w:t>
            </w:r>
            <w:r>
              <w:rPr>
                <w:rStyle w:val="7"/>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D．财产性收入</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E．生产经营性支出</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w:t>
            </w:r>
          </w:p>
        </w:tc>
      </w:tr>
      <w:tr w14:paraId="3089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AD04">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  2．是否存在合规自付支出    是  否</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 xml:space="preserve">  3．是否存在理赔收入        是  否</w:t>
            </w:r>
          </w:p>
        </w:tc>
      </w:tr>
      <w:tr w14:paraId="5AB9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1681">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“三保障”和饮水安全成果巩固情况</w:t>
            </w:r>
          </w:p>
        </w:tc>
      </w:tr>
      <w:tr w14:paraId="45D0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3"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5F2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是否义务教育阶段适龄儿童少年失学辍学                      是／否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是否有家庭成员未参加城乡居民（职工）基本医疗保险          是／否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是否住房出现安全问题                                      是／否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是否饮水出现安全问题                                      是／否 </w:t>
            </w:r>
          </w:p>
        </w:tc>
      </w:tr>
      <w:tr w14:paraId="6AB6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11D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综合上述情况研判，是否存在返贫致贫风险</w:t>
            </w:r>
          </w:p>
        </w:tc>
      </w:tr>
      <w:tr w14:paraId="3C14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0070">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否</w:t>
            </w:r>
          </w:p>
          <w:p w14:paraId="50DBB0EC">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09145505">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是 （因病／因学／因安全住房／因安全饮水／因残／因自然灾害／因意外事故／</w:t>
            </w:r>
          </w:p>
          <w:p w14:paraId="7BC3BB70">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202A5F9C">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因产业项目失败（因价格下降／其他）／因务工就业不稳／缺劳力／其他）</w:t>
            </w:r>
          </w:p>
        </w:tc>
      </w:tr>
    </w:tbl>
    <w:p w14:paraId="55EFFBE5">
      <w:pPr>
        <w:rPr>
          <w:rFonts w:hint="eastAsia" w:ascii="仿宋_GB2312" w:hAnsi="仿宋_GB2312" w:eastAsia="仿宋_GB2312" w:cs="仿宋_GB2312"/>
          <w:sz w:val="24"/>
          <w:szCs w:val="24"/>
          <w:lang w:val="en-US" w:eastAsia="zh-CN"/>
        </w:rPr>
      </w:pPr>
    </w:p>
    <w:p w14:paraId="6D1B9F9F">
      <w:pPr>
        <w:pStyle w:val="2"/>
        <w:rPr>
          <w:rFonts w:hint="default"/>
          <w:lang w:val="en-US" w:eastAsia="zh-CN"/>
        </w:rPr>
      </w:pPr>
    </w:p>
    <w:p w14:paraId="54998B84">
      <w:pPr>
        <w:rPr>
          <w:rFonts w:hint="default"/>
          <w:lang w:val="en-US" w:eastAsia="zh-CN"/>
        </w:rPr>
      </w:pPr>
    </w:p>
    <w:p w14:paraId="2936CC4C">
      <w:pPr>
        <w:pStyle w:val="2"/>
        <w:rPr>
          <w:rFonts w:hint="default"/>
          <w:lang w:val="en-US" w:eastAsia="zh-CN"/>
        </w:rPr>
      </w:pPr>
    </w:p>
    <w:p w14:paraId="061A7655">
      <w:pPr>
        <w:rPr>
          <w:rFonts w:hint="default"/>
          <w:lang w:val="en-US" w:eastAsia="zh-CN"/>
        </w:rPr>
      </w:pPr>
    </w:p>
    <w:p w14:paraId="284519EE">
      <w:pPr>
        <w:pStyle w:val="2"/>
        <w:rPr>
          <w:rFonts w:hint="default"/>
          <w:lang w:val="en-US" w:eastAsia="zh-CN"/>
        </w:rPr>
      </w:pPr>
    </w:p>
    <w:p w14:paraId="5126C0F9">
      <w:pPr>
        <w:rPr>
          <w:rFonts w:hint="default"/>
          <w:lang w:val="en-US" w:eastAsia="zh-CN"/>
        </w:rPr>
      </w:pPr>
    </w:p>
    <w:p w14:paraId="42C3F089">
      <w:pPr>
        <w:pStyle w:val="2"/>
        <w:rPr>
          <w:rFonts w:hint="default"/>
          <w:lang w:val="en-US" w:eastAsia="zh-CN"/>
        </w:rPr>
      </w:pPr>
    </w:p>
    <w:p w14:paraId="52887CB4">
      <w:pPr>
        <w:rPr>
          <w:rFonts w:hint="default"/>
          <w:lang w:val="en-US" w:eastAsia="zh-CN"/>
        </w:rPr>
      </w:pPr>
    </w:p>
    <w:p w14:paraId="6230909F">
      <w:pPr>
        <w:pStyle w:val="2"/>
        <w:rPr>
          <w:rFonts w:hint="default"/>
          <w:lang w:val="en-US" w:eastAsia="zh-CN"/>
        </w:rPr>
      </w:pPr>
    </w:p>
    <w:p w14:paraId="20254609">
      <w:pPr>
        <w:rPr>
          <w:rFonts w:hint="default"/>
          <w:lang w:val="en-US" w:eastAsia="zh-CN"/>
        </w:rPr>
      </w:pPr>
    </w:p>
    <w:p w14:paraId="53E709B7">
      <w:pPr>
        <w:pStyle w:val="2"/>
        <w:rPr>
          <w:rFonts w:hint="default"/>
          <w:lang w:val="en-US" w:eastAsia="zh-CN"/>
        </w:rPr>
      </w:pPr>
    </w:p>
    <w:p w14:paraId="442E51B4">
      <w:pPr>
        <w:rPr>
          <w:rFonts w:hint="default"/>
          <w:lang w:val="en-US" w:eastAsia="zh-CN"/>
        </w:rPr>
      </w:pPr>
    </w:p>
    <w:p w14:paraId="377DD816">
      <w:pPr>
        <w:pStyle w:val="2"/>
        <w:rPr>
          <w:rFonts w:hint="default"/>
          <w:lang w:val="en-US" w:eastAsia="zh-CN"/>
        </w:rPr>
      </w:pPr>
    </w:p>
    <w:p w14:paraId="30C24B33">
      <w:pPr>
        <w:rPr>
          <w:rFonts w:hint="default"/>
          <w:lang w:val="en-US" w:eastAsia="zh-CN"/>
        </w:rPr>
      </w:pPr>
    </w:p>
    <w:p w14:paraId="58AD88C4">
      <w:pPr>
        <w:pStyle w:val="2"/>
        <w:rPr>
          <w:rFonts w:hint="default"/>
          <w:lang w:val="en-US" w:eastAsia="zh-CN"/>
        </w:rPr>
      </w:pPr>
    </w:p>
    <w:p w14:paraId="1EEC332D">
      <w:pPr>
        <w:rPr>
          <w:rFonts w:hint="default"/>
          <w:lang w:val="en-US" w:eastAsia="zh-CN"/>
        </w:rPr>
      </w:pPr>
    </w:p>
    <w:p w14:paraId="23F0CA49">
      <w:pPr>
        <w:pStyle w:val="2"/>
        <w:rPr>
          <w:rFonts w:hint="default"/>
          <w:lang w:val="en-US" w:eastAsia="zh-CN"/>
        </w:rPr>
      </w:pPr>
    </w:p>
    <w:p w14:paraId="67BF65E2">
      <w:pPr>
        <w:rPr>
          <w:rFonts w:hint="default"/>
          <w:lang w:val="en-US" w:eastAsia="zh-CN"/>
        </w:rPr>
      </w:pPr>
    </w:p>
    <w:p w14:paraId="34327B25">
      <w:pPr>
        <w:pStyle w:val="2"/>
        <w:rPr>
          <w:rFonts w:hint="default"/>
          <w:lang w:val="en-US" w:eastAsia="zh-CN"/>
        </w:rPr>
      </w:pPr>
    </w:p>
    <w:p w14:paraId="50A6A81B">
      <w:pPr>
        <w:rPr>
          <w:rFonts w:hint="default"/>
          <w:lang w:val="en-US" w:eastAsia="zh-CN"/>
        </w:rPr>
      </w:pPr>
    </w:p>
    <w:p w14:paraId="60BC0731">
      <w:pPr>
        <w:rPr>
          <w:rFonts w:hint="default"/>
          <w:lang w:val="en-US" w:eastAsia="zh-CN"/>
        </w:rPr>
      </w:pPr>
    </w:p>
    <w:p w14:paraId="0C44C256">
      <w:pPr>
        <w:pStyle w:val="2"/>
        <w:rPr>
          <w:rFonts w:hint="default"/>
          <w:lang w:val="en-US" w:eastAsia="zh-CN"/>
        </w:rPr>
      </w:pPr>
    </w:p>
    <w:p w14:paraId="5721621B">
      <w:pPr>
        <w:rPr>
          <w:rFonts w:hint="default"/>
          <w:lang w:val="en-US" w:eastAsia="zh-CN"/>
        </w:rPr>
      </w:pPr>
    </w:p>
    <w:p w14:paraId="4F6D2248">
      <w:pPr>
        <w:pStyle w:val="2"/>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农户和家庭成员增减原因备注选项附录</w:t>
      </w:r>
    </w:p>
    <w:p w14:paraId="090034DE">
      <w:pPr>
        <w:pStyle w:val="2"/>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一、整户增减</w:t>
      </w:r>
    </w:p>
    <w:p w14:paraId="34105682">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农户预置数据来源于乡村建设、土地承包和村集体资产相关业务，数据采集时间不一，为准确反映数据变化情况，各省系统应具有整户新增和删除功能，并备注整户新增、删除原因，届时新增删除标记需要提交国家。</w:t>
      </w:r>
    </w:p>
    <w:p w14:paraId="07A998B7">
      <w:pPr>
        <w:pStyle w:val="2"/>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（一）整户删除</w:t>
      </w:r>
    </w:p>
    <w:p w14:paraId="37D674A6">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整户删除应该为标记删除而不是物理删除（前台可以显示删除）。整户删除原因备注有（可增加）：1.整户户籍迁出（不含易地扶贫搬迁）；2.易地扶贫搬迁迁出本村；3.查无此户（变更时间默认当前）；4.合户；5.整户销户（死亡、收监等）；6．其它（输入具体原因）。</w:t>
      </w:r>
    </w:p>
    <w:p w14:paraId="626F06A3">
      <w:pPr>
        <w:pStyle w:val="2"/>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（二）整户新增（以2019年为结点）</w:t>
      </w:r>
    </w:p>
    <w:p w14:paraId="32554C79">
      <w:pPr>
        <w:pStyle w:val="2"/>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系统新增户可以由待选池中选取，也可以完全新建户。整户增加原因：1.易地扶贫搬迁迁入；2.整户迁入（不含易地扶贫搬迁）；3.分户；4.预置遗漏；5.其他（输入具体原因）。</w:t>
      </w:r>
    </w:p>
    <w:p w14:paraId="2012BA53">
      <w:pPr>
        <w:pStyle w:val="2"/>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二、家庭成员增减</w:t>
      </w:r>
    </w:p>
    <w:p w14:paraId="0686761F">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为有效获取家庭成员变化情况，系统应有家庭成员增减功能，并备注原因届时新增删除标记需要提交国家。</w:t>
      </w:r>
    </w:p>
    <w:p w14:paraId="5DC90F47">
      <w:pPr>
        <w:pStyle w:val="2"/>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（一）家庭成员减少</w:t>
      </w:r>
    </w:p>
    <w:p w14:paraId="64EAB624">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成员减少应该为标记减少而不是物理删除（前台可以显示删除），家庭成员减少原因备注与巩固脱贫攻坚成果系统家庭成员自然增减原因基本相同，仅增加系统预置错误选项。减少原因包括：1.死亡；2.婚出；3.出国定居；4.判刑收监；5.户籍迁出；6.失联；7.非本户家庭成员（系统预置错误）。</w:t>
      </w:r>
    </w:p>
    <w:p w14:paraId="2899F263">
      <w:pPr>
        <w:pStyle w:val="2"/>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（二）家庭成员新增</w:t>
      </w:r>
    </w:p>
    <w:p w14:paraId="0DA9A581">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系统新增家庭成员可以由待选池中选取，也可以完全新增。新增原因。具体包括：1.新生儿；2.婚入；3.户籍迁入；4.刑满释放；5.收养；6.失联人口回归；7.系统预置遗漏成员（系统预置错误）。</w:t>
      </w:r>
    </w:p>
    <w:p w14:paraId="035C2B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9EDF4B-5BAF-40D0-B390-AB75B24C1A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EB9775E-B29D-4721-A936-C530BAC1F4D1}"/>
  </w:font>
  <w:font w:name="仿宋_GB2312">
    <w:panose1 w:val="02010609030101010101"/>
    <w:charset w:val="86"/>
    <w:family w:val="modern"/>
    <w:pitch w:val="default"/>
    <w:sig w:usb0="00000001" w:usb1="080E0000" w:usb2="00000000" w:usb3="00000000" w:csb0="00040000" w:csb1="00000000"/>
    <w:embedRegular r:id="rId3" w:fontKey="{A0993493-9D50-42E0-A6F9-C6696FF11BA1}"/>
  </w:font>
  <w:font w:name="方正小标宋简体">
    <w:panose1 w:val="02000000000000000000"/>
    <w:charset w:val="86"/>
    <w:family w:val="auto"/>
    <w:pitch w:val="default"/>
    <w:sig w:usb0="00000001" w:usb1="080E0000" w:usb2="00000000" w:usb3="00000000" w:csb0="00040000" w:csb1="00000000"/>
    <w:embedRegular r:id="rId4" w:fontKey="{511DE49B-AC0A-4FD2-9148-F4E7F61ECB66}"/>
  </w:font>
  <w:font w:name="楷体">
    <w:panose1 w:val="02010609060101010101"/>
    <w:charset w:val="86"/>
    <w:family w:val="auto"/>
    <w:pitch w:val="default"/>
    <w:sig w:usb0="800002BF" w:usb1="38CF7CFA" w:usb2="00000016" w:usb3="00000000" w:csb0="00040001" w:csb1="00000000"/>
    <w:embedRegular r:id="rId5" w:fontKey="{33067D66-FCC1-4C2E-892C-66BF5E95D9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942CF"/>
    <w:rsid w:val="18C9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character" w:customStyle="1" w:styleId="5">
    <w:name w:val="font21"/>
    <w:basedOn w:val="4"/>
    <w:qFormat/>
    <w:uiPriority w:val="0"/>
    <w:rPr>
      <w:rFonts w:hint="eastAsia" w:ascii="宋体" w:hAnsi="宋体" w:eastAsia="宋体" w:cs="宋体"/>
      <w:color w:val="000000"/>
      <w:sz w:val="24"/>
      <w:szCs w:val="24"/>
      <w:u w:val="none"/>
    </w:rPr>
  </w:style>
  <w:style w:type="character" w:customStyle="1" w:styleId="6">
    <w:name w:val="font11"/>
    <w:basedOn w:val="4"/>
    <w:qFormat/>
    <w:uiPriority w:val="0"/>
    <w:rPr>
      <w:rFonts w:hint="eastAsia" w:ascii="宋体" w:hAnsi="宋体" w:eastAsia="宋体" w:cs="宋体"/>
      <w:b/>
      <w:bCs/>
      <w:color w:val="000000"/>
      <w:sz w:val="24"/>
      <w:szCs w:val="24"/>
      <w:u w:val="none"/>
    </w:rPr>
  </w:style>
  <w:style w:type="character" w:customStyle="1" w:styleId="7">
    <w:name w:val="font31"/>
    <w:basedOn w:val="4"/>
    <w:autoRedefine/>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2024-11-13T07:48:00Z</dcterms:created>
  <dc:creator>阿偲儿</dc:creator>
  <cp:lastModifiedBy>阿偲儿</cp:lastModifiedBy>
  <dcterms:modified xsi:type="dcterms:W3CDTF">2024-11-13T07:48:49Z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4A5D0594A4F648E4B6E9D30AB5E31E0C_11</vt:lpwstr>
  </property>
</Properties>
</file>