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4F7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502051DD">
      <w:pPr>
        <w:pStyle w:val="2"/>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集中排查农户信息核实表</w:t>
      </w:r>
    </w:p>
    <w:p w14:paraId="017CE7D3">
      <w:pPr>
        <w:pStyle w:val="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（此表无需打印，采用手机app在线核实）</w:t>
      </w:r>
    </w:p>
    <w:p w14:paraId="310A93A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XX</w:t>
      </w:r>
      <w:r>
        <w:rPr>
          <w:rFonts w:hint="eastAsia" w:ascii="仿宋_GB2312" w:hAnsi="仿宋_GB2312" w:eastAsia="仿宋_GB2312" w:cs="仿宋_GB2312"/>
          <w:sz w:val="32"/>
          <w:szCs w:val="32"/>
        </w:rPr>
        <w:t>省（区、市）</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村民小组（选填）</w:t>
      </w:r>
    </w:p>
    <w:p w14:paraId="338094EE">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排查方式（单选）：</w:t>
      </w:r>
      <w:r>
        <w:rPr>
          <w:rFonts w:hint="eastAsia" w:ascii="仿宋_GB2312" w:hAnsi="仿宋_GB2312" w:eastAsia="仿宋_GB2312" w:cs="仿宋_GB2312"/>
          <w:sz w:val="32"/>
          <w:szCs w:val="32"/>
        </w:rPr>
        <w:t>线上通讯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村级研判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入户排查</w:t>
      </w:r>
      <w:r>
        <w:rPr>
          <w:rFonts w:hint="eastAsia" w:ascii="仿宋_GB2312" w:hAnsi="仿宋_GB2312" w:eastAsia="仿宋_GB2312" w:cs="仿宋_GB2312"/>
          <w:sz w:val="32"/>
          <w:szCs w:val="32"/>
          <w:lang w:eastAsia="zh-CN"/>
        </w:rPr>
        <w:t>；</w:t>
      </w:r>
    </w:p>
    <w:p w14:paraId="37E079B9">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若选择线上通讯，</w:t>
      </w:r>
      <w:r>
        <w:rPr>
          <w:rFonts w:hint="eastAsia" w:ascii="仿宋_GB2312" w:hAnsi="仿宋_GB2312" w:eastAsia="仿宋_GB2312" w:cs="仿宋_GB2312"/>
          <w:sz w:val="32"/>
          <w:szCs w:val="32"/>
        </w:rPr>
        <w:t>填写联系日期（年月日）、联系人姓名及其电话；</w:t>
      </w:r>
    </w:p>
    <w:p w14:paraId="0FEAEF7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若选择村级研判，</w:t>
      </w:r>
      <w:r>
        <w:rPr>
          <w:rFonts w:hint="eastAsia" w:ascii="仿宋_GB2312" w:hAnsi="仿宋_GB2312" w:eastAsia="仿宋_GB2312" w:cs="仿宋_GB2312"/>
          <w:sz w:val="32"/>
          <w:szCs w:val="32"/>
        </w:rPr>
        <w:t>填写研判日期（年月日）、研判人员姓名；</w:t>
      </w:r>
    </w:p>
    <w:p w14:paraId="56A5CB71">
      <w:pPr>
        <w:pStyle w:val="2"/>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若选择入户排查，</w:t>
      </w:r>
      <w:r>
        <w:rPr>
          <w:rFonts w:hint="eastAsia" w:ascii="仿宋_GB2312" w:hAnsi="仿宋_GB2312" w:eastAsia="仿宋_GB2312" w:cs="仿宋_GB2312"/>
          <w:sz w:val="32"/>
          <w:szCs w:val="32"/>
        </w:rPr>
        <w:t>生成农户GPS定位数据，否则无法提交。</w:t>
      </w:r>
    </w:p>
    <w:tbl>
      <w:tblPr>
        <w:tblStyle w:val="3"/>
        <w:tblpPr w:leftFromText="180" w:rightFromText="180" w:vertAnchor="text" w:horzAnchor="page" w:tblpXSpec="center" w:tblpY="623"/>
        <w:tblOverlap w:val="never"/>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516"/>
        <w:gridCol w:w="2677"/>
        <w:gridCol w:w="2543"/>
        <w:gridCol w:w="1259"/>
      </w:tblGrid>
      <w:tr w14:paraId="1EA8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839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数据提取时间</w:t>
            </w:r>
            <w:r>
              <w:rPr>
                <w:rStyle w:val="5"/>
                <w:rFonts w:hint="eastAsia" w:ascii="仿宋_GB2312" w:hAnsi="仿宋_GB2312" w:eastAsia="仿宋_GB2312" w:cs="仿宋_GB2312"/>
                <w:sz w:val="24"/>
                <w:szCs w:val="24"/>
                <w:lang w:val="en-US" w:eastAsia="zh-CN" w:bidi="ar"/>
              </w:rPr>
              <w:t>-系统预置</w:t>
            </w:r>
          </w:p>
        </w:tc>
      </w:tr>
      <w:tr w14:paraId="339C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49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基础信息</w:t>
            </w:r>
          </w:p>
        </w:tc>
      </w:tr>
      <w:tr w14:paraId="521C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52F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户类型：脱贫户 防止返贫监测对象（未消除风险/已消除风险） 一般农户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Style w:val="6"/>
                <w:rFonts w:hint="eastAsia" w:ascii="仿宋_GB2312" w:hAnsi="仿宋_GB2312" w:eastAsia="仿宋_GB2312" w:cs="仿宋_GB2312"/>
                <w:sz w:val="24"/>
                <w:szCs w:val="24"/>
                <w:lang w:val="en-US" w:eastAsia="zh-CN" w:bidi="ar"/>
              </w:rPr>
              <w:t>系统预置（不可修改）</w:t>
            </w:r>
          </w:p>
        </w:tc>
      </w:tr>
      <w:tr w14:paraId="4076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46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A4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与户主关系</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B4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身份证号码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98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B6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增减备注</w:t>
            </w:r>
          </w:p>
        </w:tc>
      </w:tr>
      <w:tr w14:paraId="2EE3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B1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张三</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6D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户主</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62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123456789123456789</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E4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普通（技能）劳动力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69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详见附录</w:t>
            </w:r>
          </w:p>
        </w:tc>
      </w:tr>
      <w:tr w14:paraId="242A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39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李四</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43A2">
            <w:pPr>
              <w:jc w:val="center"/>
              <w:rPr>
                <w:rFonts w:hint="eastAsia" w:ascii="仿宋_GB2312" w:hAnsi="仿宋_GB2312" w:eastAsia="仿宋_GB2312" w:cs="仿宋_GB2312"/>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C43C">
            <w:pPr>
              <w:jc w:val="center"/>
              <w:rPr>
                <w:rFonts w:hint="eastAsia" w:ascii="仿宋_GB2312" w:hAnsi="仿宋_GB2312" w:eastAsia="仿宋_GB2312" w:cs="仿宋_GB2312"/>
                <w:i w:val="0"/>
                <w:iCs w:val="0"/>
                <w:color w:val="000000"/>
                <w:sz w:val="24"/>
                <w:szCs w:val="24"/>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F1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弱或半劳动力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FABC">
            <w:pPr>
              <w:jc w:val="center"/>
              <w:rPr>
                <w:rFonts w:hint="eastAsia" w:ascii="仿宋_GB2312" w:hAnsi="仿宋_GB2312" w:eastAsia="仿宋_GB2312" w:cs="仿宋_GB2312"/>
                <w:i w:val="0"/>
                <w:iCs w:val="0"/>
                <w:color w:val="000000"/>
                <w:sz w:val="24"/>
                <w:szCs w:val="24"/>
                <w:u w:val="none"/>
              </w:rPr>
            </w:pPr>
          </w:p>
        </w:tc>
      </w:tr>
      <w:tr w14:paraId="4814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DD32">
            <w:pPr>
              <w:jc w:val="center"/>
              <w:rPr>
                <w:rFonts w:hint="eastAsia" w:ascii="仿宋_GB2312" w:hAnsi="仿宋_GB2312"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491">
            <w:pPr>
              <w:jc w:val="center"/>
              <w:rPr>
                <w:rFonts w:hint="eastAsia" w:ascii="仿宋_GB2312" w:hAnsi="仿宋_GB2312" w:eastAsia="仿宋_GB2312" w:cs="仿宋_GB2312"/>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C3D7">
            <w:pPr>
              <w:jc w:val="center"/>
              <w:rPr>
                <w:rFonts w:hint="eastAsia" w:ascii="仿宋_GB2312" w:hAnsi="仿宋_GB2312" w:eastAsia="仿宋_GB2312" w:cs="仿宋_GB2312"/>
                <w:i w:val="0"/>
                <w:iCs w:val="0"/>
                <w:color w:val="000000"/>
                <w:sz w:val="24"/>
                <w:szCs w:val="24"/>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C4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无/丧失劳动力</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E614">
            <w:pPr>
              <w:jc w:val="center"/>
              <w:rPr>
                <w:rFonts w:hint="eastAsia" w:ascii="仿宋_GB2312" w:hAnsi="仿宋_GB2312" w:eastAsia="仿宋_GB2312" w:cs="仿宋_GB2312"/>
                <w:i w:val="0"/>
                <w:iCs w:val="0"/>
                <w:color w:val="000000"/>
                <w:sz w:val="24"/>
                <w:szCs w:val="24"/>
                <w:u w:val="none"/>
              </w:rPr>
            </w:pPr>
          </w:p>
        </w:tc>
      </w:tr>
    </w:tbl>
    <w:p w14:paraId="0E4E7297">
      <w:pPr>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表外：证据新增/删除（详见附录）</w:t>
      </w:r>
    </w:p>
    <w:p w14:paraId="36DBADCE">
      <w:pPr>
        <w:pStyle w:val="2"/>
        <w:rPr>
          <w:rFonts w:hint="eastAsia" w:ascii="仿宋_GB2312" w:hAnsi="仿宋_GB2312" w:eastAsia="仿宋_GB2312" w:cs="仿宋_GB2312"/>
          <w:sz w:val="24"/>
          <w:szCs w:val="24"/>
          <w:lang w:val="en-US" w:eastAsia="zh-CN"/>
        </w:rPr>
      </w:pPr>
    </w:p>
    <w:tbl>
      <w:tblPr>
        <w:tblStyle w:val="3"/>
        <w:tblW w:w="8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0"/>
      </w:tblGrid>
      <w:tr w14:paraId="6D90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13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脱贫户、监测对象牛羊养殖情况  </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注：如果待排查户为脱贫户、监测对象，则填写牛羊养殖情况（据实填写，若无可空）                           </w:t>
            </w:r>
          </w:p>
        </w:tc>
      </w:tr>
      <w:tr w14:paraId="089C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8"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BD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1．肉牛（不含牦牛，含小牛犊）：存栏数量</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（头）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年度出栏数量（去年10月1日至当前）</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（头）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2．羊：存栏数量</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（只）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年度出栏数量（去年10月1日至当前）</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3.2023年度户生产经营性收入中牛羊（不含牦牛）售卖净收入为</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元                                    </w:t>
            </w:r>
          </w:p>
        </w:tc>
      </w:tr>
      <w:tr w14:paraId="38CD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CBB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家庭收入支出情况（倒推连续12个月的家庭纯收入）</w:t>
            </w:r>
          </w:p>
        </w:tc>
      </w:tr>
      <w:tr w14:paraId="7E6F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8"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5E0">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 1．家庭人均纯收入</w:t>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(1)经初步研判家庭人均纯收入高于8300元，则按如下收入区间分段勾选：</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8300元-1万元（含）    1万元-1.2万元（含）     1.2万元-1.6万元（含）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1.6万元一2万元（含） 2万元-3万元（含）      &gt;3万元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 xml:space="preserve">  (2)经初步研判家庭人均纯收入低于或等于8300元，则填写家庭整户收入支出信息如下：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A．生产经营性收入</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B．工资性收入</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C．转移性收入</w:t>
            </w:r>
            <w:r>
              <w:rPr>
                <w:rStyle w:val="7"/>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D．财产性收入</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E．生产经营性支出</w:t>
            </w:r>
            <w:r>
              <w:rPr>
                <w:rStyle w:val="7"/>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w:t>
            </w:r>
          </w:p>
        </w:tc>
      </w:tr>
      <w:tr w14:paraId="3089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AD04">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  2．是否存在合规自付支出    是  否</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 xml:space="preserve">  3．是否存在理赔收入        是  否</w:t>
            </w:r>
          </w:p>
        </w:tc>
      </w:tr>
      <w:tr w14:paraId="5AB9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1681">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“三保障”和饮水安全成果巩固情况</w:t>
            </w:r>
          </w:p>
        </w:tc>
      </w:tr>
      <w:tr w14:paraId="45D0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3"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5F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是否义务教育阶段适龄儿童少年失学辍学                      是／否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是否有家庭成员未参加城乡居民（职工）基本医疗保险          是／否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是否住房出现安全问题                                      是／否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是否饮水出现安全问题                                      是／否 </w:t>
            </w:r>
          </w:p>
        </w:tc>
      </w:tr>
      <w:tr w14:paraId="6AB6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11D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综合上述情况研判，是否存在返贫致贫风险</w:t>
            </w:r>
          </w:p>
        </w:tc>
      </w:tr>
      <w:tr w14:paraId="3C14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0070">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否</w:t>
            </w:r>
          </w:p>
          <w:p w14:paraId="50DBB0EC">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09145505">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是 （因病／因学／因安全住房／因安全饮水／因残／因自然灾害／因意外事故／</w:t>
            </w:r>
          </w:p>
          <w:p w14:paraId="7BC3BB70">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202A5F9C">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因产业项目失败（因价格下降／其他）／因务工就业不稳／缺劳力／其他）</w:t>
            </w:r>
          </w:p>
        </w:tc>
      </w:tr>
    </w:tbl>
    <w:p w14:paraId="55EFFBE5">
      <w:pPr>
        <w:rPr>
          <w:rFonts w:hint="eastAsia" w:ascii="仿宋_GB2312" w:hAnsi="仿宋_GB2312" w:eastAsia="仿宋_GB2312" w:cs="仿宋_GB2312"/>
          <w:sz w:val="24"/>
          <w:szCs w:val="24"/>
          <w:lang w:val="en-US" w:eastAsia="zh-CN"/>
        </w:rPr>
      </w:pPr>
    </w:p>
    <w:p w14:paraId="6D1B9F9F">
      <w:pPr>
        <w:pStyle w:val="2"/>
        <w:rPr>
          <w:rFonts w:hint="default"/>
          <w:lang w:val="en-US" w:eastAsia="zh-CN"/>
        </w:rPr>
      </w:pPr>
    </w:p>
    <w:p w14:paraId="54998B84">
      <w:pPr>
        <w:rPr>
          <w:rFonts w:hint="default"/>
          <w:lang w:val="en-US" w:eastAsia="zh-CN"/>
        </w:rPr>
      </w:pPr>
    </w:p>
    <w:p w14:paraId="2936CC4C">
      <w:pPr>
        <w:pStyle w:val="2"/>
        <w:rPr>
          <w:rFonts w:hint="default"/>
          <w:lang w:val="en-US" w:eastAsia="zh-CN"/>
        </w:rPr>
      </w:pPr>
    </w:p>
    <w:p w14:paraId="061A7655">
      <w:pPr>
        <w:rPr>
          <w:rFonts w:hint="default"/>
          <w:lang w:val="en-US" w:eastAsia="zh-CN"/>
        </w:rPr>
      </w:pPr>
    </w:p>
    <w:p w14:paraId="284519EE">
      <w:pPr>
        <w:pStyle w:val="2"/>
        <w:rPr>
          <w:rFonts w:hint="default"/>
          <w:lang w:val="en-US" w:eastAsia="zh-CN"/>
        </w:rPr>
      </w:pPr>
    </w:p>
    <w:p w14:paraId="5126C0F9">
      <w:pPr>
        <w:rPr>
          <w:rFonts w:hint="default"/>
          <w:lang w:val="en-US" w:eastAsia="zh-CN"/>
        </w:rPr>
      </w:pPr>
    </w:p>
    <w:p w14:paraId="42C3F089">
      <w:pPr>
        <w:pStyle w:val="2"/>
        <w:rPr>
          <w:rFonts w:hint="default"/>
          <w:lang w:val="en-US" w:eastAsia="zh-CN"/>
        </w:rPr>
      </w:pPr>
    </w:p>
    <w:p w14:paraId="52887CB4">
      <w:pPr>
        <w:rPr>
          <w:rFonts w:hint="default"/>
          <w:lang w:val="en-US" w:eastAsia="zh-CN"/>
        </w:rPr>
      </w:pPr>
    </w:p>
    <w:p w14:paraId="6230909F">
      <w:pPr>
        <w:pStyle w:val="2"/>
        <w:rPr>
          <w:rFonts w:hint="default"/>
          <w:lang w:val="en-US" w:eastAsia="zh-CN"/>
        </w:rPr>
      </w:pPr>
    </w:p>
    <w:p w14:paraId="20254609">
      <w:pPr>
        <w:rPr>
          <w:rFonts w:hint="default"/>
          <w:lang w:val="en-US" w:eastAsia="zh-CN"/>
        </w:rPr>
      </w:pPr>
    </w:p>
    <w:p w14:paraId="53E709B7">
      <w:pPr>
        <w:pStyle w:val="2"/>
        <w:rPr>
          <w:rFonts w:hint="default"/>
          <w:lang w:val="en-US" w:eastAsia="zh-CN"/>
        </w:rPr>
      </w:pPr>
    </w:p>
    <w:p w14:paraId="442E51B4">
      <w:pPr>
        <w:rPr>
          <w:rFonts w:hint="default"/>
          <w:lang w:val="en-US" w:eastAsia="zh-CN"/>
        </w:rPr>
      </w:pPr>
    </w:p>
    <w:p w14:paraId="377DD816">
      <w:pPr>
        <w:pStyle w:val="2"/>
        <w:rPr>
          <w:rFonts w:hint="default"/>
          <w:lang w:val="en-US" w:eastAsia="zh-CN"/>
        </w:rPr>
      </w:pPr>
    </w:p>
    <w:p w14:paraId="30C24B33">
      <w:pPr>
        <w:rPr>
          <w:rFonts w:hint="default"/>
          <w:lang w:val="en-US" w:eastAsia="zh-CN"/>
        </w:rPr>
      </w:pPr>
    </w:p>
    <w:p w14:paraId="58AD88C4">
      <w:pPr>
        <w:pStyle w:val="2"/>
        <w:rPr>
          <w:rFonts w:hint="default"/>
          <w:lang w:val="en-US" w:eastAsia="zh-CN"/>
        </w:rPr>
      </w:pPr>
    </w:p>
    <w:p w14:paraId="1EEC332D">
      <w:pPr>
        <w:rPr>
          <w:rFonts w:hint="default"/>
          <w:lang w:val="en-US" w:eastAsia="zh-CN"/>
        </w:rPr>
      </w:pPr>
    </w:p>
    <w:p w14:paraId="23F0CA49">
      <w:pPr>
        <w:pStyle w:val="2"/>
        <w:rPr>
          <w:rFonts w:hint="default"/>
          <w:lang w:val="en-US" w:eastAsia="zh-CN"/>
        </w:rPr>
      </w:pPr>
    </w:p>
    <w:p w14:paraId="67BF65E2">
      <w:pPr>
        <w:rPr>
          <w:rFonts w:hint="default"/>
          <w:lang w:val="en-US" w:eastAsia="zh-CN"/>
        </w:rPr>
      </w:pPr>
    </w:p>
    <w:p w14:paraId="34327B25">
      <w:pPr>
        <w:pStyle w:val="2"/>
        <w:rPr>
          <w:rFonts w:hint="default"/>
          <w:lang w:val="en-US" w:eastAsia="zh-CN"/>
        </w:rPr>
      </w:pPr>
    </w:p>
    <w:p w14:paraId="50A6A81B">
      <w:pPr>
        <w:rPr>
          <w:rFonts w:hint="default"/>
          <w:lang w:val="en-US" w:eastAsia="zh-CN"/>
        </w:rPr>
      </w:pPr>
    </w:p>
    <w:p w14:paraId="60BC0731">
      <w:pPr>
        <w:rPr>
          <w:rFonts w:hint="default"/>
          <w:lang w:val="en-US" w:eastAsia="zh-CN"/>
        </w:rPr>
      </w:pPr>
    </w:p>
    <w:p w14:paraId="0C44C256">
      <w:pPr>
        <w:pStyle w:val="2"/>
        <w:rPr>
          <w:rFonts w:hint="default"/>
          <w:lang w:val="en-US" w:eastAsia="zh-CN"/>
        </w:rPr>
      </w:pPr>
    </w:p>
    <w:p w14:paraId="5721621B">
      <w:pPr>
        <w:rPr>
          <w:rFonts w:hint="default"/>
          <w:lang w:val="en-US" w:eastAsia="zh-CN"/>
        </w:rPr>
      </w:pPr>
    </w:p>
    <w:p w14:paraId="4F6D2248">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农户和家庭成员增减原因备注选项附录</w:t>
      </w:r>
    </w:p>
    <w:p w14:paraId="090034DE">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一、整户增减</w:t>
      </w:r>
    </w:p>
    <w:p w14:paraId="34105682">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农户预置数据来源于乡村建设、土地承包和村集体资产相关业务，数据采集时间不一，为准确反映数据变化情况，各省系统应具有整户新增和删除功能，并备注整户新增、删除原因，届时新增删除标记需要提交国家。</w:t>
      </w:r>
    </w:p>
    <w:p w14:paraId="07A998B7">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（一）整户删除</w:t>
      </w:r>
    </w:p>
    <w:p w14:paraId="37D674A6">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整户删除应该为标记删除而不是物理删除（前台可以显示删除）。整户删除原因备注有（可增加）：1.整户户籍迁出（不含易地扶贫搬迁）；2.易地扶贫搬迁迁出本村；3.查无此户（变更时间默认当前）；4.合户；5.整户销户（死亡、收监等）；6．其它（输入具体原因）。</w:t>
      </w:r>
    </w:p>
    <w:p w14:paraId="626F06A3">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（二）整户新增（以2019年为结点）</w:t>
      </w:r>
    </w:p>
    <w:p w14:paraId="32554C79">
      <w:pPr>
        <w:pStyle w:val="2"/>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系统新增户可以由待选池中选取，也可以完全新建户。整户增加原因：1.易地扶贫搬迁迁入；2.整户迁入（不含易地扶贫搬迁）；3.分户；4.预置遗漏；5.其他（输入具体原因）。</w:t>
      </w:r>
    </w:p>
    <w:p w14:paraId="2012BA53">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二、家庭成员增减</w:t>
      </w:r>
    </w:p>
    <w:p w14:paraId="0686761F">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为有效获取家庭成员变化情况，系统应有家庭成员增减功能，并备注原因届时新增删除标记需要提交国家。</w:t>
      </w:r>
    </w:p>
    <w:p w14:paraId="5DC90F47">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（一）家庭成员减少</w:t>
      </w:r>
    </w:p>
    <w:p w14:paraId="64EAB624">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成员减少应该为标记减少而不是物理删除（前台可以显示删除），家庭成员减少原因备注与巩固脱贫攻坚成果系统家庭成员自然增减原因基本相同，仅增加系统预置错误选项。减少原因包括：1.死亡；2.婚出；3.出国定居；4.判刑收监；5.户籍迁出；6.失联；7.非本户家庭成员（系统预置错误）。</w:t>
      </w:r>
    </w:p>
    <w:p w14:paraId="2899F263">
      <w:pPr>
        <w:pStyle w:val="2"/>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（二）家庭成员新增</w:t>
      </w:r>
    </w:p>
    <w:p w14:paraId="0DA9A581">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系统新增家庭成员可以由待选池中选取，也可以完全新增。新增原因。具体包括：1.新生儿；2.婚入；3.户籍迁入；4.刑满释放；5.收养；6.失联人口回归；7.系统预置遗漏成员（系统预置错误）。</w:t>
      </w:r>
    </w:p>
    <w:p w14:paraId="1C27F6A4">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ECFDCA-36C2-4CBE-969C-7265909795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C82D698-64FF-4860-9887-8E8BB1D0627C}"/>
  </w:font>
  <w:font w:name="仿宋_GB2312">
    <w:panose1 w:val="02010609030101010101"/>
    <w:charset w:val="86"/>
    <w:family w:val="modern"/>
    <w:pitch w:val="default"/>
    <w:sig w:usb0="00000001" w:usb1="080E0000" w:usb2="00000000" w:usb3="00000000" w:csb0="00040000" w:csb1="00000000"/>
    <w:embedRegular r:id="rId3" w:fontKey="{86AB9FFA-644A-49EA-A324-FCF6A14D6267}"/>
  </w:font>
  <w:font w:name="方正小标宋简体">
    <w:panose1 w:val="02000000000000000000"/>
    <w:charset w:val="86"/>
    <w:family w:val="auto"/>
    <w:pitch w:val="default"/>
    <w:sig w:usb0="00000001" w:usb1="080E0000" w:usb2="00000000" w:usb3="00000000" w:csb0="00040000" w:csb1="00000000"/>
    <w:embedRegular r:id="rId4" w:fontKey="{69F94EA2-6049-4FF1-9283-1A06EDE43BA4}"/>
  </w:font>
  <w:font w:name="楷体">
    <w:panose1 w:val="02010609060101010101"/>
    <w:charset w:val="86"/>
    <w:family w:val="auto"/>
    <w:pitch w:val="default"/>
    <w:sig w:usb0="800002BF" w:usb1="38CF7CFA" w:usb2="00000016" w:usb3="00000000" w:csb0="00040001" w:csb1="00000000"/>
    <w:embedRegular r:id="rId5" w:fontKey="{9CD74460-0E32-429D-9243-99A1991827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B47D3"/>
    <w:rsid w:val="02FB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character" w:customStyle="1" w:styleId="5">
    <w:name w:val="font2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b/>
      <w:bCs/>
      <w:color w:val="000000"/>
      <w:sz w:val="24"/>
      <w:szCs w:val="24"/>
      <w:u w:val="none"/>
    </w:rPr>
  </w:style>
  <w:style w:type="character" w:customStyle="1" w:styleId="7">
    <w:name w:val="font31"/>
    <w:basedOn w:val="4"/>
    <w:autoRedefine/>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2024-11-13T08:31:00Z</dcterms:created>
  <dc:creator>阿偲儿</dc:creator>
  <cp:lastModifiedBy>阿偲儿</cp:lastModifiedBy>
  <dcterms:modified xsi:type="dcterms:W3CDTF">2024-11-13T08:31:50Z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68C81A76C7514EB2BDF89C42A1F1655C_11</vt:lpwstr>
  </property>
</Properties>
</file>