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61F18">
      <w:pPr>
        <w:ind w:firstLine="1140" w:firstLineChars="250"/>
        <w:rPr>
          <w:rFonts w:ascii="黑体" w:hAnsi="黑体" w:eastAsia="黑体" w:cs="微软雅黑"/>
          <w:spacing w:val="8"/>
          <w:sz w:val="44"/>
          <w:szCs w:val="44"/>
          <w:shd w:val="clear" w:color="auto" w:fill="FFFFFF"/>
        </w:rPr>
      </w:pPr>
    </w:p>
    <w:p w14:paraId="0CECD6CC">
      <w:pPr>
        <w:ind w:firstLine="1140" w:firstLineChars="250"/>
        <w:rPr>
          <w:rFonts w:ascii="黑体" w:hAnsi="黑体" w:eastAsia="黑体" w:cs="微软雅黑"/>
          <w:spacing w:val="8"/>
          <w:sz w:val="44"/>
          <w:szCs w:val="44"/>
          <w:shd w:val="clear" w:color="auto" w:fill="FFFFFF"/>
        </w:rPr>
      </w:pPr>
      <w:r>
        <w:rPr>
          <w:rFonts w:ascii="黑体" w:hAnsi="黑体" w:eastAsia="黑体" w:cs="微软雅黑"/>
          <w:spacing w:val="8"/>
          <w:sz w:val="44"/>
          <w:szCs w:val="44"/>
          <w:shd w:val="clear" w:color="auto" w:fill="FFFFFF"/>
        </w:rPr>
        <w:t>20</w:t>
      </w:r>
      <w:r>
        <w:rPr>
          <w:rFonts w:hint="eastAsia" w:ascii="黑体" w:hAnsi="黑体" w:eastAsia="黑体" w:cs="微软雅黑"/>
          <w:spacing w:val="8"/>
          <w:sz w:val="44"/>
          <w:szCs w:val="44"/>
          <w:shd w:val="clear" w:color="auto" w:fill="FFFFFF"/>
        </w:rPr>
        <w:t>2</w:t>
      </w:r>
      <w:r>
        <w:rPr>
          <w:rFonts w:hint="eastAsia" w:ascii="黑体" w:hAnsi="黑体" w:eastAsia="黑体" w:cs="微软雅黑"/>
          <w:spacing w:val="8"/>
          <w:sz w:val="44"/>
          <w:szCs w:val="44"/>
          <w:shd w:val="clear" w:color="auto" w:fill="FFFFFF"/>
          <w:lang w:val="en-US" w:eastAsia="zh-CN"/>
        </w:rPr>
        <w:t>3</w:t>
      </w:r>
      <w:r>
        <w:rPr>
          <w:rFonts w:hint="eastAsia" w:ascii="黑体" w:hAnsi="黑体" w:eastAsia="黑体" w:cs="微软雅黑"/>
          <w:spacing w:val="8"/>
          <w:sz w:val="44"/>
          <w:szCs w:val="44"/>
          <w:shd w:val="clear" w:color="auto" w:fill="FFFFFF"/>
        </w:rPr>
        <w:t>年随县绩效管理情况说明</w:t>
      </w:r>
    </w:p>
    <w:p w14:paraId="5AE6DF05">
      <w:pPr>
        <w:ind w:firstLine="640" w:firstLineChars="250"/>
        <w:rPr>
          <w:rFonts w:ascii="黑体" w:hAnsi="黑体" w:eastAsia="黑体" w:cs="微软雅黑"/>
          <w:spacing w:val="8"/>
          <w:sz w:val="24"/>
          <w:szCs w:val="24"/>
          <w:shd w:val="clear" w:color="auto" w:fill="FFFFFF"/>
        </w:rPr>
      </w:pPr>
    </w:p>
    <w:p w14:paraId="245BB2E6">
      <w:pPr>
        <w:ind w:firstLine="640" w:firstLineChars="200"/>
        <w:rPr>
          <w:rFonts w:ascii="仿宋" w:hAnsi="仿宋" w:eastAsia="仿宋" w:cs="仿宋"/>
          <w:kern w:val="0"/>
          <w:szCs w:val="32"/>
        </w:rPr>
      </w:pPr>
      <w:r>
        <w:rPr>
          <w:rFonts w:hint="eastAsia" w:ascii="仿宋" w:hAnsi="仿宋" w:eastAsia="仿宋" w:cs="仿宋"/>
          <w:kern w:val="0"/>
          <w:szCs w:val="32"/>
        </w:rPr>
        <w:t>根据上级工作部署和要求，构建了“预算编制有目标、预算执行有监控、预算完成有评价、评价结果有反馈、反馈结果有应用”的预算绩效管理工作常态化的机制。</w:t>
      </w:r>
    </w:p>
    <w:p w14:paraId="7B6BA837">
      <w:pPr>
        <w:ind w:firstLine="643" w:firstLineChars="200"/>
        <w:rPr>
          <w:rFonts w:hint="eastAsia" w:ascii="仿宋" w:hAnsi="仿宋" w:eastAsia="仿宋" w:cs="仿宋"/>
          <w:kern w:val="0"/>
          <w:szCs w:val="32"/>
        </w:rPr>
      </w:pPr>
      <w:r>
        <w:rPr>
          <w:rFonts w:hint="eastAsia" w:ascii="仿宋" w:hAnsi="仿宋" w:eastAsia="仿宋" w:cs="仿宋"/>
          <w:b/>
          <w:bCs/>
          <w:kern w:val="0"/>
          <w:szCs w:val="32"/>
        </w:rPr>
        <w:t>1、强化全面绩效管理，构建了绩效指标标准体系。</w:t>
      </w:r>
      <w:r>
        <w:rPr>
          <w:rFonts w:hint="eastAsia" w:ascii="仿宋" w:hAnsi="仿宋" w:eastAsia="仿宋" w:cs="仿宋"/>
          <w:kern w:val="0"/>
          <w:szCs w:val="32"/>
        </w:rPr>
        <w:t>建立了以绩效目标为导向、以绩效评价为手段、以结果运用为保障的预算绩效管理体系，推动预算和绩效管理一体化。参照省级绩效指标建设库，初步构建完成了覆盖县级部门的分行业、分领域、分层次核心绩效指标和标准体系。</w:t>
      </w:r>
    </w:p>
    <w:p w14:paraId="1A678A6D">
      <w:pPr>
        <w:spacing w:line="600" w:lineRule="exact"/>
        <w:ind w:firstLine="643" w:firstLineChars="200"/>
        <w:rPr>
          <w:rFonts w:ascii="仿宋" w:hAnsi="仿宋" w:eastAsia="仿宋" w:cs="仿宋"/>
          <w:kern w:val="0"/>
          <w:szCs w:val="32"/>
        </w:rPr>
      </w:pPr>
      <w:r>
        <w:rPr>
          <w:rFonts w:ascii="仿宋" w:hAnsi="仿宋" w:eastAsia="仿宋" w:cs="仿宋"/>
          <w:b/>
          <w:bCs/>
          <w:kern w:val="0"/>
          <w:szCs w:val="32"/>
        </w:rPr>
        <w:t>2</w:t>
      </w:r>
      <w:r>
        <w:rPr>
          <w:rFonts w:hint="eastAsia" w:ascii="仿宋" w:hAnsi="仿宋" w:eastAsia="仿宋" w:cs="仿宋"/>
          <w:b/>
          <w:bCs/>
          <w:kern w:val="0"/>
          <w:szCs w:val="32"/>
        </w:rPr>
        <w:t>、引导和规范第三方机构参与预算绩效管理。</w:t>
      </w:r>
      <w:r>
        <w:rPr>
          <w:rFonts w:hint="eastAsia" w:ascii="仿宋" w:hAnsi="仿宋" w:eastAsia="仿宋" w:cs="仿宋"/>
          <w:kern w:val="0"/>
          <w:szCs w:val="32"/>
        </w:rPr>
        <w:t>根据财政部印发的《第三方机构预算绩效评价业务监督管理暂行办法》、《财政部办公厅关于预算绩效评价第三方机构信用管理平台上线运行的通知》，积极引导和规范第三方机构参与预算绩效管理，鼓励并指导第三方机构完成了“预算绩效评价第三方机构信用管理平台”的用户注册、信息填报。</w:t>
      </w:r>
    </w:p>
    <w:p w14:paraId="55A6442F">
      <w:pPr>
        <w:ind w:firstLine="643" w:firstLineChars="200"/>
        <w:rPr>
          <w:rFonts w:hint="eastAsia" w:ascii="仿宋" w:hAnsi="仿宋" w:eastAsia="仿宋" w:cs="仿宋"/>
          <w:kern w:val="0"/>
          <w:szCs w:val="32"/>
        </w:rPr>
      </w:pPr>
      <w:r>
        <w:rPr>
          <w:rFonts w:ascii="仿宋" w:hAnsi="仿宋" w:eastAsia="仿宋" w:cs="仿宋"/>
          <w:b/>
          <w:bCs/>
          <w:kern w:val="0"/>
          <w:szCs w:val="32"/>
        </w:rPr>
        <w:t>3</w:t>
      </w:r>
      <w:r>
        <w:rPr>
          <w:rFonts w:hint="eastAsia" w:ascii="仿宋" w:hAnsi="仿宋" w:eastAsia="仿宋" w:cs="仿宋"/>
          <w:b/>
          <w:bCs/>
          <w:kern w:val="0"/>
          <w:szCs w:val="32"/>
        </w:rPr>
        <w:t>、落实重大政策和项目事前绩效评估机制。</w:t>
      </w:r>
      <w:r>
        <w:rPr>
          <w:rFonts w:hint="eastAsia" w:ascii="仿宋" w:hAnsi="仿宋" w:eastAsia="仿宋" w:cs="仿宋"/>
          <w:kern w:val="0"/>
          <w:szCs w:val="32"/>
        </w:rPr>
        <w:t>按照《随县预算绩效管理实施暂行办法》规定，对各预算单位新出台的申请县级财政资金500万元及以上的重大政策和项目开展事前绩效评估，以《随县县级预算事前绩效评估指标框架》为参考，从立项必要性、投入经济性、绩效目标合理性、实施方案可行性、筹资合规性等方面，认真开展事前绩效评估，将评估结果作为预算安排的重要参考依据。</w:t>
      </w:r>
    </w:p>
    <w:p w14:paraId="5B936355">
      <w:pPr>
        <w:pStyle w:val="4"/>
        <w:widowControl/>
        <w:spacing w:beforeAutospacing="0" w:afterAutospacing="0" w:line="600" w:lineRule="exact"/>
        <w:ind w:firstLine="643" w:firstLineChars="200"/>
        <w:jc w:val="both"/>
        <w:rPr>
          <w:rFonts w:ascii="仿宋" w:hAnsi="仿宋" w:eastAsia="仿宋" w:cs="微软雅黑"/>
          <w:spacing w:val="8"/>
          <w:kern w:val="2"/>
          <w:sz w:val="32"/>
          <w:szCs w:val="32"/>
          <w:shd w:val="clear" w:color="auto" w:fill="FFFFFF"/>
        </w:rPr>
      </w:pPr>
      <w:r>
        <w:rPr>
          <w:rFonts w:ascii="仿宋" w:hAnsi="仿宋" w:eastAsia="仿宋" w:cs="仿宋"/>
          <w:b/>
          <w:bCs/>
          <w:sz w:val="32"/>
          <w:szCs w:val="32"/>
        </w:rPr>
        <w:t>4</w:t>
      </w:r>
      <w:r>
        <w:rPr>
          <w:rFonts w:hint="eastAsia" w:ascii="仿宋" w:hAnsi="仿宋" w:eastAsia="仿宋" w:cs="仿宋"/>
          <w:b/>
          <w:bCs/>
          <w:sz w:val="32"/>
          <w:szCs w:val="32"/>
        </w:rPr>
        <w:t>、绩效评价结果应用逐步加强。</w:t>
      </w:r>
      <w:r>
        <w:rPr>
          <w:rFonts w:ascii="仿宋" w:hAnsi="仿宋" w:eastAsia="仿宋" w:cs="微软雅黑"/>
          <w:spacing w:val="8"/>
          <w:kern w:val="2"/>
          <w:sz w:val="32"/>
          <w:szCs w:val="32"/>
          <w:shd w:val="clear" w:color="auto" w:fill="FFFFFF"/>
        </w:rPr>
        <w:t>20</w:t>
      </w:r>
      <w:r>
        <w:rPr>
          <w:rFonts w:hint="eastAsia" w:ascii="仿宋" w:hAnsi="仿宋" w:eastAsia="仿宋" w:cs="微软雅黑"/>
          <w:spacing w:val="8"/>
          <w:kern w:val="2"/>
          <w:sz w:val="32"/>
          <w:szCs w:val="32"/>
          <w:shd w:val="clear" w:color="auto" w:fill="FFFFFF"/>
        </w:rPr>
        <w:t>2</w:t>
      </w:r>
      <w:r>
        <w:rPr>
          <w:rFonts w:hint="eastAsia" w:ascii="仿宋" w:hAnsi="仿宋" w:eastAsia="仿宋" w:cs="微软雅黑"/>
          <w:spacing w:val="8"/>
          <w:kern w:val="2"/>
          <w:sz w:val="32"/>
          <w:szCs w:val="32"/>
          <w:shd w:val="clear" w:color="auto" w:fill="FFFFFF"/>
          <w:lang w:val="en-US" w:eastAsia="zh-CN"/>
        </w:rPr>
        <w:t>3</w:t>
      </w:r>
      <w:r>
        <w:rPr>
          <w:rFonts w:hint="eastAsia" w:ascii="仿宋" w:hAnsi="仿宋" w:eastAsia="仿宋" w:cs="微软雅黑"/>
          <w:spacing w:val="8"/>
          <w:kern w:val="2"/>
          <w:sz w:val="32"/>
          <w:szCs w:val="32"/>
          <w:shd w:val="clear" w:color="auto" w:fill="FFFFFF"/>
        </w:rPr>
        <w:t>年预算项目绩效目标编报与</w:t>
      </w:r>
      <w:r>
        <w:rPr>
          <w:rFonts w:ascii="仿宋" w:hAnsi="仿宋" w:eastAsia="仿宋" w:cs="微软雅黑"/>
          <w:spacing w:val="8"/>
          <w:kern w:val="2"/>
          <w:sz w:val="32"/>
          <w:szCs w:val="32"/>
          <w:shd w:val="clear" w:color="auto" w:fill="FFFFFF"/>
        </w:rPr>
        <w:t>20</w:t>
      </w:r>
      <w:r>
        <w:rPr>
          <w:rFonts w:hint="eastAsia" w:ascii="仿宋" w:hAnsi="仿宋" w:eastAsia="仿宋" w:cs="微软雅黑"/>
          <w:spacing w:val="8"/>
          <w:kern w:val="2"/>
          <w:sz w:val="32"/>
          <w:szCs w:val="32"/>
          <w:shd w:val="clear" w:color="auto" w:fill="FFFFFF"/>
        </w:rPr>
        <w:t>2</w:t>
      </w:r>
      <w:r>
        <w:rPr>
          <w:rFonts w:hint="eastAsia" w:ascii="仿宋" w:hAnsi="仿宋" w:eastAsia="仿宋" w:cs="微软雅黑"/>
          <w:spacing w:val="8"/>
          <w:kern w:val="2"/>
          <w:sz w:val="32"/>
          <w:szCs w:val="32"/>
          <w:shd w:val="clear" w:color="auto" w:fill="FFFFFF"/>
          <w:lang w:val="en-US" w:eastAsia="zh-CN"/>
        </w:rPr>
        <w:t>3</w:t>
      </w:r>
      <w:r>
        <w:rPr>
          <w:rFonts w:hint="eastAsia" w:ascii="仿宋" w:hAnsi="仿宋" w:eastAsia="仿宋" w:cs="微软雅黑"/>
          <w:spacing w:val="8"/>
          <w:kern w:val="2"/>
          <w:sz w:val="32"/>
          <w:szCs w:val="32"/>
          <w:shd w:val="clear" w:color="auto" w:fill="FFFFFF"/>
        </w:rPr>
        <w:t>年预算编制同步部署、同步开展，以评促效，推进预算和绩效管理一体化。切实加强以民生为本、绩效为导向的</w:t>
      </w:r>
      <w:r>
        <w:rPr>
          <w:rFonts w:ascii="仿宋" w:hAnsi="仿宋" w:eastAsia="仿宋" w:cs="微软雅黑"/>
          <w:spacing w:val="8"/>
          <w:kern w:val="2"/>
          <w:sz w:val="32"/>
          <w:szCs w:val="32"/>
          <w:shd w:val="clear" w:color="auto" w:fill="FFFFFF"/>
        </w:rPr>
        <w:t>20</w:t>
      </w:r>
      <w:r>
        <w:rPr>
          <w:rFonts w:hint="eastAsia" w:ascii="仿宋" w:hAnsi="仿宋" w:eastAsia="仿宋" w:cs="微软雅黑"/>
          <w:spacing w:val="8"/>
          <w:kern w:val="2"/>
          <w:sz w:val="32"/>
          <w:szCs w:val="32"/>
          <w:shd w:val="clear" w:color="auto" w:fill="FFFFFF"/>
        </w:rPr>
        <w:t>2</w:t>
      </w:r>
      <w:r>
        <w:rPr>
          <w:rFonts w:hint="eastAsia" w:ascii="仿宋" w:hAnsi="仿宋" w:eastAsia="仿宋" w:cs="微软雅黑"/>
          <w:spacing w:val="8"/>
          <w:kern w:val="2"/>
          <w:sz w:val="32"/>
          <w:szCs w:val="32"/>
          <w:shd w:val="clear" w:color="auto" w:fill="FFFFFF"/>
          <w:lang w:val="en-US" w:eastAsia="zh-CN"/>
        </w:rPr>
        <w:t>3</w:t>
      </w:r>
      <w:bookmarkStart w:id="0" w:name="_GoBack"/>
      <w:bookmarkEnd w:id="0"/>
      <w:r>
        <w:rPr>
          <w:rFonts w:hint="eastAsia" w:ascii="仿宋" w:hAnsi="仿宋" w:eastAsia="仿宋" w:cs="微软雅黑"/>
          <w:spacing w:val="8"/>
          <w:kern w:val="2"/>
          <w:sz w:val="32"/>
          <w:szCs w:val="32"/>
          <w:shd w:val="clear" w:color="auto" w:fill="FFFFFF"/>
        </w:rPr>
        <w:t>年预算编制工作，预算安排见政策、见目标，发现预算没有政策依据、财政政策时限失效的，不予安排预算。坚持上一年度评价结果与预算安排相挂钩，作为绩效管理问责的重要依据，按照奖优惩劣的原则，有效发挥激励约束机制，切实做到“花钱必问效，无效必问责”。</w:t>
      </w:r>
    </w:p>
    <w:p w14:paraId="0407375A">
      <w:pPr>
        <w:ind w:firstLine="643" w:firstLineChars="200"/>
        <w:rPr>
          <w:rFonts w:ascii="仿宋" w:hAnsi="仿宋" w:eastAsia="仿宋" w:cstheme="minorBidi"/>
          <w:szCs w:val="32"/>
        </w:rPr>
      </w:pPr>
      <w:r>
        <w:rPr>
          <w:rFonts w:ascii="仿宋" w:hAnsi="仿宋" w:eastAsia="仿宋" w:cs="仿宋"/>
          <w:b/>
          <w:bCs/>
          <w:kern w:val="0"/>
          <w:szCs w:val="32"/>
        </w:rPr>
        <w:t>5</w:t>
      </w:r>
      <w:r>
        <w:rPr>
          <w:rFonts w:hint="eastAsia" w:ascii="仿宋" w:hAnsi="仿宋" w:eastAsia="仿宋" w:cs="仿宋"/>
          <w:b/>
          <w:bCs/>
          <w:kern w:val="0"/>
          <w:szCs w:val="32"/>
        </w:rPr>
        <w:t>、对重点项目支出、部门整体支出开展绩效评价。</w:t>
      </w:r>
      <w:r>
        <w:rPr>
          <w:rFonts w:hint="eastAsia" w:ascii="仿宋" w:hAnsi="仿宋" w:eastAsia="仿宋" w:cstheme="minorBidi"/>
          <w:szCs w:val="32"/>
        </w:rPr>
        <w:t>预算绩效管理股下发了《关于开展2021年度县本级财政支出绩效评价工作的通知》（随县财发[20</w:t>
      </w:r>
      <w:r>
        <w:rPr>
          <w:rFonts w:hint="eastAsia" w:ascii="仿宋" w:hAnsi="仿宋" w:eastAsia="仿宋" w:cs="仿宋"/>
          <w:kern w:val="0"/>
          <w:szCs w:val="32"/>
        </w:rPr>
        <w:t>21]11号</w:t>
      </w:r>
      <w:r>
        <w:rPr>
          <w:rFonts w:hint="eastAsia" w:ascii="仿宋" w:hAnsi="仿宋" w:eastAsia="仿宋" w:cstheme="minorBidi"/>
          <w:szCs w:val="32"/>
        </w:rPr>
        <w:t>），选取重点民生和社会公益性较强的27个财政支出项目31539万元以及30个预算部门实施财政绩效评价。</w:t>
      </w:r>
    </w:p>
    <w:p w14:paraId="302946A1">
      <w:pPr>
        <w:pStyle w:val="4"/>
        <w:widowControl/>
        <w:spacing w:beforeAutospacing="0" w:afterAutospacing="0" w:line="600" w:lineRule="exact"/>
        <w:ind w:firstLine="572" w:firstLineChars="200"/>
        <w:jc w:val="both"/>
        <w:rPr>
          <w:rFonts w:ascii="微软雅黑" w:hAnsi="微软雅黑" w:eastAsia="微软雅黑" w:cs="微软雅黑"/>
          <w:spacing w:val="8"/>
          <w:sz w:val="27"/>
          <w:szCs w:val="27"/>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1ODY3ZWMzY2M3ZDgxN2U4YjA4Y2NmODVjYzg1Y2YifQ=="/>
  </w:docVars>
  <w:rsids>
    <w:rsidRoot w:val="00620F9F"/>
    <w:rsid w:val="0010080C"/>
    <w:rsid w:val="00137BCA"/>
    <w:rsid w:val="0016026D"/>
    <w:rsid w:val="00296C37"/>
    <w:rsid w:val="002B69A6"/>
    <w:rsid w:val="0046165E"/>
    <w:rsid w:val="00506FEC"/>
    <w:rsid w:val="00580EA3"/>
    <w:rsid w:val="005D7213"/>
    <w:rsid w:val="00620F9F"/>
    <w:rsid w:val="008602A5"/>
    <w:rsid w:val="00BD564B"/>
    <w:rsid w:val="00CC08D9"/>
    <w:rsid w:val="00DC7B54"/>
    <w:rsid w:val="00E21AF9"/>
    <w:rsid w:val="00F3005D"/>
    <w:rsid w:val="08EB3FCC"/>
    <w:rsid w:val="354C56F4"/>
    <w:rsid w:val="37117D05"/>
    <w:rsid w:val="37E21865"/>
    <w:rsid w:val="475A6379"/>
    <w:rsid w:val="58095778"/>
    <w:rsid w:val="5DF94AC6"/>
    <w:rsid w:val="5DFD3813"/>
    <w:rsid w:val="FE9B3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842</Words>
  <Characters>872</Characters>
  <Lines>6</Lines>
  <Paragraphs>1</Paragraphs>
  <TotalTime>6</TotalTime>
  <ScaleCrop>false</ScaleCrop>
  <LinksUpToDate>false</LinksUpToDate>
  <CharactersWithSpaces>872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2022-10-20T07:28:00Z</dcterms:created>
  <dc:creator>田雨薇</dc:creator>
  <cp:lastModifiedBy>Administrator</cp:lastModifiedBy>
  <cp:lastPrinted>2020-10-16T00:30:00Z</cp:lastPrinted>
  <dcterms:modified xsi:type="dcterms:W3CDTF">2024-09-23T10:29:12Z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BF99DB256961430CA78BB21E9F7DE9A6</vt:lpwstr>
  </property>
</Properties>
</file>