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20" w:lineRule="exact"/>
        <w:jc w:val="center"/>
        <w:rPr>
          <w:rFonts w:eastAsia="楷体_GB2312"/>
          <w:b/>
          <w:color w:val="000000"/>
          <w:sz w:val="32"/>
          <w:szCs w:val="32"/>
        </w:rPr>
      </w:pPr>
      <w:bookmarkStart w:id="0" w:name="_GoBack"/>
      <w:r>
        <w:rPr>
          <w:rFonts w:eastAsia="楷体_GB2312"/>
          <w:b/>
          <w:color w:val="000000"/>
          <w:sz w:val="32"/>
          <w:szCs w:val="32"/>
        </w:rPr>
        <w:t xml:space="preserve">名词解释 </w:t>
      </w:r>
    </w:p>
    <w:bookmarkEnd w:id="0"/>
    <w:p>
      <w:pPr>
        <w:spacing w:line="620" w:lineRule="exact"/>
        <w:ind w:firstLine="643" w:firstLineChars="200"/>
        <w:rPr>
          <w:rFonts w:eastAsia="楷体_GB2312"/>
          <w:b/>
          <w:sz w:val="32"/>
          <w:szCs w:val="32"/>
        </w:rPr>
      </w:pPr>
      <w:r>
        <w:rPr>
          <w:rFonts w:eastAsia="楷体_GB2312"/>
          <w:b/>
          <w:sz w:val="32"/>
          <w:szCs w:val="32"/>
        </w:rPr>
        <w:t>1、转移支付</w:t>
      </w:r>
    </w:p>
    <w:p>
      <w:pPr>
        <w:spacing w:line="620" w:lineRule="exact"/>
        <w:ind w:firstLine="640" w:firstLineChars="200"/>
        <w:rPr>
          <w:rFonts w:eastAsia="方正仿宋简体"/>
          <w:sz w:val="32"/>
          <w:szCs w:val="32"/>
        </w:rPr>
      </w:pPr>
      <w:r>
        <w:rPr>
          <w:rFonts w:eastAsia="方正仿宋简体"/>
          <w:sz w:val="32"/>
          <w:szCs w:val="32"/>
        </w:rPr>
        <w:t>指上级政府通过预算安排的对下级政府无偿的资金拨付。现行我国中央、省、市州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市州特定政策目标，专款专用。</w:t>
      </w:r>
    </w:p>
    <w:p>
      <w:pPr>
        <w:spacing w:line="620" w:lineRule="exact"/>
        <w:ind w:firstLine="643" w:firstLineChars="200"/>
        <w:rPr>
          <w:rFonts w:eastAsia="楷体_GB2312"/>
          <w:b/>
          <w:sz w:val="32"/>
          <w:szCs w:val="32"/>
        </w:rPr>
      </w:pPr>
      <w:r>
        <w:rPr>
          <w:rFonts w:eastAsia="楷体_GB2312"/>
          <w:b/>
          <w:sz w:val="32"/>
          <w:szCs w:val="32"/>
        </w:rPr>
        <w:t>2、部门预算</w:t>
      </w:r>
    </w:p>
    <w:p>
      <w:pPr>
        <w:spacing w:line="620" w:lineRule="exact"/>
        <w:ind w:firstLine="640" w:firstLineChars="200"/>
        <w:rPr>
          <w:rFonts w:eastAsia="方正仿宋简体"/>
          <w:sz w:val="32"/>
          <w:szCs w:val="32"/>
        </w:rPr>
      </w:pPr>
      <w:r>
        <w:rPr>
          <w:rFonts w:eastAsia="方正仿宋简体"/>
          <w:sz w:val="32"/>
          <w:szCs w:val="32"/>
        </w:rPr>
        <w:t>是指政府部门依据国家有关法律、法规、政策及其履行职能需要，由基层预算单位开始编制，逐级上报、审核、汇总，经财政部门审核后，提交立法机关依法批准的涵盖部门各项收支年度财政收支计划。</w:t>
      </w:r>
    </w:p>
    <w:p>
      <w:pPr>
        <w:spacing w:line="620" w:lineRule="exact"/>
        <w:ind w:firstLine="643" w:firstLineChars="200"/>
        <w:rPr>
          <w:rFonts w:eastAsia="楷体_GB2312"/>
          <w:b/>
          <w:sz w:val="32"/>
          <w:szCs w:val="32"/>
        </w:rPr>
      </w:pPr>
      <w:r>
        <w:rPr>
          <w:rFonts w:eastAsia="楷体_GB2312"/>
          <w:b/>
          <w:sz w:val="32"/>
          <w:szCs w:val="32"/>
        </w:rPr>
        <w:t>3、返还性收入</w:t>
      </w:r>
    </w:p>
    <w:p>
      <w:pPr>
        <w:spacing w:line="620" w:lineRule="exact"/>
        <w:ind w:firstLine="640" w:firstLineChars="200"/>
        <w:rPr>
          <w:rFonts w:eastAsia="方正仿宋简体"/>
          <w:sz w:val="32"/>
          <w:szCs w:val="32"/>
        </w:rPr>
      </w:pPr>
      <w:r>
        <w:rPr>
          <w:rFonts w:eastAsia="方正仿宋简体"/>
          <w:sz w:val="32"/>
          <w:szCs w:val="32"/>
        </w:rPr>
        <w:t>指下级政府收到上级政府的返还性收入，包括增值税和消费税返还、所得税基数返还、成品油价格和税费改革税收返还和其他税收返还等。</w:t>
      </w:r>
    </w:p>
    <w:p>
      <w:pPr>
        <w:spacing w:line="620" w:lineRule="exact"/>
        <w:ind w:firstLine="643" w:firstLineChars="200"/>
        <w:rPr>
          <w:rFonts w:eastAsia="楷体_GB2312"/>
          <w:b/>
          <w:sz w:val="32"/>
          <w:szCs w:val="32"/>
        </w:rPr>
      </w:pPr>
      <w:r>
        <w:rPr>
          <w:rFonts w:eastAsia="楷体_GB2312"/>
          <w:b/>
          <w:sz w:val="32"/>
          <w:szCs w:val="32"/>
        </w:rPr>
        <w:t>4、调入资金</w:t>
      </w:r>
    </w:p>
    <w:p>
      <w:pPr>
        <w:spacing w:line="620" w:lineRule="exact"/>
        <w:ind w:firstLine="640" w:firstLineChars="200"/>
        <w:rPr>
          <w:rFonts w:eastAsia="方正仿宋简体"/>
          <w:sz w:val="32"/>
          <w:szCs w:val="32"/>
        </w:rPr>
      </w:pPr>
      <w:r>
        <w:rPr>
          <w:rFonts w:eastAsia="方正仿宋简体"/>
          <w:sz w:val="32"/>
          <w:szCs w:val="32"/>
        </w:rPr>
        <w:t>指不同性质之间的调入收入，本文主要是反映从政府性基金预算、国有资本经营预算等其他预算调入一般公共预算的资金。</w:t>
      </w:r>
    </w:p>
    <w:p>
      <w:pPr>
        <w:spacing w:line="620" w:lineRule="exact"/>
        <w:ind w:firstLine="643" w:firstLineChars="200"/>
        <w:rPr>
          <w:rFonts w:eastAsia="楷体_GB2312"/>
          <w:b/>
          <w:sz w:val="32"/>
          <w:szCs w:val="32"/>
        </w:rPr>
      </w:pPr>
      <w:r>
        <w:rPr>
          <w:rFonts w:eastAsia="楷体_GB2312"/>
          <w:b/>
          <w:sz w:val="32"/>
          <w:szCs w:val="32"/>
        </w:rPr>
        <w:t>5、转移性收入</w:t>
      </w:r>
    </w:p>
    <w:p>
      <w:pPr>
        <w:spacing w:line="620" w:lineRule="exact"/>
        <w:ind w:firstLine="640" w:firstLineChars="200"/>
        <w:rPr>
          <w:rFonts w:eastAsia="方正仿宋简体"/>
          <w:sz w:val="32"/>
          <w:szCs w:val="32"/>
        </w:rPr>
      </w:pPr>
      <w:r>
        <w:rPr>
          <w:rFonts w:eastAsia="方正仿宋简体"/>
          <w:sz w:val="32"/>
          <w:szCs w:val="32"/>
        </w:rPr>
        <w:t>转移性收入是指在各级政府财政之间进行资金调拨以及在本级政府财政不同类型资金之间调剂所形成的收入，包括补助收入、上解收入、调入资金和地区间援助收入等。其中，补助收入是指上级政府财政按照财政体制规定或因专项需要补助给本级政府财政的款项，包括上级税收返还、转移支付等。上解收入是指按照财政体制规定由下级政府财政上交给本级政府财政的款项。调入资金是指政府财政为平衡某类预算收支、从其他类型预算资金及其他渠道调入的资金。地区间援助收入是指受援方政府财政收到援助方政府财政转来的可统筹使用的各类援助、捐赠等资金收入。</w:t>
      </w:r>
    </w:p>
    <w:p>
      <w:pPr>
        <w:spacing w:line="620" w:lineRule="exact"/>
        <w:ind w:firstLine="643" w:firstLineChars="200"/>
        <w:rPr>
          <w:rFonts w:eastAsia="楷体_GB2312"/>
          <w:b/>
          <w:sz w:val="32"/>
          <w:szCs w:val="32"/>
        </w:rPr>
      </w:pPr>
      <w:r>
        <w:rPr>
          <w:rFonts w:eastAsia="楷体_GB2312"/>
          <w:b/>
          <w:sz w:val="32"/>
          <w:szCs w:val="32"/>
        </w:rPr>
        <w:t>6、转移性支出</w:t>
      </w:r>
    </w:p>
    <w:p>
      <w:pPr>
        <w:spacing w:line="620" w:lineRule="exact"/>
        <w:ind w:firstLine="640" w:firstLineChars="200"/>
        <w:rPr>
          <w:rFonts w:eastAsia="方正仿宋简体"/>
          <w:sz w:val="32"/>
          <w:szCs w:val="32"/>
        </w:rPr>
      </w:pPr>
      <w:r>
        <w:rPr>
          <w:rFonts w:eastAsia="方正仿宋简体"/>
          <w:sz w:val="32"/>
          <w:szCs w:val="32"/>
        </w:rPr>
        <w:t>转移性支出是指在各级政府财政之间进行资金调拨以及在本级政府财政不同类型资金之间调剂所形成的支出，包括补助支出、上解支出、调出资金、地区间援助支出等。其中，补助支出是指本级政府财政按财政体制规定或因专项需要补助给下级政府财政的款项，包括对下级的税收返还、转移支付等。上解支出是指按照财政体制规定由本级政府财政上交给上级政府财政的款项。调出资金是指政府财政为平衡预算收支、从某类资金向其他类型预算调出的资金。地区间援助支出是指援助方政府财政安排用于受援方政府财政统筹使用的各类援助、捐赠等资金支出。</w:t>
      </w:r>
    </w:p>
    <w:p>
      <w:pPr>
        <w:spacing w:line="620" w:lineRule="exact"/>
        <w:ind w:firstLine="643" w:firstLineChars="200"/>
        <w:rPr>
          <w:rFonts w:eastAsia="楷体_GB2312"/>
          <w:b/>
          <w:sz w:val="32"/>
          <w:szCs w:val="32"/>
        </w:rPr>
      </w:pPr>
      <w:r>
        <w:rPr>
          <w:rFonts w:eastAsia="楷体_GB2312"/>
          <w:b/>
          <w:sz w:val="32"/>
          <w:szCs w:val="32"/>
        </w:rPr>
        <w:t>7、上解省财政支出</w:t>
      </w:r>
    </w:p>
    <w:p>
      <w:pPr>
        <w:spacing w:line="620" w:lineRule="exact"/>
        <w:ind w:firstLine="640" w:firstLineChars="200"/>
        <w:rPr>
          <w:rFonts w:eastAsia="方正仿宋简体"/>
          <w:sz w:val="32"/>
          <w:szCs w:val="32"/>
        </w:rPr>
      </w:pPr>
      <w:r>
        <w:rPr>
          <w:rFonts w:eastAsia="方正仿宋简体"/>
          <w:sz w:val="32"/>
          <w:szCs w:val="32"/>
        </w:rPr>
        <w:t>是指市级财政根据省对下财政体制应上解省级财政的支出，主要包括体制上解支出和专项上解支出。</w:t>
      </w:r>
    </w:p>
    <w:p>
      <w:pPr>
        <w:spacing w:line="620" w:lineRule="exact"/>
        <w:ind w:firstLine="643" w:firstLineChars="200"/>
        <w:rPr>
          <w:rFonts w:eastAsia="楷体_GB2312"/>
          <w:b/>
          <w:sz w:val="32"/>
          <w:szCs w:val="32"/>
        </w:rPr>
      </w:pPr>
      <w:r>
        <w:rPr>
          <w:rFonts w:eastAsia="楷体_GB2312"/>
          <w:b/>
          <w:sz w:val="32"/>
          <w:szCs w:val="32"/>
        </w:rPr>
        <w:t>8、预算稳定调节基金</w:t>
      </w:r>
    </w:p>
    <w:p>
      <w:pPr>
        <w:spacing w:line="620" w:lineRule="exact"/>
        <w:ind w:firstLine="640" w:firstLineChars="200"/>
        <w:rPr>
          <w:rFonts w:eastAsia="方正仿宋简体"/>
          <w:sz w:val="32"/>
          <w:szCs w:val="32"/>
        </w:rPr>
      </w:pPr>
      <w:r>
        <w:rPr>
          <w:rFonts w:eastAsia="方正仿宋简体"/>
          <w:sz w:val="32"/>
          <w:szCs w:val="32"/>
        </w:rPr>
        <w:t>是指各级财政通过超收或清理整合结余资金安排的具有储备性质的基金，用于弥补短收年份预算执行的收支缺口，以及视预算平衡情况，在安排年初预算时调入并安排使用，是一种逆周期财政政策的重要工具。</w:t>
      </w:r>
    </w:p>
    <w:p>
      <w:pPr>
        <w:spacing w:line="620" w:lineRule="exact"/>
        <w:ind w:firstLine="643" w:firstLineChars="200"/>
        <w:rPr>
          <w:rFonts w:eastAsia="楷体_GB2312"/>
          <w:b/>
          <w:sz w:val="32"/>
          <w:szCs w:val="32"/>
        </w:rPr>
      </w:pPr>
      <w:r>
        <w:rPr>
          <w:rFonts w:eastAsia="楷体_GB2312"/>
          <w:b/>
          <w:sz w:val="32"/>
          <w:szCs w:val="32"/>
        </w:rPr>
        <w:t>9、政府性基金预算</w:t>
      </w:r>
    </w:p>
    <w:p>
      <w:pPr>
        <w:spacing w:line="620" w:lineRule="exact"/>
        <w:ind w:firstLine="640" w:firstLineChars="200"/>
        <w:rPr>
          <w:rFonts w:eastAsia="方正仿宋简体"/>
          <w:sz w:val="32"/>
          <w:szCs w:val="32"/>
        </w:rPr>
      </w:pPr>
      <w:r>
        <w:rPr>
          <w:rFonts w:eastAsia="方正仿宋简体"/>
          <w:sz w:val="32"/>
          <w:szCs w:val="32"/>
        </w:rPr>
        <w:t>指政府通过向社会征收基金、收费，以及出让土地、发行彩票等方式取得收入，专项用于支持特定基础设施建设和社会事业发展等方面的收支预算。</w:t>
      </w:r>
    </w:p>
    <w:p>
      <w:pPr>
        <w:spacing w:line="620" w:lineRule="exact"/>
        <w:ind w:firstLine="643" w:firstLineChars="200"/>
        <w:rPr>
          <w:rFonts w:eastAsia="楷体_GB2312"/>
          <w:b/>
          <w:sz w:val="32"/>
          <w:szCs w:val="32"/>
        </w:rPr>
      </w:pPr>
      <w:r>
        <w:rPr>
          <w:rFonts w:eastAsia="楷体_GB2312"/>
          <w:b/>
          <w:sz w:val="32"/>
          <w:szCs w:val="32"/>
        </w:rPr>
        <w:t>10、社会保险基金预算</w:t>
      </w:r>
    </w:p>
    <w:p>
      <w:pPr>
        <w:spacing w:line="620" w:lineRule="exact"/>
        <w:ind w:firstLine="640" w:firstLineChars="200"/>
        <w:rPr>
          <w:rFonts w:eastAsia="方正仿宋简体"/>
          <w:sz w:val="32"/>
          <w:szCs w:val="32"/>
        </w:rPr>
      </w:pPr>
      <w:r>
        <w:rPr>
          <w:rFonts w:eastAsia="方正仿宋简体"/>
          <w:sz w:val="32"/>
          <w:szCs w:val="32"/>
        </w:rPr>
        <w:t>指政府通过社会保险单位缴费、政府公共预算安排等方式取得收入，专项用于社会保障支出的收支预算。</w:t>
      </w:r>
    </w:p>
    <w:p>
      <w:pPr>
        <w:spacing w:line="620" w:lineRule="exact"/>
        <w:ind w:firstLine="643" w:firstLineChars="200"/>
        <w:rPr>
          <w:rFonts w:eastAsia="楷体_GB2312"/>
          <w:b/>
          <w:sz w:val="32"/>
          <w:szCs w:val="32"/>
        </w:rPr>
      </w:pPr>
      <w:r>
        <w:rPr>
          <w:rFonts w:eastAsia="楷体_GB2312"/>
          <w:b/>
          <w:sz w:val="32"/>
          <w:szCs w:val="32"/>
        </w:rPr>
        <w:t>11、国有资本经营预算</w:t>
      </w:r>
    </w:p>
    <w:p>
      <w:pPr>
        <w:spacing w:line="620" w:lineRule="exact"/>
        <w:ind w:firstLine="640" w:firstLineChars="200"/>
        <w:rPr>
          <w:rFonts w:eastAsia="方正仿宋简体"/>
          <w:sz w:val="32"/>
          <w:szCs w:val="32"/>
        </w:rPr>
      </w:pPr>
      <w:r>
        <w:rPr>
          <w:rFonts w:eastAsia="方正仿宋简体"/>
          <w:sz w:val="32"/>
          <w:szCs w:val="32"/>
        </w:rPr>
        <w:t>指国家以所有者身份依法取得国有资本经营收益，并对所得收益进行分配而发生的收支预算。国有资本经营预算收入主要包括从国家出资企业取得的利润、股利、股息和国有产权（股权）转让收入、清算收入等，支出主要用于对国有经济和产业结构调整以及弥补一些国有企业的改革成本等。</w:t>
      </w:r>
    </w:p>
    <w:p>
      <w:pPr>
        <w:spacing w:line="620" w:lineRule="exact"/>
        <w:ind w:firstLine="643" w:firstLineChars="200"/>
        <w:rPr>
          <w:rFonts w:eastAsia="楷体_GB2312"/>
          <w:b/>
          <w:sz w:val="32"/>
          <w:szCs w:val="32"/>
        </w:rPr>
      </w:pPr>
      <w:r>
        <w:rPr>
          <w:rFonts w:eastAsia="楷体_GB2312"/>
          <w:b/>
          <w:sz w:val="32"/>
          <w:szCs w:val="32"/>
        </w:rPr>
        <w:t>12、地方政府一般债务</w:t>
      </w:r>
    </w:p>
    <w:p>
      <w:pPr>
        <w:spacing w:line="620" w:lineRule="exact"/>
        <w:ind w:firstLine="640" w:firstLineChars="200"/>
        <w:rPr>
          <w:rFonts w:eastAsia="方正仿宋简体"/>
          <w:sz w:val="32"/>
          <w:szCs w:val="32"/>
        </w:rPr>
      </w:pPr>
      <w:r>
        <w:rPr>
          <w:rFonts w:eastAsia="方正仿宋简体"/>
          <w:sz w:val="32"/>
          <w:szCs w:val="32"/>
        </w:rPr>
        <w:t>指地方政府一般债券、地方政府负有偿还责任的国际金融组织和外国政府贷款转贷债务、清理甄别认定的截止2014年12月31日非地方政府债券形式的存量一般债务。根据《中华人民共和国预算法》、《国务院关于加强地方政府性债务管理的意见》（国发〔2014〕43号）等有关规定，一般债务收入、安排的支出、还本付息、发行费用纳入一般公共预算管理。</w:t>
      </w:r>
    </w:p>
    <w:p>
      <w:pPr>
        <w:spacing w:line="620" w:lineRule="exact"/>
        <w:ind w:firstLine="643" w:firstLineChars="200"/>
        <w:rPr>
          <w:rFonts w:eastAsia="楷体_GB2312"/>
          <w:b/>
          <w:sz w:val="32"/>
          <w:szCs w:val="32"/>
        </w:rPr>
      </w:pPr>
      <w:r>
        <w:rPr>
          <w:rFonts w:eastAsia="楷体_GB2312"/>
          <w:b/>
          <w:sz w:val="32"/>
          <w:szCs w:val="32"/>
        </w:rPr>
        <w:t>13、地方政府一般债券还本</w:t>
      </w:r>
    </w:p>
    <w:p>
      <w:pPr>
        <w:spacing w:line="620" w:lineRule="exact"/>
        <w:ind w:firstLine="640" w:firstLineChars="200"/>
        <w:rPr>
          <w:rFonts w:eastAsia="方正仿宋简体"/>
          <w:sz w:val="32"/>
          <w:szCs w:val="32"/>
        </w:rPr>
      </w:pPr>
      <w:r>
        <w:rPr>
          <w:rFonts w:eastAsia="方正仿宋简体"/>
          <w:sz w:val="32"/>
          <w:szCs w:val="32"/>
        </w:rPr>
        <w:t>指地方政府用于归还一般债务本金所发生的支出，由于地方政府在收到一般债券的当年列入相关支出，为避免重复列支出，债券还本资金列入线下支出科目，由上级财政部门结算上划。</w:t>
      </w:r>
    </w:p>
    <w:p>
      <w:pPr>
        <w:spacing w:line="620" w:lineRule="exact"/>
        <w:ind w:firstLine="643" w:firstLineChars="200"/>
        <w:rPr>
          <w:rFonts w:eastAsia="楷体_GB2312"/>
          <w:b/>
          <w:sz w:val="32"/>
          <w:szCs w:val="32"/>
        </w:rPr>
      </w:pPr>
      <w:r>
        <w:rPr>
          <w:rFonts w:eastAsia="楷体_GB2312"/>
          <w:b/>
          <w:sz w:val="32"/>
          <w:szCs w:val="32"/>
        </w:rPr>
        <w:t>14、地方政府专项债务</w:t>
      </w:r>
    </w:p>
    <w:p>
      <w:pPr>
        <w:spacing w:line="620" w:lineRule="exact"/>
        <w:ind w:firstLine="640" w:firstLineChars="200"/>
        <w:rPr>
          <w:rFonts w:eastAsia="方正仿宋简体"/>
          <w:sz w:val="32"/>
          <w:szCs w:val="32"/>
        </w:rPr>
      </w:pPr>
      <w:r>
        <w:rPr>
          <w:rFonts w:eastAsia="方正仿宋简体"/>
          <w:sz w:val="32"/>
          <w:szCs w:val="32"/>
        </w:rPr>
        <w:t>指地方政府专项债券和清理甄别认定的截至2014年12月31日非地方政府债券形式的存量专项债务。根据《中华人民共和国预算法》、《国务院关于加强地方政府性债务管理的意见》（国发〔2014〕43号）等有关规定，专项债务收入、安排的支出、还本付息、发行费用纳入政府性基金预算管理。</w:t>
      </w:r>
    </w:p>
    <w:p>
      <w:pPr>
        <w:spacing w:line="620" w:lineRule="exact"/>
        <w:ind w:firstLine="643" w:firstLineChars="200"/>
        <w:rPr>
          <w:rFonts w:eastAsia="楷体_GB2312"/>
          <w:b/>
          <w:sz w:val="32"/>
          <w:szCs w:val="32"/>
        </w:rPr>
      </w:pPr>
      <w:r>
        <w:rPr>
          <w:rFonts w:eastAsia="楷体_GB2312"/>
          <w:b/>
          <w:sz w:val="32"/>
          <w:szCs w:val="32"/>
        </w:rPr>
        <w:t>15、国库集中支付</w:t>
      </w:r>
    </w:p>
    <w:p>
      <w:pPr>
        <w:spacing w:line="620" w:lineRule="exact"/>
        <w:ind w:firstLine="640" w:firstLineChars="200"/>
        <w:rPr>
          <w:rFonts w:eastAsia="仿宋_GB2312"/>
          <w:sz w:val="32"/>
          <w:szCs w:val="32"/>
        </w:rPr>
      </w:pPr>
      <w:r>
        <w:rPr>
          <w:rFonts w:eastAsia="方正仿宋简体"/>
          <w:sz w:val="32"/>
          <w:szCs w:val="32"/>
        </w:rPr>
        <w:t>国库集中支付是以国库单一账户体系为基础，以安全的财政支付信息系统和银行间实时清算系统为依托，由预算单位提出申请，经审核机构（国库集中支付执行机构或预算单位）审核后，将财政性资金通过国库单一账户体系支付给最终收款人的制度。国库单一账户体系包括财政部门在同级人民银行设立的国库单一账户和财政部门在代理银行设立的财政零余额账户、非税收入财政专户和特设专户，以及预算单位零余额账户，主要用于记录、核算和反映纳入预算管理的财政收入和支出活动。</w:t>
      </w:r>
    </w:p>
    <w:p>
      <w:pPr>
        <w:spacing w:line="620" w:lineRule="exact"/>
        <w:ind w:firstLine="643" w:firstLineChars="200"/>
        <w:rPr>
          <w:rFonts w:eastAsia="楷体_GB2312"/>
          <w:b/>
          <w:sz w:val="32"/>
          <w:szCs w:val="32"/>
        </w:rPr>
      </w:pPr>
      <w:r>
        <w:rPr>
          <w:rFonts w:eastAsia="楷体_GB2312"/>
          <w:b/>
          <w:sz w:val="32"/>
          <w:szCs w:val="32"/>
        </w:rPr>
        <w:t>16、政府采购</w:t>
      </w:r>
    </w:p>
    <w:p>
      <w:pPr>
        <w:spacing w:line="620" w:lineRule="exact"/>
        <w:ind w:firstLine="640" w:firstLineChars="200"/>
        <w:rPr>
          <w:rFonts w:eastAsia="方正仿宋简体"/>
          <w:sz w:val="32"/>
          <w:szCs w:val="32"/>
        </w:rPr>
      </w:pPr>
      <w:r>
        <w:rPr>
          <w:rFonts w:eastAsia="方正仿宋简体"/>
          <w:sz w:val="32"/>
          <w:szCs w:val="32"/>
        </w:rPr>
        <w:t>政府采购是现代财政制度的重要组成部分，是强化财政支出管理的重要手段，是预算执行的重要环节。我国政府采购是指各级国家机关、事业单位和团体组织，使用财政性资金采购依法制定的集中采购目录以内的或者采购限额标准以上的货物、工程和服务的行为。各级预算单位是政府采购的主体，使用的财政性资金是指纳入预算管理的资金。</w:t>
      </w:r>
    </w:p>
    <w:p>
      <w:pPr>
        <w:spacing w:line="620" w:lineRule="exact"/>
        <w:ind w:firstLine="643" w:firstLineChars="200"/>
        <w:rPr>
          <w:rFonts w:eastAsia="楷体_GB2312"/>
          <w:b/>
          <w:sz w:val="32"/>
          <w:szCs w:val="32"/>
        </w:rPr>
      </w:pPr>
      <w:r>
        <w:rPr>
          <w:rFonts w:eastAsia="楷体_GB2312"/>
          <w:b/>
          <w:sz w:val="32"/>
          <w:szCs w:val="32"/>
        </w:rPr>
        <w:t>17、政府购买服务</w:t>
      </w:r>
    </w:p>
    <w:p>
      <w:pPr>
        <w:spacing w:line="620" w:lineRule="exact"/>
        <w:ind w:firstLine="640" w:firstLineChars="200"/>
        <w:rPr>
          <w:rFonts w:eastAsia="方正仿宋简体"/>
          <w:sz w:val="32"/>
          <w:szCs w:val="32"/>
        </w:rPr>
      </w:pPr>
      <w:r>
        <w:rPr>
          <w:rFonts w:eastAsia="方正仿宋简体"/>
          <w:sz w:val="32"/>
          <w:szCs w:val="32"/>
        </w:rPr>
        <w:t>政府购买服务是指属于政府职责范围且适合通过市场化方式提供的服务事项，按照一定方式和程序，交由符合条件的社会力量或事业单位承担，并由政府根据服务数量和质量及合同等约定向其支付费用的行为。它是一种契约化的公共服务提供方式，具有权责清晰、结果导向、灵活高效等特点。</w:t>
      </w:r>
    </w:p>
    <w:p>
      <w:pPr>
        <w:numPr>
          <w:ilvl w:val="0"/>
          <w:numId w:val="1"/>
        </w:numPr>
        <w:spacing w:line="620" w:lineRule="exact"/>
        <w:ind w:firstLine="643" w:firstLineChars="200"/>
        <w:rPr>
          <w:rFonts w:eastAsia="楷体_GB2312"/>
          <w:b/>
          <w:sz w:val="32"/>
          <w:szCs w:val="32"/>
        </w:rPr>
      </w:pPr>
      <w:r>
        <w:rPr>
          <w:rFonts w:eastAsia="楷体_GB2312"/>
          <w:b/>
          <w:sz w:val="32"/>
          <w:szCs w:val="32"/>
        </w:rPr>
        <w:t>六稳六保</w:t>
      </w:r>
    </w:p>
    <w:p>
      <w:pPr>
        <w:spacing w:line="620" w:lineRule="exact"/>
        <w:ind w:firstLine="640" w:firstLineChars="200"/>
        <w:rPr>
          <w:rFonts w:eastAsia="方正仿宋简体"/>
          <w:sz w:val="32"/>
          <w:szCs w:val="32"/>
        </w:rPr>
      </w:pPr>
      <w:r>
        <w:rPr>
          <w:rFonts w:eastAsia="方正仿宋简体"/>
          <w:sz w:val="32"/>
          <w:szCs w:val="32"/>
        </w:rPr>
        <w:t>“六稳”是指稳就业、稳金融、稳外贸、稳外资、稳投资、稳预期。“六保”是指保居民就业、保基本民生、保市场主体、保粮食能源安全、保产业链供应链稳定、保基层运转。</w:t>
      </w:r>
    </w:p>
    <w:p>
      <w:pPr>
        <w:spacing w:line="620" w:lineRule="exact"/>
        <w:ind w:firstLine="643" w:firstLineChars="200"/>
        <w:rPr>
          <w:rFonts w:eastAsia="楷体_GB2312"/>
          <w:b/>
          <w:sz w:val="32"/>
          <w:szCs w:val="32"/>
        </w:rPr>
      </w:pPr>
      <w:r>
        <w:rPr>
          <w:rFonts w:eastAsia="楷体_GB2312"/>
          <w:b/>
          <w:sz w:val="32"/>
          <w:szCs w:val="32"/>
        </w:rPr>
        <w:t>19、免申即享</w:t>
      </w:r>
    </w:p>
    <w:p>
      <w:pPr>
        <w:spacing w:line="620" w:lineRule="exact"/>
        <w:ind w:firstLine="640" w:firstLineChars="200"/>
        <w:rPr>
          <w:rFonts w:eastAsia="方正仿宋简体"/>
          <w:sz w:val="32"/>
          <w:szCs w:val="32"/>
        </w:rPr>
      </w:pPr>
      <w:r>
        <w:rPr>
          <w:rFonts w:eastAsia="方正仿宋简体"/>
          <w:sz w:val="32"/>
          <w:szCs w:val="32"/>
        </w:rPr>
        <w:t>通过简政放权、优化服务、信息共享等方式，对符合政策兑现条件的奖补资金，企业免予申报，由主管部门直接审核，报经市政府批准后，财政部门直接兑现政策资金。</w:t>
      </w:r>
    </w:p>
    <w:p>
      <w:pPr>
        <w:spacing w:line="620" w:lineRule="exact"/>
        <w:ind w:firstLine="643" w:firstLineChars="200"/>
        <w:rPr>
          <w:rFonts w:eastAsia="楷体_GB2312"/>
          <w:b/>
          <w:sz w:val="32"/>
          <w:szCs w:val="32"/>
        </w:rPr>
      </w:pPr>
      <w:r>
        <w:rPr>
          <w:rFonts w:eastAsia="楷体_GB2312"/>
          <w:b/>
          <w:sz w:val="32"/>
          <w:szCs w:val="32"/>
        </w:rPr>
        <w:t>20、三保支出</w:t>
      </w:r>
    </w:p>
    <w:p>
      <w:pPr>
        <w:spacing w:line="620" w:lineRule="exact"/>
        <w:ind w:firstLine="640" w:firstLineChars="200"/>
        <w:rPr>
          <w:rFonts w:eastAsia="方正仿宋简体"/>
          <w:sz w:val="32"/>
          <w:szCs w:val="32"/>
        </w:rPr>
      </w:pPr>
      <w:r>
        <w:rPr>
          <w:rFonts w:eastAsia="方正仿宋简体"/>
          <w:sz w:val="32"/>
          <w:szCs w:val="32"/>
        </w:rPr>
        <w:t>三保支出指用于保基本民生、保工资、保运转方面的支出。</w:t>
      </w:r>
    </w:p>
    <w:p>
      <w:pPr>
        <w:spacing w:line="620" w:lineRule="exact"/>
        <w:ind w:firstLine="643" w:firstLineChars="200"/>
        <w:rPr>
          <w:rFonts w:eastAsia="楷体_GB2312"/>
          <w:b/>
          <w:sz w:val="32"/>
          <w:szCs w:val="32"/>
        </w:rPr>
      </w:pPr>
      <w:r>
        <w:rPr>
          <w:rFonts w:eastAsia="楷体_GB2312"/>
          <w:b/>
          <w:sz w:val="32"/>
          <w:szCs w:val="32"/>
        </w:rPr>
        <w:t>21、四不摘</w:t>
      </w:r>
    </w:p>
    <w:p>
      <w:pPr>
        <w:pStyle w:val="4"/>
        <w:widowControl/>
        <w:shd w:val="clear" w:color="auto" w:fill="FFFFFF"/>
        <w:spacing w:before="0" w:beforeAutospacing="0" w:after="0" w:afterAutospacing="0" w:line="600" w:lineRule="atLeast"/>
        <w:ind w:firstLine="640" w:firstLineChars="200"/>
        <w:rPr>
          <w:rFonts w:eastAsia="仿宋_GB2312"/>
          <w:kern w:val="2"/>
          <w:sz w:val="32"/>
          <w:szCs w:val="32"/>
        </w:rPr>
      </w:pPr>
      <w:r>
        <w:rPr>
          <w:rFonts w:eastAsia="方正仿宋简体"/>
          <w:kern w:val="2"/>
          <w:sz w:val="32"/>
          <w:szCs w:val="32"/>
        </w:rPr>
        <w:t>四不摘是指摘帽不摘责任、摘帽不摘政策、摘帽不摘帮扶、摘帽不摘监管。</w:t>
      </w:r>
    </w:p>
    <w:p>
      <w:pPr>
        <w:spacing w:line="620" w:lineRule="exact"/>
        <w:ind w:firstLine="643" w:firstLineChars="200"/>
        <w:rPr>
          <w:rFonts w:eastAsia="楷体_GB2312"/>
          <w:b/>
          <w:sz w:val="32"/>
          <w:szCs w:val="32"/>
        </w:rPr>
      </w:pPr>
      <w:r>
        <w:rPr>
          <w:rFonts w:eastAsia="楷体_GB2312"/>
          <w:b/>
          <w:sz w:val="32"/>
          <w:szCs w:val="32"/>
        </w:rPr>
        <w:t>22、一卡通</w:t>
      </w:r>
    </w:p>
    <w:p>
      <w:pPr>
        <w:spacing w:line="620" w:lineRule="exact"/>
        <w:ind w:firstLine="640" w:firstLineChars="200"/>
        <w:rPr>
          <w:rFonts w:eastAsia="方正仿宋简体"/>
          <w:sz w:val="32"/>
          <w:szCs w:val="32"/>
        </w:rPr>
      </w:pPr>
      <w:r>
        <w:rPr>
          <w:rFonts w:eastAsia="方正仿宋简体"/>
          <w:sz w:val="32"/>
          <w:szCs w:val="32"/>
        </w:rPr>
        <w:t>各项惠民惠农财政补贴资金通过直接汇入受益群众银行卡、存折（统称“一卡通”）等方式发放，消除“中梗阻”，确保补贴资金及时足额到位、取用方便。</w:t>
      </w:r>
    </w:p>
    <w:p>
      <w:pPr>
        <w:spacing w:line="620" w:lineRule="exact"/>
        <w:ind w:firstLine="643" w:firstLineChars="200"/>
        <w:rPr>
          <w:rFonts w:eastAsia="楷体_GB2312"/>
          <w:b/>
          <w:sz w:val="32"/>
          <w:szCs w:val="32"/>
        </w:rPr>
      </w:pPr>
      <w:r>
        <w:rPr>
          <w:rFonts w:eastAsia="楷体_GB2312"/>
          <w:b/>
          <w:sz w:val="32"/>
          <w:szCs w:val="32"/>
        </w:rPr>
        <w:t>23、放管服</w:t>
      </w:r>
    </w:p>
    <w:p>
      <w:pPr>
        <w:spacing w:line="620" w:lineRule="exact"/>
        <w:ind w:firstLine="640" w:firstLineChars="200"/>
        <w:rPr>
          <w:rFonts w:eastAsia="方正仿宋简体"/>
          <w:sz w:val="32"/>
          <w:szCs w:val="32"/>
        </w:rPr>
      </w:pPr>
      <w:r>
        <w:rPr>
          <w:rFonts w:eastAsia="方正仿宋简体"/>
          <w:sz w:val="32"/>
          <w:szCs w:val="32"/>
        </w:rPr>
        <w:t>简政放权、放管结合、优化服务的简称。“放”即简政放权，降低准入门槛。“管”即创新监管，促进公平竞争。“服”即高效服务，营造便利环境。</w:t>
      </w:r>
    </w:p>
    <w:p>
      <w:pPr>
        <w:spacing w:line="620" w:lineRule="exact"/>
        <w:ind w:firstLine="643" w:firstLineChars="200"/>
        <w:rPr>
          <w:rFonts w:eastAsia="楷体_GB2312"/>
          <w:b/>
          <w:sz w:val="32"/>
          <w:szCs w:val="32"/>
        </w:rPr>
      </w:pPr>
      <w:r>
        <w:rPr>
          <w:rFonts w:eastAsia="楷体_GB2312"/>
          <w:b/>
          <w:sz w:val="32"/>
          <w:szCs w:val="32"/>
        </w:rPr>
        <w:t>24、清减降</w:t>
      </w:r>
    </w:p>
    <w:p>
      <w:pPr>
        <w:spacing w:line="620" w:lineRule="exact"/>
        <w:ind w:firstLine="640" w:firstLineChars="200"/>
        <w:rPr>
          <w:rFonts w:eastAsia="方正仿宋简体"/>
          <w:sz w:val="32"/>
          <w:szCs w:val="32"/>
        </w:rPr>
      </w:pPr>
      <w:r>
        <w:rPr>
          <w:rFonts w:eastAsia="方正仿宋简体"/>
          <w:sz w:val="32"/>
          <w:szCs w:val="32"/>
        </w:rPr>
        <w:t>清文件、减审批、降收费，简称“清、减、降”，是贯彻落实省委、省政府优化营商环境工作部署的重要举措。</w:t>
      </w:r>
    </w:p>
    <w:p>
      <w:pPr>
        <w:spacing w:line="620" w:lineRule="exact"/>
        <w:ind w:firstLine="643" w:firstLineChars="200"/>
        <w:rPr>
          <w:rFonts w:eastAsia="楷体_GB2312"/>
          <w:b/>
          <w:sz w:val="32"/>
          <w:szCs w:val="32"/>
        </w:rPr>
      </w:pPr>
      <w:r>
        <w:rPr>
          <w:rFonts w:eastAsia="楷体_GB2312"/>
          <w:b/>
          <w:sz w:val="32"/>
          <w:szCs w:val="32"/>
        </w:rPr>
        <w:t>25、双减</w:t>
      </w:r>
    </w:p>
    <w:p>
      <w:pPr>
        <w:spacing w:line="620" w:lineRule="exact"/>
        <w:ind w:firstLine="640" w:firstLineChars="200"/>
        <w:rPr>
          <w:rFonts w:eastAsia="方正仿宋简体"/>
          <w:sz w:val="32"/>
          <w:szCs w:val="32"/>
        </w:rPr>
      </w:pPr>
      <w:r>
        <w:rPr>
          <w:rFonts w:eastAsia="方正仿宋简体"/>
          <w:sz w:val="32"/>
          <w:szCs w:val="32"/>
        </w:rPr>
        <w:t>减少校内作业量，减轻学生负担；减少校外培训负担，从严治理校外培训机构。</w:t>
      </w:r>
    </w:p>
    <w:p>
      <w:pPr>
        <w:spacing w:line="620" w:lineRule="exact"/>
        <w:ind w:firstLine="643" w:firstLineChars="200"/>
        <w:rPr>
          <w:rFonts w:eastAsia="楷体_GB2312"/>
          <w:b/>
          <w:sz w:val="32"/>
          <w:szCs w:val="32"/>
        </w:rPr>
      </w:pPr>
      <w:r>
        <w:rPr>
          <w:rFonts w:eastAsia="楷体_GB2312"/>
          <w:b/>
          <w:sz w:val="32"/>
          <w:szCs w:val="32"/>
        </w:rPr>
        <w:t>26、两不愁三保障</w:t>
      </w:r>
    </w:p>
    <w:p>
      <w:pPr>
        <w:spacing w:line="620" w:lineRule="exact"/>
        <w:ind w:firstLine="640" w:firstLineChars="200"/>
        <w:rPr>
          <w:rFonts w:eastAsia="方正仿宋简体"/>
          <w:sz w:val="32"/>
          <w:szCs w:val="32"/>
        </w:rPr>
      </w:pPr>
      <w:r>
        <w:rPr>
          <w:rFonts w:eastAsia="方正仿宋简体"/>
          <w:sz w:val="32"/>
          <w:szCs w:val="32"/>
        </w:rPr>
        <w:t>“两不愁”即稳定实现农村贫困人口不愁吃、不愁穿；“三保障”即保障农村贫困人口义务教育、基本医疗和住房安全，是农村贫困人口脱贫的基本要求和核心指标。</w:t>
      </w:r>
    </w:p>
    <w:p>
      <w:pPr>
        <w:spacing w:line="620" w:lineRule="exact"/>
        <w:ind w:firstLine="643" w:firstLineChars="200"/>
        <w:rPr>
          <w:rFonts w:eastAsia="楷体_GB2312"/>
          <w:b/>
          <w:sz w:val="32"/>
          <w:szCs w:val="32"/>
        </w:rPr>
      </w:pPr>
      <w:r>
        <w:rPr>
          <w:rFonts w:eastAsia="楷体_GB2312"/>
          <w:b/>
          <w:sz w:val="32"/>
          <w:szCs w:val="32"/>
        </w:rPr>
        <w:t>27、预算管理一体化</w:t>
      </w:r>
    </w:p>
    <w:p>
      <w:pPr>
        <w:spacing w:line="620" w:lineRule="exact"/>
        <w:ind w:firstLine="640" w:firstLineChars="200"/>
        <w:rPr>
          <w:rFonts w:eastAsia="方正仿宋简体"/>
          <w:sz w:val="32"/>
          <w:szCs w:val="32"/>
        </w:rPr>
      </w:pPr>
      <w:r>
        <w:rPr>
          <w:rFonts w:eastAsia="方正仿宋简体"/>
          <w:sz w:val="32"/>
          <w:szCs w:val="32"/>
        </w:rPr>
        <w:t>按照建立现代财政制度的要求，依据全国统一的业务规范和技术标准构建的，以预算编制、预算执行、决算管理等业务系统为核心、集中化部署为手段、大数据应用为途径、财政云平台为支撑的现代财政信息化体系。通过“业务规范+技术控制”的方式，推动建立全面规范透明、标准科学、约束有力的预算制度，形成财政业务顺向衔接、逆向反馈的“闭环”，实现财政资金的全生命周期管理和动态监控。</w:t>
      </w:r>
    </w:p>
    <w:p>
      <w:pPr>
        <w:spacing w:line="620" w:lineRule="exact"/>
        <w:ind w:firstLine="643" w:firstLineChars="200"/>
        <w:rPr>
          <w:rFonts w:eastAsia="楷体_GB2312"/>
          <w:b/>
          <w:sz w:val="32"/>
          <w:szCs w:val="32"/>
        </w:rPr>
      </w:pPr>
      <w:r>
        <w:rPr>
          <w:rFonts w:eastAsia="楷体_GB2312"/>
          <w:b/>
          <w:sz w:val="32"/>
          <w:szCs w:val="32"/>
        </w:rPr>
        <w:t>28、国库集中支付结余</w:t>
      </w:r>
    </w:p>
    <w:p>
      <w:pPr>
        <w:spacing w:line="620" w:lineRule="exact"/>
        <w:ind w:firstLine="640" w:firstLineChars="200"/>
        <w:rPr>
          <w:rFonts w:eastAsia="方正仿宋简体"/>
          <w:sz w:val="32"/>
          <w:szCs w:val="32"/>
        </w:rPr>
      </w:pPr>
      <w:r>
        <w:rPr>
          <w:rFonts w:eastAsia="方正仿宋简体"/>
          <w:sz w:val="32"/>
          <w:szCs w:val="32"/>
        </w:rPr>
        <w:t>国库集中支付结余指纳入国库集中支付管理的款项，当年未形成实际支出，而需结转下一年度支付的款项。</w:t>
      </w:r>
    </w:p>
    <w:p>
      <w:pPr>
        <w:spacing w:line="620" w:lineRule="exact"/>
        <w:ind w:firstLine="643" w:firstLineChars="200"/>
        <w:rPr>
          <w:rFonts w:eastAsia="楷体_GB2312"/>
          <w:b/>
          <w:sz w:val="32"/>
          <w:szCs w:val="32"/>
        </w:rPr>
      </w:pPr>
      <w:r>
        <w:rPr>
          <w:rFonts w:eastAsia="楷体_GB2312"/>
          <w:b/>
          <w:sz w:val="32"/>
          <w:szCs w:val="32"/>
        </w:rPr>
        <w:t>29、收付实现制</w:t>
      </w:r>
    </w:p>
    <w:p>
      <w:pPr>
        <w:spacing w:line="620" w:lineRule="exact"/>
        <w:ind w:firstLine="640" w:firstLineChars="200"/>
        <w:rPr>
          <w:rFonts w:eastAsia="方正仿宋简体"/>
          <w:sz w:val="32"/>
          <w:szCs w:val="32"/>
        </w:rPr>
      </w:pPr>
      <w:r>
        <w:rPr>
          <w:rFonts w:eastAsia="方正仿宋简体"/>
          <w:sz w:val="32"/>
          <w:szCs w:val="32"/>
        </w:rPr>
        <w:t>收付实现制也称现金制，是指以现金收到或付出为标准，来确认和记录本期的收入和支出。</w:t>
      </w:r>
    </w:p>
    <w:p>
      <w:pPr>
        <w:spacing w:line="620" w:lineRule="exact"/>
        <w:ind w:firstLine="643" w:firstLineChars="200"/>
        <w:rPr>
          <w:rFonts w:eastAsia="楷体_GB2312"/>
          <w:b/>
          <w:sz w:val="32"/>
          <w:szCs w:val="32"/>
        </w:rPr>
      </w:pPr>
      <w:r>
        <w:rPr>
          <w:rFonts w:eastAsia="楷体_GB2312"/>
          <w:b/>
          <w:sz w:val="32"/>
          <w:szCs w:val="32"/>
        </w:rPr>
        <w:t>30、权责发生制</w:t>
      </w:r>
    </w:p>
    <w:p>
      <w:pPr>
        <w:spacing w:line="620" w:lineRule="exact"/>
        <w:ind w:firstLine="640" w:firstLineChars="200"/>
        <w:rPr>
          <w:rFonts w:eastAsia="方正仿宋简体"/>
          <w:sz w:val="32"/>
          <w:szCs w:val="32"/>
        </w:rPr>
      </w:pPr>
      <w:r>
        <w:rPr>
          <w:rFonts w:eastAsia="方正仿宋简体"/>
          <w:sz w:val="32"/>
          <w:szCs w:val="32"/>
        </w:rPr>
        <w:t>权责发生制也称应计制，是指以取得收款权利和发生付款责任作为标准来确认和记录本期的收入和费用，而不管货币资金是否在本期收到或付出。2021年之前，市县级预算部门的国库集中支付结余年末按权责发生制列支，2021年，按照财政部统一要求，市县级各预算部门未形成实际支出的国库集中支付结余，不再按权责发生制列支，未实际支出款项作为年终结余转入下年预算收支。</w:t>
      </w:r>
    </w:p>
    <w:p>
      <w:pPr>
        <w:spacing w:line="620" w:lineRule="exact"/>
        <w:ind w:firstLine="643" w:firstLineChars="200"/>
        <w:rPr>
          <w:rFonts w:eastAsia="楷体_GB2312"/>
          <w:b/>
          <w:sz w:val="32"/>
          <w:szCs w:val="32"/>
        </w:rPr>
      </w:pPr>
      <w:r>
        <w:rPr>
          <w:rFonts w:hint="eastAsia" w:eastAsia="楷体_GB2312"/>
          <w:b/>
          <w:sz w:val="32"/>
          <w:szCs w:val="32"/>
        </w:rPr>
        <w:t>31、</w:t>
      </w:r>
      <w:r>
        <w:rPr>
          <w:rFonts w:eastAsia="楷体_GB2312"/>
          <w:b/>
          <w:sz w:val="32"/>
          <w:szCs w:val="32"/>
        </w:rPr>
        <w:t>一网通办、一窗通办、一事联办、跨域通办</w:t>
      </w:r>
    </w:p>
    <w:p>
      <w:pPr>
        <w:spacing w:line="620" w:lineRule="exact"/>
        <w:ind w:firstLine="640" w:firstLineChars="200"/>
      </w:pPr>
      <w:r>
        <w:rPr>
          <w:rFonts w:hint="eastAsia" w:ascii="方正仿宋简体" w:hAnsi="方正仿宋简体" w:eastAsia="方正仿宋简体" w:cs="方正仿宋简体"/>
          <w:sz w:val="32"/>
          <w:szCs w:val="32"/>
        </w:rPr>
        <w:t>一网通办：指打通不同部门的信息系统，群众只需操作一个办事系统，就能办成不同领域的事项，解决办不完的手续、盖不完的章、跑不完的路这些“关键小事”。一窗通办：指群众办事只需排一次队，取一个号，到一个窗口就能办所有业务，改变过去“一个窗口办一个事项”的模式；一事联办：指群众办事只需递交一套材料，填报一张申请表，就可以一次性办完所有事项，一次性领取办理结果。跨域通办：指对于跨省、跨市、跨区事项，办事群众不需要赶往现场办理，在异地即可受理，无差别办理。</w:t>
      </w:r>
    </w:p>
    <w:sectPr>
      <w:pgSz w:w="11906" w:h="16838"/>
      <w:pgMar w:top="1985" w:right="1588" w:bottom="1814"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方正仿宋简体">
    <w:altName w:val="微软雅黑"/>
    <w:panose1 w:val="03000509000000000000"/>
    <w:charset w:val="00"/>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42B55"/>
    <w:multiLevelType w:val="singleLevel"/>
    <w:tmpl w:val="C7B42B55"/>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BD"/>
    <w:rsid w:val="00271FD6"/>
    <w:rsid w:val="00277DE8"/>
    <w:rsid w:val="002D1EBD"/>
    <w:rsid w:val="00753390"/>
    <w:rsid w:val="00ED2CD8"/>
    <w:rsid w:val="26720CD2"/>
    <w:rsid w:val="49237391"/>
    <w:rsid w:val="56B31F68"/>
    <w:rsid w:val="70A26403"/>
    <w:rsid w:val="7FFF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2407</Words>
  <Characters>69</Characters>
  <Lines>1</Lines>
  <Paragraphs>4</Paragraphs>
  <TotalTime>2</TotalTime>
  <ScaleCrop>false</ScaleCrop>
  <LinksUpToDate>false</LinksUpToDate>
  <CharactersWithSpaces>2472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2020-01-15T10:10:00Z</dcterms:created>
  <dc:creator>Administrator</dc:creator>
  <cp:lastModifiedBy>M</cp:lastModifiedBy>
  <dcterms:modified xsi:type="dcterms:W3CDTF">2024-05-06T03:32:47Z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91687D1DCE634B5089BED306EC59F7DA_13</vt:lpwstr>
  </property>
</Properties>
</file>