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center"/>
        <w:rPr>
          <w:rFonts w:hint="eastAsia" w:ascii="微软雅黑" w:hAnsi="微软雅黑" w:eastAsia="微软雅黑" w:cs="微软雅黑"/>
          <w:i w:val="0"/>
          <w:iCs w:val="0"/>
          <w:caps w:val="0"/>
          <w:color w:val="333333"/>
          <w:spacing w:val="0"/>
          <w:sz w:val="36"/>
          <w:szCs w:val="36"/>
          <w:shd w:val="clear" w:fill="FFFFFF"/>
        </w:rPr>
      </w:pPr>
      <w:r>
        <w:rPr>
          <w:rFonts w:ascii="微软雅黑" w:hAnsi="微软雅黑" w:eastAsia="微软雅黑" w:cs="微软雅黑"/>
          <w:b/>
          <w:bCs/>
          <w:i w:val="0"/>
          <w:iCs w:val="0"/>
          <w:caps w:val="0"/>
          <w:color w:val="015293"/>
          <w:spacing w:val="0"/>
          <w:sz w:val="36"/>
          <w:szCs w:val="36"/>
          <w:shd w:val="clear" w:fill="FFFFFF"/>
        </w:rPr>
        <w:t>中共随县县委统战部202</w:t>
      </w:r>
      <w:r>
        <w:rPr>
          <w:rFonts w:hint="eastAsia" w:ascii="微软雅黑" w:hAnsi="微软雅黑" w:eastAsia="微软雅黑" w:cs="微软雅黑"/>
          <w:b/>
          <w:bCs/>
          <w:i w:val="0"/>
          <w:iCs w:val="0"/>
          <w:caps w:val="0"/>
          <w:color w:val="015293"/>
          <w:spacing w:val="0"/>
          <w:sz w:val="36"/>
          <w:szCs w:val="36"/>
          <w:shd w:val="clear" w:fill="FFFFFF"/>
          <w:lang w:val="en-US" w:eastAsia="zh-CN"/>
        </w:rPr>
        <w:t>1</w:t>
      </w:r>
      <w:r>
        <w:rPr>
          <w:rFonts w:ascii="微软雅黑" w:hAnsi="微软雅黑" w:eastAsia="微软雅黑" w:cs="微软雅黑"/>
          <w:b/>
          <w:bCs/>
          <w:i w:val="0"/>
          <w:iCs w:val="0"/>
          <w:caps w:val="0"/>
          <w:color w:val="015293"/>
          <w:spacing w:val="0"/>
          <w:sz w:val="36"/>
          <w:szCs w:val="36"/>
          <w:shd w:val="clear" w:fill="FFFFFF"/>
        </w:rPr>
        <w:t>年部门决算情况说明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1、部门决算收支情况总体说明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2、部门决算收支增减变化情况说明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3、机关运行执行情况说明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4、政府采购执行情况说明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6、重点绩效评价结果等预算绩效情况说明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四、专业性较强的名词解释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6、一般公共预算财政拨款基本支出决算表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8、政府性基金预算财政拨款收入支出决算表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一、部门基本情况 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（一）中共随县县委统战部是隶属于县委的行政管理部门，单位性质为行政机关，行政经费实行决算管理，经费来源由财政全额拨款。 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中共随县县委统战部内设5个职能股（室）：办公室（法规调研股）、干部股、民族宗教股、台湾事务股（经济股）、侨务综合股。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（三）人员构成 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县委统一战线工作部、县民族宗教事务局机关行政编制10名，实有在职行政编人员10名，工勤编2名。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（一）组织贯彻执行中央、省委、市委关于统一战线的方针、政策，向省委统战部、市委统战部和县委反映我县统一战线情况，提出开展统战工作的意见和建议。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负责联系个民主党派、无党派代表人士，及时通报情况，反映他们的意见和建议；贯彻执行共产党领导的多党合作和政治协商制度及民主党派工作的方针、政策；支持、帮助民主党派加强自身建设，选拔、培养新一代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（三）在县委的领导下，做好党外人士的政治安排工作，会同有关部门做好培养、选拔、推荐党外干部的工作，以及党外后备干部和新的代表人士队伍的建设工作。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（四）调查研究党外知识分子情况，反映意见，协调关系，提出政策建议；联系并培养党外知识分子代表人士。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（五）负责开展以祖国统一为重点的海外统战工作；联系海外有关社团代表人士；贯彻执行党的对台方针、政策，做好台胞台属的有关工作。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（六）负责联系海内外工商界社团和代表人士；调查、研究并反映我县非公有制经济代表人士的情况，协调关系，提出政策建议。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（七）负责指导全县统战工作，协调政府各有关部门的统战工作；联系、指导工商联工作；代管县海外联谊会、县知识分子联谊会等有关社团的工作。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（八）承办上级交办的其他事项。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年部门决算收支情况说明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1、部门决算收支情况总体说明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年部门收入</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万元。其中：一般公共预算财政拨款</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年部门支出</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2、部门决算收支增减变化情况说明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年收入决算</w:t>
      </w:r>
      <w:r>
        <w:rPr>
          <w:rFonts w:hint="eastAsia" w:ascii="微软雅黑" w:hAnsi="微软雅黑" w:eastAsia="微软雅黑" w:cs="微软雅黑"/>
          <w:i w:val="0"/>
          <w:iCs w:val="0"/>
          <w:caps w:val="0"/>
          <w:color w:val="333333"/>
          <w:spacing w:val="0"/>
          <w:sz w:val="24"/>
          <w:szCs w:val="24"/>
          <w:shd w:val="clear" w:fill="FFFFFF"/>
          <w:lang w:val="en-US" w:eastAsia="zh-CN"/>
        </w:rPr>
        <w:t>232.25</w:t>
      </w:r>
      <w:r>
        <w:rPr>
          <w:rFonts w:hint="eastAsia" w:ascii="微软雅黑" w:hAnsi="微软雅黑" w:eastAsia="微软雅黑" w:cs="微软雅黑"/>
          <w:i w:val="0"/>
          <w:iCs w:val="0"/>
          <w:caps w:val="0"/>
          <w:color w:val="333333"/>
          <w:spacing w:val="0"/>
          <w:sz w:val="24"/>
          <w:szCs w:val="24"/>
          <w:shd w:val="clear" w:fill="FFFFFF"/>
        </w:rPr>
        <w:t>万元，同比上升</w:t>
      </w:r>
      <w:r>
        <w:rPr>
          <w:rFonts w:hint="eastAsia" w:ascii="微软雅黑" w:hAnsi="微软雅黑" w:eastAsia="微软雅黑" w:cs="微软雅黑"/>
          <w:i w:val="0"/>
          <w:iCs w:val="0"/>
          <w:caps w:val="0"/>
          <w:color w:val="333333"/>
          <w:spacing w:val="0"/>
          <w:sz w:val="24"/>
          <w:szCs w:val="24"/>
          <w:shd w:val="clear" w:fill="FFFFFF"/>
          <w:lang w:val="en-US" w:eastAsia="zh-CN"/>
        </w:rPr>
        <w:t>21.63</w:t>
      </w:r>
      <w:r>
        <w:rPr>
          <w:rFonts w:hint="eastAsia" w:ascii="微软雅黑" w:hAnsi="微软雅黑" w:eastAsia="微软雅黑" w:cs="微软雅黑"/>
          <w:i w:val="0"/>
          <w:iCs w:val="0"/>
          <w:caps w:val="0"/>
          <w:color w:val="333333"/>
          <w:spacing w:val="0"/>
          <w:sz w:val="24"/>
          <w:szCs w:val="24"/>
          <w:shd w:val="clear" w:fill="FFFFFF"/>
        </w:rPr>
        <w:t>％（上升原因：机构改革后，人员增加，预算增加），支出决算</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万元，同比上升</w:t>
      </w:r>
      <w:r>
        <w:rPr>
          <w:rFonts w:hint="eastAsia" w:ascii="微软雅黑" w:hAnsi="微软雅黑" w:eastAsia="微软雅黑" w:cs="微软雅黑"/>
          <w:i w:val="0"/>
          <w:iCs w:val="0"/>
          <w:caps w:val="0"/>
          <w:color w:val="333333"/>
          <w:spacing w:val="0"/>
          <w:sz w:val="24"/>
          <w:szCs w:val="24"/>
          <w:shd w:val="clear" w:fill="FFFFFF"/>
          <w:lang w:val="en-US" w:eastAsia="zh-CN"/>
        </w:rPr>
        <w:t>21.84</w:t>
      </w:r>
      <w:r>
        <w:rPr>
          <w:rFonts w:hint="eastAsia" w:ascii="微软雅黑" w:hAnsi="微软雅黑" w:eastAsia="微软雅黑" w:cs="微软雅黑"/>
          <w:i w:val="0"/>
          <w:iCs w:val="0"/>
          <w:caps w:val="0"/>
          <w:color w:val="333333"/>
          <w:spacing w:val="0"/>
          <w:sz w:val="24"/>
          <w:szCs w:val="24"/>
          <w:shd w:val="clear" w:fill="FFFFFF"/>
        </w:rPr>
        <w:t>％（上升原因：机构改革后，人员增加，开支增加）。 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3、机关运行经费执行情况说明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年一般公共预算财政拨款基本支出</w:t>
      </w:r>
      <w:r>
        <w:rPr>
          <w:rFonts w:hint="eastAsia" w:ascii="微软雅黑" w:hAnsi="微软雅黑" w:eastAsia="微软雅黑" w:cs="微软雅黑"/>
          <w:i w:val="0"/>
          <w:iCs w:val="0"/>
          <w:caps w:val="0"/>
          <w:color w:val="333333"/>
          <w:spacing w:val="0"/>
          <w:sz w:val="24"/>
          <w:szCs w:val="24"/>
          <w:shd w:val="clear" w:fill="FFFFFF"/>
          <w:lang w:val="en-US" w:eastAsia="zh-CN"/>
        </w:rPr>
        <w:t>232.65</w:t>
      </w:r>
      <w:r>
        <w:rPr>
          <w:rFonts w:hint="eastAsia" w:ascii="微软雅黑" w:hAnsi="微软雅黑" w:eastAsia="微软雅黑" w:cs="微软雅黑"/>
          <w:i w:val="0"/>
          <w:iCs w:val="0"/>
          <w:caps w:val="0"/>
          <w:color w:val="333333"/>
          <w:spacing w:val="0"/>
          <w:sz w:val="24"/>
          <w:szCs w:val="24"/>
          <w:shd w:val="clear" w:fill="FFFFFF"/>
        </w:rPr>
        <w:t>万元，其中人员经费支出</w:t>
      </w:r>
      <w:r>
        <w:rPr>
          <w:rFonts w:hint="eastAsia" w:ascii="微软雅黑" w:hAnsi="微软雅黑" w:eastAsia="微软雅黑" w:cs="微软雅黑"/>
          <w:i w:val="0"/>
          <w:iCs w:val="0"/>
          <w:caps w:val="0"/>
          <w:color w:val="333333"/>
          <w:spacing w:val="0"/>
          <w:sz w:val="24"/>
          <w:szCs w:val="24"/>
          <w:shd w:val="clear" w:fill="FFFFFF"/>
          <w:lang w:val="en-US" w:eastAsia="zh-CN"/>
        </w:rPr>
        <w:t>186.48</w:t>
      </w:r>
      <w:r>
        <w:rPr>
          <w:rFonts w:hint="eastAsia" w:ascii="微软雅黑" w:hAnsi="微软雅黑" w:eastAsia="微软雅黑" w:cs="微软雅黑"/>
          <w:i w:val="0"/>
          <w:iCs w:val="0"/>
          <w:caps w:val="0"/>
          <w:color w:val="333333"/>
          <w:spacing w:val="0"/>
          <w:sz w:val="24"/>
          <w:szCs w:val="24"/>
          <w:shd w:val="clear" w:fill="FFFFFF"/>
        </w:rPr>
        <w:t>万元，商品和服务支出（含项目）</w:t>
      </w:r>
      <w:r>
        <w:rPr>
          <w:rFonts w:hint="eastAsia" w:ascii="微软雅黑" w:hAnsi="微软雅黑" w:eastAsia="微软雅黑" w:cs="微软雅黑"/>
          <w:i w:val="0"/>
          <w:iCs w:val="0"/>
          <w:caps w:val="0"/>
          <w:color w:val="333333"/>
          <w:spacing w:val="0"/>
          <w:sz w:val="24"/>
          <w:szCs w:val="24"/>
          <w:shd w:val="clear" w:fill="FFFFFF"/>
          <w:lang w:val="en-US" w:eastAsia="zh-CN"/>
        </w:rPr>
        <w:t>46.17</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，较年初预算</w:t>
      </w:r>
      <w:r>
        <w:rPr>
          <w:rFonts w:hint="eastAsia" w:ascii="微软雅黑" w:hAnsi="微软雅黑" w:eastAsia="微软雅黑" w:cs="微软雅黑"/>
          <w:i w:val="0"/>
          <w:iCs w:val="0"/>
          <w:caps w:val="0"/>
          <w:color w:val="333333"/>
          <w:spacing w:val="0"/>
          <w:sz w:val="24"/>
          <w:szCs w:val="24"/>
          <w:shd w:val="clear" w:fill="FFFFFF"/>
          <w:lang w:val="en-US" w:eastAsia="zh-CN"/>
        </w:rPr>
        <w:t>164.49万元增加68.16万元，增加41%，新增原因为人员经费增加</w:t>
      </w:r>
      <w:r>
        <w:rPr>
          <w:rFonts w:hint="eastAsia" w:ascii="微软雅黑" w:hAnsi="微软雅黑" w:eastAsia="微软雅黑" w:cs="微软雅黑"/>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4、政府采购执行情况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本单位严格按照年初预算和政府采购相关条例执行政府采购程序，202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年无政府采购支出。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5、国有资产占用情况说明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截至202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年12月31日，本部门（单位）办公用房由机关事务管理局统一管理；无公务用车；单位价值50万元以上通用设备0台（套），单价100万元以上专用设备0台（套）。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重点绩效评价结果等预算绩效情况说明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本单位无此项目。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7、财政拨款“三公经费”支出情况说明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1</w:t>
      </w:r>
      <w:r>
        <w:rPr>
          <w:rFonts w:hint="eastAsia" w:ascii="微软雅黑" w:hAnsi="微软雅黑" w:eastAsia="微软雅黑" w:cs="微软雅黑"/>
          <w:i w:val="0"/>
          <w:iCs w:val="0"/>
          <w:caps w:val="0"/>
          <w:color w:val="333333"/>
          <w:spacing w:val="0"/>
          <w:sz w:val="24"/>
          <w:szCs w:val="24"/>
          <w:shd w:val="clear" w:fill="FFFFFF"/>
        </w:rPr>
        <w:t>年“三公”经费决算数</w:t>
      </w:r>
      <w:r>
        <w:rPr>
          <w:rFonts w:hint="eastAsia" w:ascii="微软雅黑" w:hAnsi="微软雅黑" w:eastAsia="微软雅黑" w:cs="微软雅黑"/>
          <w:i w:val="0"/>
          <w:iCs w:val="0"/>
          <w:caps w:val="0"/>
          <w:color w:val="333333"/>
          <w:spacing w:val="0"/>
          <w:sz w:val="24"/>
          <w:szCs w:val="24"/>
          <w:shd w:val="clear" w:fill="FFFFFF"/>
          <w:lang w:val="en-US" w:eastAsia="zh-CN"/>
        </w:rPr>
        <w:t>3.49</w:t>
      </w:r>
      <w:r>
        <w:rPr>
          <w:rFonts w:hint="eastAsia" w:ascii="微软雅黑" w:hAnsi="微软雅黑" w:eastAsia="微软雅黑" w:cs="微软雅黑"/>
          <w:i w:val="0"/>
          <w:iCs w:val="0"/>
          <w:caps w:val="0"/>
          <w:color w:val="333333"/>
          <w:spacing w:val="0"/>
          <w:sz w:val="24"/>
          <w:szCs w:val="24"/>
          <w:shd w:val="clear" w:fill="FFFFFF"/>
        </w:rPr>
        <w:t>万元，其中，因公出国（境）费0万元，</w:t>
      </w:r>
      <w:r>
        <w:rPr>
          <w:rFonts w:hint="eastAsia" w:ascii="微软雅黑" w:hAnsi="微软雅黑" w:eastAsia="微软雅黑" w:cs="微软雅黑"/>
          <w:i w:val="0"/>
          <w:iCs w:val="0"/>
          <w:caps w:val="0"/>
          <w:color w:val="333333"/>
          <w:spacing w:val="0"/>
          <w:sz w:val="24"/>
          <w:szCs w:val="24"/>
          <w:shd w:val="clear" w:fill="FFFFFF"/>
          <w:lang w:eastAsia="zh-CN"/>
        </w:rPr>
        <w:t>公务车运行费</w:t>
      </w:r>
      <w:r>
        <w:rPr>
          <w:rFonts w:hint="eastAsia" w:ascii="微软雅黑" w:hAnsi="微软雅黑" w:eastAsia="微软雅黑" w:cs="微软雅黑"/>
          <w:i w:val="0"/>
          <w:iCs w:val="0"/>
          <w:caps w:val="0"/>
          <w:color w:val="333333"/>
          <w:spacing w:val="0"/>
          <w:sz w:val="24"/>
          <w:szCs w:val="24"/>
          <w:shd w:val="clear" w:fill="FFFFFF"/>
          <w:lang w:val="en-US" w:eastAsia="zh-CN"/>
        </w:rPr>
        <w:t>1.4万元，与年初预算新增1.4万元 ，与2020年决算数相比增加1.4万元，新增原因为新增公务车一辆；</w:t>
      </w:r>
      <w:r>
        <w:rPr>
          <w:rFonts w:hint="eastAsia" w:ascii="微软雅黑" w:hAnsi="微软雅黑" w:eastAsia="微软雅黑" w:cs="微软雅黑"/>
          <w:i w:val="0"/>
          <w:iCs w:val="0"/>
          <w:caps w:val="0"/>
          <w:color w:val="333333"/>
          <w:spacing w:val="0"/>
          <w:sz w:val="24"/>
          <w:szCs w:val="24"/>
          <w:shd w:val="clear" w:fill="FFFFFF"/>
        </w:rPr>
        <w:t>公务接待费</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，与年初预算新增</w:t>
      </w:r>
      <w:r>
        <w:rPr>
          <w:rFonts w:hint="eastAsia" w:ascii="微软雅黑" w:hAnsi="微软雅黑" w:eastAsia="微软雅黑" w:cs="微软雅黑"/>
          <w:i w:val="0"/>
          <w:iCs w:val="0"/>
          <w:caps w:val="0"/>
          <w:color w:val="333333"/>
          <w:spacing w:val="0"/>
          <w:sz w:val="24"/>
          <w:szCs w:val="24"/>
          <w:shd w:val="clear" w:fill="FFFFFF"/>
          <w:lang w:val="en-US" w:eastAsia="zh-CN"/>
        </w:rPr>
        <w:t>1.1万元，</w:t>
      </w:r>
      <w:r>
        <w:rPr>
          <w:rFonts w:hint="eastAsia" w:ascii="微软雅黑" w:hAnsi="微软雅黑" w:eastAsia="微软雅黑" w:cs="微软雅黑"/>
          <w:i w:val="0"/>
          <w:iCs w:val="0"/>
          <w:caps w:val="0"/>
          <w:color w:val="333333"/>
          <w:spacing w:val="0"/>
          <w:sz w:val="24"/>
          <w:szCs w:val="24"/>
          <w:shd w:val="clear" w:fill="FFFFFF"/>
        </w:rPr>
        <w:t>与20</w:t>
      </w:r>
      <w:r>
        <w:rPr>
          <w:rFonts w:hint="eastAsia" w:ascii="微软雅黑" w:hAnsi="微软雅黑" w:eastAsia="微软雅黑" w:cs="微软雅黑"/>
          <w:i w:val="0"/>
          <w:iCs w:val="0"/>
          <w:caps w:val="0"/>
          <w:color w:val="333333"/>
          <w:spacing w:val="0"/>
          <w:sz w:val="24"/>
          <w:szCs w:val="24"/>
          <w:shd w:val="clear" w:fill="FFFFFF"/>
          <w:lang w:val="en-US" w:eastAsia="zh-CN"/>
        </w:rPr>
        <w:t>20</w:t>
      </w:r>
      <w:r>
        <w:rPr>
          <w:rFonts w:hint="eastAsia" w:ascii="微软雅黑" w:hAnsi="微软雅黑" w:eastAsia="微软雅黑" w:cs="微软雅黑"/>
          <w:i w:val="0"/>
          <w:iCs w:val="0"/>
          <w:caps w:val="0"/>
          <w:color w:val="333333"/>
          <w:spacing w:val="0"/>
          <w:sz w:val="24"/>
          <w:szCs w:val="24"/>
          <w:shd w:val="clear" w:fill="FFFFFF"/>
        </w:rPr>
        <w:t>年决算数相比</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lang w:val="en-US" w:eastAsia="zh-CN"/>
        </w:rPr>
        <w:t>1.6</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w:t>
      </w:r>
      <w:r>
        <w:rPr>
          <w:rFonts w:hint="eastAsia" w:ascii="微软雅黑" w:hAnsi="微软雅黑" w:eastAsia="微软雅黑" w:cs="微软雅黑"/>
          <w:i w:val="0"/>
          <w:iCs w:val="0"/>
          <w:caps w:val="0"/>
          <w:color w:val="333333"/>
          <w:spacing w:val="0"/>
          <w:sz w:val="24"/>
          <w:szCs w:val="24"/>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（一）因公出国（境）费预算支出0万元，与20</w:t>
      </w:r>
      <w:r>
        <w:rPr>
          <w:rFonts w:hint="eastAsia" w:ascii="微软雅黑" w:hAnsi="微软雅黑" w:eastAsia="微软雅黑" w:cs="微软雅黑"/>
          <w:i w:val="0"/>
          <w:iCs w:val="0"/>
          <w:caps w:val="0"/>
          <w:color w:val="333333"/>
          <w:spacing w:val="0"/>
          <w:sz w:val="24"/>
          <w:szCs w:val="24"/>
          <w:shd w:val="clear" w:fill="FFFFFF"/>
          <w:lang w:val="en-US" w:eastAsia="zh-CN"/>
        </w:rPr>
        <w:t>20</w:t>
      </w:r>
      <w:r>
        <w:rPr>
          <w:rFonts w:hint="eastAsia" w:ascii="微软雅黑" w:hAnsi="微软雅黑" w:eastAsia="微软雅黑" w:cs="微软雅黑"/>
          <w:i w:val="0"/>
          <w:iCs w:val="0"/>
          <w:caps w:val="0"/>
          <w:color w:val="333333"/>
          <w:spacing w:val="0"/>
          <w:sz w:val="24"/>
          <w:szCs w:val="24"/>
          <w:shd w:val="clear" w:fill="FFFFFF"/>
        </w:rPr>
        <w:t>年决算数持平。主要原因没有安排主要领导出国（境）考察学习任务。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（二）公务接待费决算支出</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万元，其中外事接待支出0元，共接待0批次；国内公务接待支出</w:t>
      </w:r>
      <w:r>
        <w:rPr>
          <w:rFonts w:hint="eastAsia" w:ascii="微软雅黑" w:hAnsi="微软雅黑" w:eastAsia="微软雅黑" w:cs="微软雅黑"/>
          <w:i w:val="0"/>
          <w:iCs w:val="0"/>
          <w:caps w:val="0"/>
          <w:color w:val="333333"/>
          <w:spacing w:val="0"/>
          <w:sz w:val="24"/>
          <w:szCs w:val="24"/>
          <w:shd w:val="clear" w:fill="FFFFFF"/>
          <w:lang w:val="en-US" w:eastAsia="zh-CN"/>
        </w:rPr>
        <w:t>2.1</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共接待</w:t>
      </w:r>
      <w:r>
        <w:rPr>
          <w:rFonts w:hint="eastAsia" w:ascii="微软雅黑" w:hAnsi="微软雅黑" w:eastAsia="微软雅黑" w:cs="微软雅黑"/>
          <w:i w:val="0"/>
          <w:iCs w:val="0"/>
          <w:caps w:val="0"/>
          <w:color w:val="333333"/>
          <w:spacing w:val="0"/>
          <w:sz w:val="24"/>
          <w:szCs w:val="24"/>
          <w:shd w:val="clear" w:fill="FFFFFF"/>
          <w:lang w:val="en-US" w:eastAsia="zh-CN"/>
        </w:rPr>
        <w:t>32个批次，315人，</w:t>
      </w:r>
      <w:r>
        <w:rPr>
          <w:rFonts w:hint="eastAsia" w:ascii="微软雅黑" w:hAnsi="微软雅黑" w:eastAsia="微软雅黑" w:cs="微软雅黑"/>
          <w:i w:val="0"/>
          <w:iCs w:val="0"/>
          <w:caps w:val="0"/>
          <w:color w:val="333333"/>
          <w:spacing w:val="0"/>
          <w:sz w:val="24"/>
          <w:szCs w:val="24"/>
          <w:shd w:val="clear" w:fill="FFFFFF"/>
        </w:rPr>
        <w:t>比上年</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lang w:val="en-US" w:eastAsia="zh-CN"/>
        </w:rPr>
        <w:t>1.6</w:t>
      </w:r>
      <w:r>
        <w:rPr>
          <w:rFonts w:hint="eastAsia" w:ascii="微软雅黑" w:hAnsi="微软雅黑" w:eastAsia="微软雅黑" w:cs="微软雅黑"/>
          <w:i w:val="0"/>
          <w:iCs w:val="0"/>
          <w:caps w:val="0"/>
          <w:color w:val="333333"/>
          <w:spacing w:val="0"/>
          <w:sz w:val="24"/>
          <w:szCs w:val="24"/>
          <w:shd w:val="clear" w:fill="FFFFFF"/>
        </w:rPr>
        <w:t>万元，</w:t>
      </w:r>
      <w:r>
        <w:rPr>
          <w:rFonts w:hint="eastAsia" w:ascii="微软雅黑" w:hAnsi="微软雅黑" w:eastAsia="微软雅黑" w:cs="微软雅黑"/>
          <w:i w:val="0"/>
          <w:iCs w:val="0"/>
          <w:caps w:val="0"/>
          <w:color w:val="333333"/>
          <w:spacing w:val="0"/>
          <w:sz w:val="24"/>
          <w:szCs w:val="24"/>
          <w:shd w:val="clear" w:fill="FFFFFF"/>
          <w:lang w:eastAsia="zh-CN"/>
        </w:rPr>
        <w:t>减少</w:t>
      </w:r>
      <w:r>
        <w:rPr>
          <w:rFonts w:hint="eastAsia" w:ascii="微软雅黑" w:hAnsi="微软雅黑" w:eastAsia="微软雅黑" w:cs="微软雅黑"/>
          <w:i w:val="0"/>
          <w:iCs w:val="0"/>
          <w:caps w:val="0"/>
          <w:color w:val="333333"/>
          <w:spacing w:val="0"/>
          <w:sz w:val="24"/>
          <w:szCs w:val="24"/>
          <w:shd w:val="clear" w:fill="FFFFFF"/>
        </w:rPr>
        <w:t>的主要原因是随县是省委统战部</w:t>
      </w:r>
      <w:r>
        <w:rPr>
          <w:rFonts w:hint="eastAsia" w:ascii="微软雅黑" w:hAnsi="微软雅黑" w:eastAsia="微软雅黑" w:cs="微软雅黑"/>
          <w:i w:val="0"/>
          <w:iCs w:val="0"/>
          <w:caps w:val="0"/>
          <w:color w:val="333333"/>
          <w:spacing w:val="0"/>
          <w:sz w:val="24"/>
          <w:szCs w:val="24"/>
          <w:shd w:val="clear" w:fill="FFFFFF"/>
          <w:lang w:eastAsia="zh-CN"/>
        </w:rPr>
        <w:t>节约开支</w:t>
      </w:r>
      <w:r>
        <w:rPr>
          <w:rFonts w:hint="eastAsia" w:ascii="微软雅黑" w:hAnsi="微软雅黑" w:eastAsia="微软雅黑" w:cs="微软雅黑"/>
          <w:i w:val="0"/>
          <w:iCs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（一）财政拨款（补助）收入：指本级财政决算安排且当年拨付的资金。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（二）一般公共服务支出（201类）：反映政府提供一般公共服务的支出。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（三）行政运行（2010601项）：反映行政单位（包括实行公务员管理的事业单位）的基本支出。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（四）一般行政管理事务（2010602项）：反映行政单位（包括实行公务员管理的事业单位）未单独设置项级科目的其他项目支出。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（五）基本支出：指为保障机构正常运转、完成日常工作任务而发生的人员支出（包括基本工资、津贴补贴等）和公用支出（包括办公费、水电费、邮电费、交通费、会议费、差旅费等）。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（七）“三公”经费：按照有关规定，“三公”经费包括因公出国（境）费、公务接待费、公务用车购置及运行费。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（八）公务接待费：反映单位按规定开支的各类公务接待（含外宾接待）费用。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（九）因公出国（境）费：反映单位公务出国（境）的国际旅费、国外城市间交通费、住宿费、伙食费、培训费、公杂费等支出。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（十）公务用车运行维护费：反映单位按规定保留的公务用车燃料费、维修费、过路过桥费、保险费、安全奖励费用等支出。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（十一）公务用车购置费：反映公务用车车辆购置支出（含车辆购置税）。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五、部门决算基本情况 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tbl>
      <w:tblPr>
        <w:tblpPr w:leftFromText="180" w:rightFromText="180" w:vertAnchor="text" w:horzAnchor="page" w:tblpX="550" w:tblpY="1044"/>
        <w:tblOverlap w:val="never"/>
        <w:tblW w:w="11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33"/>
        <w:gridCol w:w="683"/>
        <w:gridCol w:w="912"/>
        <w:gridCol w:w="3662"/>
        <w:gridCol w:w="683"/>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1056" w:type="dxa"/>
            <w:gridSpan w:val="6"/>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shd w:val="clear" w:fill="FFFFFF"/>
        </w:rPr>
      </w:pPr>
    </w:p>
    <w:p/>
    <w:tbl>
      <w:tblPr>
        <w:tblpPr w:leftFromText="180" w:rightFromText="180" w:vertAnchor="text" w:horzAnchor="page" w:tblpX="806" w:tblpY="1111"/>
        <w:tblOverlap w:val="never"/>
        <w:tblW w:w="10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6"/>
        <w:gridCol w:w="222"/>
        <w:gridCol w:w="222"/>
        <w:gridCol w:w="1976"/>
        <w:gridCol w:w="1800"/>
        <w:gridCol w:w="18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97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97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80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3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0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197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30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7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3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5036"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8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19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18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w:t>
            </w:r>
          </w:p>
        </w:tc>
        <w:tc>
          <w:tcPr>
            <w:tcW w:w="19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统战事务</w:t>
            </w:r>
          </w:p>
        </w:tc>
        <w:tc>
          <w:tcPr>
            <w:tcW w:w="18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1976"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180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232.25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
      <w:pPr>
        <w:jc w:val="center"/>
        <w:rPr>
          <w:rFonts w:hint="eastAsia" w:eastAsiaTheme="minorEastAsia"/>
          <w:sz w:val="30"/>
          <w:szCs w:val="30"/>
          <w:lang w:eastAsia="zh-CN"/>
        </w:rPr>
      </w:pPr>
      <w:r>
        <w:rPr>
          <w:rFonts w:hint="eastAsia"/>
          <w:sz w:val="30"/>
          <w:szCs w:val="30"/>
          <w:lang w:eastAsia="zh-CN"/>
        </w:rPr>
        <w:t>收入决算表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pPr w:leftFromText="180" w:rightFromText="180" w:vertAnchor="text" w:horzAnchor="page" w:tblpX="1046" w:tblpY="518"/>
        <w:tblOverlap w:val="never"/>
        <w:tblW w:w="10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6"/>
        <w:gridCol w:w="222"/>
        <w:gridCol w:w="222"/>
        <w:gridCol w:w="1976"/>
        <w:gridCol w:w="1800"/>
        <w:gridCol w:w="1684"/>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320"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统战事务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rPr>
          <w:rFonts w:hint="eastAsia"/>
          <w:lang w:eastAsia="zh-CN"/>
        </w:rPr>
      </w:pPr>
    </w:p>
    <w:tbl>
      <w:tblPr>
        <w:tblStyle w:val="3"/>
        <w:tblpPr w:leftFromText="180" w:rightFromText="180" w:vertAnchor="text" w:horzAnchor="page" w:tblpX="806" w:tblpY="5612"/>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45"/>
        <w:gridCol w:w="600"/>
        <w:gridCol w:w="930"/>
        <w:gridCol w:w="3480"/>
        <w:gridCol w:w="540"/>
        <w:gridCol w:w="94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515"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4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04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部门：随县统一战线工作部</w:t>
            </w:r>
          </w:p>
        </w:tc>
        <w:tc>
          <w:tcPr>
            <w:tcW w:w="60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940" w:type="dxa"/>
            <w:gridSpan w:val="4"/>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0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45"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0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0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232.25</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c>
          <w:tcPr>
            <w:tcW w:w="34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232.66</w:t>
            </w:r>
          </w:p>
        </w:tc>
      </w:tr>
    </w:tbl>
    <w:p>
      <w:pPr>
        <w:rPr>
          <w:rFonts w:hint="eastAsia"/>
          <w:lang w:eastAsia="zh-CN"/>
        </w:rPr>
      </w:pPr>
    </w:p>
    <w:p>
      <w:pPr>
        <w:rPr>
          <w:rFonts w:hint="eastAsia"/>
          <w:lang w:eastAsia="zh-CN"/>
        </w:rPr>
      </w:pPr>
    </w:p>
    <w:tbl>
      <w:tblPr>
        <w:tblpPr w:leftFromText="180" w:rightFromText="180" w:vertAnchor="text" w:horzAnchor="page" w:tblpX="836" w:tblpY="848"/>
        <w:tblOverlap w:val="never"/>
        <w:tblW w:w="10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16"/>
        <w:gridCol w:w="222"/>
        <w:gridCol w:w="222"/>
        <w:gridCol w:w="1976"/>
        <w:gridCol w:w="1644"/>
        <w:gridCol w:w="1601"/>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10531" w:type="dxa"/>
            <w:gridSpan w:val="7"/>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495" w:type="dxa"/>
            <w:gridSpan w:val="3"/>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44"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0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306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1"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644"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01"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统战事务</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行政运行</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232.65</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W w:w="8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16"/>
        <w:gridCol w:w="1233"/>
        <w:gridCol w:w="2416"/>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8160" w:type="dxa"/>
            <w:gridSpan w:val="4"/>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gridSpan w:val="2"/>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49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2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965"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249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02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185.84</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52.40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28.02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4.42</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28.59</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23.93</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23.51</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0.65</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nil"/>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186.48</w:t>
            </w:r>
          </w:p>
        </w:tc>
        <w:tc>
          <w:tcPr>
            <w:tcW w:w="0" w:type="auto"/>
            <w:tcBorders>
              <w:top w:val="nil"/>
              <w:left w:val="nil"/>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46.17</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W w:w="8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74"/>
        <w:gridCol w:w="727"/>
        <w:gridCol w:w="386"/>
        <w:gridCol w:w="386"/>
        <w:gridCol w:w="386"/>
        <w:gridCol w:w="386"/>
        <w:gridCol w:w="747"/>
        <w:gridCol w:w="537"/>
        <w:gridCol w:w="693"/>
        <w:gridCol w:w="480"/>
        <w:gridCol w:w="6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8542" w:type="dxa"/>
            <w:gridSpan w:val="12"/>
            <w:tcBorders>
              <w:top w:val="nil"/>
              <w:left w:val="nil"/>
              <w:bottom w:val="nil"/>
              <w:right w:val="nil"/>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bdr w:val="none" w:color="auto" w:sz="0" w:space="0"/>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074" w:type="dxa"/>
            <w:tcBorders>
              <w:top w:val="nil"/>
              <w:left w:val="nil"/>
              <w:bottom w:val="nil"/>
              <w:right w:val="nil"/>
            </w:tcBorders>
            <w:shd w:val="clear"/>
            <w:noWrap/>
            <w:vAlign w:val="bottom"/>
          </w:tcPr>
          <w:p>
            <w:pPr>
              <w:rPr>
                <w:rFonts w:hint="eastAsia" w:ascii="Arial" w:hAnsi="Arial" w:cs="Arial"/>
                <w:i w:val="0"/>
                <w:iCs w:val="0"/>
                <w:color w:val="000000"/>
                <w:sz w:val="20"/>
                <w:szCs w:val="20"/>
                <w:u w:val="none"/>
              </w:rPr>
            </w:pPr>
          </w:p>
        </w:tc>
        <w:tc>
          <w:tcPr>
            <w:tcW w:w="72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9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2074" w:type="dxa"/>
            <w:tcBorders>
              <w:top w:val="nil"/>
              <w:left w:val="nil"/>
              <w:bottom w:val="nil"/>
              <w:right w:val="nil"/>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部门：随县统一战线工作部</w:t>
            </w:r>
          </w:p>
        </w:tc>
        <w:tc>
          <w:tcPr>
            <w:tcW w:w="72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386"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74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93"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48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660" w:type="dxa"/>
            <w:tcBorders>
              <w:top w:val="nil"/>
              <w:left w:val="nil"/>
              <w:bottom w:val="nil"/>
              <w:right w:val="nil"/>
            </w:tcBorders>
            <w:shd w:val="clear"/>
            <w:noWrap/>
            <w:vAlign w:val="bottom"/>
          </w:tcPr>
          <w:p>
            <w:pPr>
              <w:rPr>
                <w:rFonts w:hint="default" w:ascii="Arial" w:hAnsi="Arial" w:cs="Arial"/>
                <w:i w:val="0"/>
                <w:iCs w:val="0"/>
                <w:color w:val="000000"/>
                <w:sz w:val="20"/>
                <w:szCs w:val="20"/>
                <w:u w:val="none"/>
              </w:rPr>
            </w:pPr>
          </w:p>
        </w:tc>
        <w:tc>
          <w:tcPr>
            <w:tcW w:w="1080" w:type="dxa"/>
            <w:tcBorders>
              <w:top w:val="nil"/>
              <w:left w:val="nil"/>
              <w:bottom w:val="nil"/>
              <w:right w:val="nil"/>
            </w:tcBorders>
            <w:shd w:val="clear"/>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45"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4197" w:type="dxa"/>
            <w:gridSpan w:val="6"/>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07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2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158" w:type="dxa"/>
            <w:gridSpan w:val="3"/>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公务用车购置及运行费</w:t>
            </w:r>
          </w:p>
        </w:tc>
        <w:tc>
          <w:tcPr>
            <w:tcW w:w="386"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74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37"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833" w:type="dxa"/>
            <w:gridSpan w:val="3"/>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公务用车购置及运行费</w:t>
            </w:r>
          </w:p>
        </w:tc>
        <w:tc>
          <w:tcPr>
            <w:tcW w:w="1080"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074"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27"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公务用车运行费</w:t>
            </w:r>
          </w:p>
        </w:tc>
        <w:tc>
          <w:tcPr>
            <w:tcW w:w="386"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47"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537"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93"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8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66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公务用车运行费</w:t>
            </w:r>
          </w:p>
        </w:tc>
        <w:tc>
          <w:tcPr>
            <w:tcW w:w="1080" w:type="dxa"/>
            <w:vMerge w:val="continue"/>
            <w:tcBorders>
              <w:top w:val="nil"/>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7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27"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386"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47"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37"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93"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8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6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080" w:type="dxa"/>
            <w:tcBorders>
              <w:top w:val="nil"/>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74" w:type="dxa"/>
            <w:tcBorders>
              <w:top w:val="nil"/>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27"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386"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747"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w:t>
            </w:r>
          </w:p>
        </w:tc>
        <w:tc>
          <w:tcPr>
            <w:tcW w:w="537"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93"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480" w:type="dxa"/>
            <w:tcBorders>
              <w:top w:val="nil"/>
              <w:left w:val="nil"/>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66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080" w:type="dxa"/>
            <w:tcBorders>
              <w:top w:val="nil"/>
              <w:left w:val="nil"/>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r>
    </w:tbl>
    <w:p>
      <w:pPr>
        <w:rPr>
          <w:rFonts w:hint="eastAsia"/>
          <w:lang w:eastAsia="zh-CN"/>
        </w:rPr>
      </w:pPr>
    </w:p>
    <w:p>
      <w:pPr>
        <w:rPr>
          <w:rFonts w:hint="eastAsia"/>
          <w:lang w:eastAsia="zh-CN"/>
        </w:rPr>
      </w:pPr>
    </w:p>
    <w:p>
      <w:pPr>
        <w:rPr>
          <w:rFonts w:hint="eastAsia"/>
          <w:sz w:val="30"/>
          <w:szCs w:val="30"/>
          <w:lang w:eastAsia="zh-CN"/>
        </w:rPr>
      </w:pPr>
      <w:r>
        <w:rPr>
          <w:rFonts w:hint="eastAsia"/>
          <w:sz w:val="30"/>
          <w:szCs w:val="30"/>
          <w:lang w:eastAsia="zh-CN"/>
        </w:rPr>
        <w:t>政府性基金预算财政拨款收入支出决算表</w:t>
      </w:r>
    </w:p>
    <w:p>
      <w:pPr>
        <w:rPr>
          <w:rFonts w:hint="eastAsia"/>
          <w:sz w:val="21"/>
          <w:szCs w:val="21"/>
          <w:lang w:eastAsia="zh-CN"/>
        </w:rPr>
      </w:pPr>
      <w:r>
        <w:rPr>
          <w:rFonts w:hint="eastAsia"/>
          <w:sz w:val="21"/>
          <w:szCs w:val="21"/>
          <w:lang w:eastAsia="zh-CN"/>
        </w:rPr>
        <w:t>此表为空表</w:t>
      </w:r>
    </w:p>
    <w:p>
      <w:pPr>
        <w:rPr>
          <w:rFonts w:hint="eastAsia"/>
          <w:sz w:val="21"/>
          <w:szCs w:val="21"/>
          <w:lang w:eastAsia="zh-CN"/>
        </w:rPr>
      </w:pPr>
    </w:p>
    <w:p>
      <w:pPr>
        <w:rPr>
          <w:rFonts w:hint="eastAsia"/>
          <w:sz w:val="30"/>
          <w:szCs w:val="30"/>
          <w:lang w:eastAsia="zh-CN"/>
        </w:rPr>
      </w:pPr>
      <w:r>
        <w:rPr>
          <w:rFonts w:hint="eastAsia"/>
          <w:sz w:val="30"/>
          <w:szCs w:val="30"/>
          <w:lang w:eastAsia="zh-CN"/>
        </w:rPr>
        <w:t>国有资本经营预算财政拨款支出决算表</w:t>
      </w:r>
    </w:p>
    <w:p>
      <w:pPr>
        <w:rPr>
          <w:rFonts w:hint="eastAsia"/>
          <w:lang w:eastAsia="zh-CN"/>
        </w:rPr>
      </w:pPr>
      <w:r>
        <w:rPr>
          <w:rFonts w:hint="eastAsia"/>
          <w:sz w:val="21"/>
          <w:szCs w:val="21"/>
          <w:lang w:eastAsia="zh-CN"/>
        </w:rPr>
        <w:t>此表为空表</w:t>
      </w:r>
      <w:bookmarkStart w:id="0" w:name="_GoBack"/>
      <w:bookmarkEnd w:id="0"/>
      <w:r>
        <w:rPr>
          <w:rFonts w:hint="eastAsia"/>
          <w:sz w:val="30"/>
          <w:szCs w:val="30"/>
          <w:lang w:eastAsia="zh-CN"/>
        </w:rPr>
        <w:tab/>
      </w:r>
      <w:r>
        <w:rPr>
          <w:rFonts w:hint="eastAsia"/>
          <w:lang w:eastAsia="zh-CN"/>
        </w:rPr>
        <w:tab/>
      </w:r>
      <w:r>
        <w:rPr>
          <w:rFonts w:hint="eastAsia"/>
          <w:lang w:eastAsia="zh-CN"/>
        </w:rPr>
        <w:tab/>
      </w: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62D3E"/>
    <w:multiLevelType w:val="singleLevel"/>
    <w:tmpl w:val="B9362D3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GE5OTk0ZGNiZThiNmEzYzc4ZTNjNTEzMjU0YTkifQ=="/>
  </w:docVars>
  <w:rsids>
    <w:rsidRoot w:val="515D0953"/>
    <w:rsid w:val="07024535"/>
    <w:rsid w:val="15204125"/>
    <w:rsid w:val="2D7E12C1"/>
    <w:rsid w:val="464A2500"/>
    <w:rsid w:val="515D0953"/>
    <w:rsid w:val="7F1D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2151</Words>
  <Characters>2281</Characters>
  <Lines>0</Lines>
  <Paragraphs>0</Paragraphs>
  <TotalTime>14</TotalTime>
  <ScaleCrop>false</ScaleCrop>
  <LinksUpToDate>false</LinksUpToDate>
  <CharactersWithSpaces>2282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2022-09-28T00:56:00Z</dcterms:created>
  <dc:creator>Administrator</dc:creator>
  <cp:lastModifiedBy>麦子</cp:lastModifiedBy>
  <dcterms:modified xsi:type="dcterms:W3CDTF">2023-08-22T02:58:26Z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816D422F1EC94A41AB8D527421573ABD_13</vt:lpwstr>
  </property>
</Properties>
</file>