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rPr>
          <w:rFonts w:hint="eastAsia"/>
          <w:b/>
        </w:rPr>
      </w:pPr>
      <w:r>
        <w:rPr>
          <w:rFonts w:hint="eastAsia"/>
          <w:b/>
        </w:rPr>
        <w:t>5</w:t>
      </w:r>
      <w:r>
        <w:rPr>
          <w:rFonts w:hint="eastAsia"/>
        </w:rPr>
        <w:t xml:space="preserve">. </w:t>
      </w:r>
      <w:r>
        <w:rPr>
          <w:rFonts w:hint="eastAsia"/>
          <w:lang w:val="en-US" w:eastAsia="zh-CN"/>
        </w:rPr>
        <w:t>2020</w:t>
      </w:r>
      <w:r>
        <w:rPr>
          <w:rFonts w:hint="eastAsia"/>
          <w:b/>
        </w:rPr>
        <w:t>年财政拨款收入支出决算</w:t>
      </w:r>
      <w:r>
        <w:rPr>
          <w:rFonts w:hint="eastAsia"/>
          <w:b/>
          <w:lang w:val="en-US" w:eastAsia="zh-CN"/>
        </w:rPr>
        <w:t>总</w:t>
      </w:r>
      <w:r>
        <w:rPr>
          <w:rFonts w:hint="eastAsia"/>
          <w:b/>
        </w:rPr>
        <w:t>表</w:t>
      </w:r>
    </w:p>
    <w:tbl>
      <w:tblPr>
        <w:tblStyle w:val="2"/>
        <w:tblW w:w="8038" w:type="dxa"/>
        <w:tblInd w:w="0" w:type="dxa"/>
        <w:shd w:val="clear" w:color="auto" w:fill="auto"/>
        <w:tblLayout w:type="fixed"/>
        <w:tblCellMar>
          <w:top w:w="0" w:type="dxa"/>
          <w:left w:w="0" w:type="dxa"/>
          <w:bottom w:w="0" w:type="dxa"/>
          <w:right w:w="0" w:type="dxa"/>
        </w:tblCellMar>
      </w:tblPr>
      <w:tblGrid>
        <w:gridCol w:w="1100"/>
        <w:gridCol w:w="763"/>
        <w:gridCol w:w="1146"/>
        <w:gridCol w:w="1506"/>
        <w:gridCol w:w="787"/>
        <w:gridCol w:w="559"/>
        <w:gridCol w:w="592"/>
        <w:gridCol w:w="1585"/>
      </w:tblGrid>
      <w:tr>
        <w:tblPrEx>
          <w:shd w:val="clear" w:color="auto" w:fill="auto"/>
          <w:tblCellMar>
            <w:top w:w="0" w:type="dxa"/>
            <w:left w:w="0" w:type="dxa"/>
            <w:bottom w:w="0" w:type="dxa"/>
            <w:right w:w="0" w:type="dxa"/>
          </w:tblCellMar>
        </w:tblPrEx>
        <w:trPr>
          <w:trHeight w:val="1908" w:hRule="atLeast"/>
        </w:trPr>
        <w:tc>
          <w:tcPr>
            <w:tcW w:w="110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eastAsia" w:ascii="Arial" w:hAnsi="Arial" w:cs="Arial"/>
                <w:i w:val="0"/>
                <w:color w:val="000000"/>
                <w:sz w:val="20"/>
                <w:szCs w:val="20"/>
                <w:u w:val="none"/>
              </w:rPr>
            </w:pPr>
          </w:p>
        </w:tc>
        <w:tc>
          <w:tcPr>
            <w:tcW w:w="763"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3998" w:type="dxa"/>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r>
              <w:rPr>
                <w:rFonts w:hint="eastAsia" w:ascii="宋体" w:hAnsi="宋体" w:eastAsia="宋体" w:cs="宋体"/>
                <w:i w:val="0"/>
                <w:color w:val="000000"/>
                <w:kern w:val="0"/>
                <w:sz w:val="30"/>
                <w:szCs w:val="30"/>
                <w:u w:val="none"/>
                <w:lang w:val="en-US" w:eastAsia="zh-CN" w:bidi="ar"/>
              </w:rPr>
              <w:t>财政拨款收入支出决算总表</w:t>
            </w:r>
          </w:p>
        </w:tc>
        <w:tc>
          <w:tcPr>
            <w:tcW w:w="592"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585"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r>
      <w:tr>
        <w:tblPrEx>
          <w:tblCellMar>
            <w:top w:w="0" w:type="dxa"/>
            <w:left w:w="0" w:type="dxa"/>
            <w:bottom w:w="0" w:type="dxa"/>
            <w:right w:w="0" w:type="dxa"/>
          </w:tblCellMar>
        </w:tblPrEx>
        <w:trPr>
          <w:trHeight w:val="587" w:hRule="atLeast"/>
        </w:trPr>
        <w:tc>
          <w:tcPr>
            <w:tcW w:w="1100"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763"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146"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506"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787"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559"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592"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5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公开04表</w:t>
            </w:r>
          </w:p>
        </w:tc>
      </w:tr>
      <w:tr>
        <w:tblPrEx>
          <w:tblCellMar>
            <w:top w:w="0" w:type="dxa"/>
            <w:left w:w="0" w:type="dxa"/>
            <w:bottom w:w="0" w:type="dxa"/>
            <w:right w:w="0" w:type="dxa"/>
          </w:tblCellMar>
        </w:tblPrEx>
        <w:trPr>
          <w:trHeight w:val="744" w:hRule="atLeast"/>
        </w:trPr>
        <w:tc>
          <w:tcPr>
            <w:tcW w:w="1100"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部门：随县三里岗镇财政所</w:t>
            </w:r>
          </w:p>
        </w:tc>
        <w:tc>
          <w:tcPr>
            <w:tcW w:w="763"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146"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506"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787"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559"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592" w:type="dxa"/>
            <w:tcBorders>
              <w:top w:val="nil"/>
              <w:left w:val="nil"/>
              <w:bottom w:val="nil"/>
              <w:right w:val="nil"/>
            </w:tcBorders>
            <w:shd w:val="clear" w:color="auto" w:fill="auto"/>
            <w:noWrap/>
            <w:tcMar>
              <w:top w:w="15" w:type="dxa"/>
              <w:left w:w="15" w:type="dxa"/>
              <w:right w:w="15" w:type="dxa"/>
            </w:tcMar>
            <w:vAlign w:val="bottom"/>
          </w:tcPr>
          <w:p>
            <w:pPr>
              <w:keepNext w:val="0"/>
              <w:keepLines w:val="0"/>
              <w:suppressLineNumbers w:val="0"/>
              <w:spacing w:before="0" w:beforeAutospacing="0" w:after="0" w:afterAutospacing="0"/>
              <w:ind w:left="0" w:right="0"/>
              <w:rPr>
                <w:rFonts w:hint="default" w:ascii="Arial" w:hAnsi="Arial" w:cs="Arial"/>
                <w:i w:val="0"/>
                <w:color w:val="000000"/>
                <w:sz w:val="20"/>
                <w:szCs w:val="20"/>
                <w:u w:val="none"/>
              </w:rPr>
            </w:pPr>
          </w:p>
        </w:tc>
        <w:tc>
          <w:tcPr>
            <w:tcW w:w="1585" w:type="dxa"/>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CellMar>
            <w:top w:w="0" w:type="dxa"/>
            <w:left w:w="0" w:type="dxa"/>
            <w:bottom w:w="0" w:type="dxa"/>
            <w:right w:w="0" w:type="dxa"/>
          </w:tblCellMar>
        </w:tblPrEx>
        <w:trPr>
          <w:trHeight w:val="689" w:hRule="atLeast"/>
        </w:trPr>
        <w:tc>
          <w:tcPr>
            <w:tcW w:w="3009"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     入</w:t>
            </w:r>
          </w:p>
        </w:tc>
        <w:tc>
          <w:tcPr>
            <w:tcW w:w="5029" w:type="dxa"/>
            <w:gridSpan w:val="5"/>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659" w:hRule="atLeast"/>
        </w:trPr>
        <w:tc>
          <w:tcPr>
            <w:tcW w:w="110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114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15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7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行次</w:t>
            </w:r>
          </w:p>
        </w:tc>
        <w:tc>
          <w:tcPr>
            <w:tcW w:w="559" w:type="dxa"/>
            <w:vMerge w:val="restar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59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158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r>
      <w:tr>
        <w:tblPrEx>
          <w:tblCellMar>
            <w:top w:w="0" w:type="dxa"/>
            <w:left w:w="0" w:type="dxa"/>
            <w:bottom w:w="0" w:type="dxa"/>
            <w:right w:w="0" w:type="dxa"/>
          </w:tblCellMar>
        </w:tblPrEx>
        <w:trPr>
          <w:trHeight w:val="1332" w:hRule="atLeast"/>
        </w:trPr>
        <w:tc>
          <w:tcPr>
            <w:tcW w:w="110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4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7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59" w:type="dxa"/>
            <w:vMerge w:val="continue"/>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9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58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114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000000"/>
                <w:sz w:val="22"/>
                <w:szCs w:val="22"/>
                <w:u w:val="none"/>
              </w:rPr>
            </w:pPr>
          </w:p>
        </w:tc>
        <w:tc>
          <w:tcPr>
            <w:tcW w:w="55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9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585"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CellMar>
            <w:top w:w="0" w:type="dxa"/>
            <w:left w:w="0" w:type="dxa"/>
            <w:bottom w:w="0" w:type="dxa"/>
            <w:right w:w="0" w:type="dxa"/>
          </w:tblCellMar>
        </w:tblPrEx>
        <w:trPr>
          <w:trHeight w:val="107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2065488</w:t>
            </w: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2073423.97</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413.03</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121"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728"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七、文化体育与传媒支出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728"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766"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九、医疗卫生与计划生育支出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766"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十四、资源勘探信息等支出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728"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728"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766"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十八、国土海洋气象等支出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728"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二十一、其他支出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二十二、债务还本支出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二十三、债务付息支出</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728"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2065488</w:t>
            </w: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2073423.97</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2073423.97</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07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925970.91</w:t>
            </w: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918034.94</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918034.94</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107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7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689"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000000"/>
                <w:sz w:val="22"/>
                <w:szCs w:val="22"/>
                <w:u w:val="none"/>
              </w:rPr>
            </w:pP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28" w:hRule="atLeast"/>
        </w:trPr>
        <w:tc>
          <w:tcPr>
            <w:tcW w:w="1100"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63"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114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413.03</w:t>
            </w:r>
          </w:p>
        </w:tc>
        <w:tc>
          <w:tcPr>
            <w:tcW w:w="150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78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5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413.03</w:t>
            </w:r>
          </w:p>
        </w:tc>
        <w:tc>
          <w:tcPr>
            <w:tcW w:w="59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413.03</w:t>
            </w:r>
          </w:p>
        </w:tc>
        <w:tc>
          <w:tcPr>
            <w:tcW w:w="158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728" w:hRule="atLeast"/>
        </w:trPr>
        <w:tc>
          <w:tcPr>
            <w:tcW w:w="8038"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注：本表反映部门本年度一般公共预算财政拨款和政府性基金预算财政拨款的总收支和年末结转结余情况。</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6F0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2021-05-25T07:02:27Z</dcterms:created>
  <dc:creator>Administrator</dc:creator>
  <cp:lastModifiedBy>贝影</cp:lastModifiedBy>
  <dcterms:modified xsi:type="dcterms:W3CDTF">2021-05-25T07:02:57Z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010083350B56448C82AB4AD81AC0CC37</vt:lpwstr>
  </property>
</Properties>
</file>