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44E" w:rsidRPr="00ED24B5" w:rsidRDefault="0008444E" w:rsidP="0008444E">
      <w:pPr>
        <w:pStyle w:val="a3"/>
        <w:shd w:val="clear" w:color="auto" w:fill="FFFFFF"/>
        <w:spacing w:before="0" w:beforeAutospacing="0" w:after="0" w:afterAutospacing="0" w:line="420" w:lineRule="atLeast"/>
        <w:ind w:left="360"/>
        <w:jc w:val="center"/>
        <w:rPr>
          <w:rFonts w:ascii="仿宋" w:eastAsia="仿宋" w:hAnsi="仿宋"/>
          <w:b/>
          <w:color w:val="333333"/>
          <w:sz w:val="32"/>
          <w:szCs w:val="32"/>
        </w:rPr>
      </w:pPr>
      <w:r w:rsidRPr="00ED24B5">
        <w:rPr>
          <w:rFonts w:ascii="仿宋" w:eastAsia="仿宋" w:hAnsi="仿宋" w:hint="eastAsia"/>
          <w:b/>
          <w:color w:val="333333"/>
          <w:sz w:val="32"/>
          <w:szCs w:val="32"/>
        </w:rPr>
        <w:t>2020年度</w:t>
      </w:r>
      <w:r w:rsidRPr="00ED24B5">
        <w:rPr>
          <w:rFonts w:ascii="仿宋" w:eastAsia="仿宋" w:hAnsi="仿宋"/>
          <w:b/>
          <w:color w:val="333333"/>
          <w:sz w:val="32"/>
          <w:szCs w:val="32"/>
        </w:rPr>
        <w:t>随县预算</w:t>
      </w:r>
      <w:r w:rsidRPr="00ED24B5">
        <w:rPr>
          <w:rFonts w:ascii="仿宋" w:eastAsia="仿宋" w:hAnsi="仿宋" w:hint="eastAsia"/>
          <w:b/>
          <w:color w:val="333333"/>
          <w:sz w:val="32"/>
          <w:szCs w:val="32"/>
        </w:rPr>
        <w:t>绩效</w:t>
      </w:r>
      <w:r w:rsidRPr="00ED24B5">
        <w:rPr>
          <w:rFonts w:ascii="仿宋" w:eastAsia="仿宋" w:hAnsi="仿宋"/>
          <w:b/>
          <w:color w:val="333333"/>
          <w:sz w:val="32"/>
          <w:szCs w:val="32"/>
        </w:rPr>
        <w:t>重大政策和绩效执行情况说明</w:t>
      </w:r>
    </w:p>
    <w:p w:rsidR="0008444E" w:rsidRDefault="0008444E" w:rsidP="0008444E">
      <w:pPr>
        <w:ind w:firstLineChars="200" w:firstLine="560"/>
        <w:rPr>
          <w:rFonts w:ascii="仿宋" w:eastAsia="仿宋" w:hAnsi="仿宋" w:cs="仿宋"/>
          <w:kern w:val="0"/>
          <w:sz w:val="28"/>
          <w:szCs w:val="28"/>
        </w:rPr>
      </w:pPr>
      <w:r w:rsidRPr="00ED24B5">
        <w:rPr>
          <w:rFonts w:ascii="仿宋" w:eastAsia="仿宋" w:hAnsi="仿宋" w:cs="仿宋" w:hint="eastAsia"/>
          <w:bCs/>
          <w:kern w:val="0"/>
          <w:sz w:val="28"/>
          <w:szCs w:val="28"/>
        </w:rPr>
        <w:t>根据《省财政厅关于做好当前预算绩效管理重点工作有关事项的通知》(鄂财绩发〔2020〕4号)的文件有关要求，积极部署改革具体事项。</w:t>
      </w:r>
      <w:r w:rsidRPr="00ED24B5">
        <w:rPr>
          <w:rFonts w:ascii="仿宋" w:eastAsia="仿宋" w:hAnsi="仿宋" w:cs="仿宋" w:hint="eastAsia"/>
          <w:kern w:val="0"/>
          <w:sz w:val="28"/>
          <w:szCs w:val="28"/>
        </w:rPr>
        <w:t>具体做了如下工作：</w:t>
      </w:r>
      <w:r w:rsidRPr="00ED24B5">
        <w:rPr>
          <w:rFonts w:ascii="仿宋" w:eastAsia="仿宋" w:hAnsi="仿宋" w:cs="仿宋" w:hint="eastAsia"/>
          <w:bCs/>
          <w:kern w:val="0"/>
          <w:sz w:val="28"/>
          <w:szCs w:val="28"/>
        </w:rPr>
        <w:t>1、完善预算绩效管理制度办法。</w:t>
      </w:r>
      <w:r w:rsidRPr="00ED24B5">
        <w:rPr>
          <w:rFonts w:ascii="仿宋" w:eastAsia="仿宋" w:hAnsi="仿宋" w:cs="仿宋" w:hint="eastAsia"/>
          <w:kern w:val="0"/>
          <w:sz w:val="28"/>
          <w:szCs w:val="28"/>
        </w:rPr>
        <w:t>向各镇（场）、经济开发区、太白顶风景区管委会、县直各单位印发了《随县预算绩效管理实施暂行办法》（随县财发【2020】10号）。</w:t>
      </w:r>
      <w:r w:rsidRPr="00ED24B5">
        <w:rPr>
          <w:rFonts w:ascii="仿宋" w:eastAsia="仿宋" w:hAnsi="仿宋" w:cs="仿宋" w:hint="eastAsia"/>
          <w:bCs/>
          <w:kern w:val="0"/>
          <w:sz w:val="28"/>
          <w:szCs w:val="28"/>
        </w:rPr>
        <w:t>2、制定财政部门内部工作规程。</w:t>
      </w:r>
      <w:r w:rsidRPr="00ED24B5">
        <w:rPr>
          <w:rFonts w:ascii="仿宋" w:eastAsia="仿宋" w:hAnsi="仿宋" w:cs="仿宋" w:hint="eastAsia"/>
          <w:kern w:val="0"/>
          <w:sz w:val="28"/>
          <w:szCs w:val="28"/>
        </w:rPr>
        <w:t>向各镇（场）、经济开发区、太白顶风景区管委会、县直各单位印发了《随县财政局预算绩效管理内部工作规程》（随县财发【2020】9号）。</w:t>
      </w:r>
    </w:p>
    <w:p w:rsidR="0008444E" w:rsidRPr="00D7447E" w:rsidRDefault="0008444E" w:rsidP="0008444E">
      <w:pPr>
        <w:ind w:firstLineChars="200" w:firstLine="562"/>
        <w:rPr>
          <w:rFonts w:eastAsia="仿宋_GB2312"/>
          <w:sz w:val="28"/>
          <w:szCs w:val="28"/>
        </w:rPr>
      </w:pPr>
      <w:r>
        <w:rPr>
          <w:rFonts w:ascii="仿宋" w:eastAsia="仿宋" w:hAnsi="仿宋" w:cs="仿宋" w:hint="eastAsia"/>
          <w:b/>
          <w:bCs/>
          <w:kern w:val="0"/>
          <w:sz w:val="28"/>
          <w:szCs w:val="28"/>
        </w:rPr>
        <w:t>1、</w:t>
      </w:r>
      <w:r w:rsidRPr="00D7447E">
        <w:rPr>
          <w:rFonts w:ascii="仿宋" w:eastAsia="仿宋" w:hAnsi="仿宋" w:cs="仿宋" w:hint="eastAsia"/>
          <w:b/>
          <w:bCs/>
          <w:kern w:val="0"/>
          <w:sz w:val="28"/>
          <w:szCs w:val="28"/>
        </w:rPr>
        <w:t>开展2020年度</w:t>
      </w:r>
      <w:r w:rsidRPr="00D7447E">
        <w:rPr>
          <w:rFonts w:eastAsia="仿宋_GB2312" w:hint="eastAsia"/>
          <w:b/>
          <w:bCs/>
          <w:sz w:val="28"/>
          <w:szCs w:val="28"/>
        </w:rPr>
        <w:t>扶贫项目资金绩效自评。</w:t>
      </w:r>
      <w:r w:rsidRPr="00D7447E">
        <w:rPr>
          <w:rFonts w:ascii="仿宋" w:eastAsia="仿宋" w:hAnsi="仿宋" w:hint="eastAsia"/>
          <w:sz w:val="28"/>
          <w:szCs w:val="28"/>
        </w:rPr>
        <w:t>完成扶贫绩效自评项目67个，资金36338.48万元。其中：金融股项目1个，金额462万元；经济建设股项目4个，金额3166万元；社会保障股项目5个，金额16716.49万元；农业股项目26个，金额14516.99万元；农村局项目31个，金额1477万元。</w:t>
      </w:r>
      <w:r w:rsidRPr="00D7447E">
        <w:rPr>
          <w:rFonts w:eastAsia="仿宋_GB2312" w:hint="eastAsia"/>
          <w:sz w:val="28"/>
          <w:szCs w:val="28"/>
        </w:rPr>
        <w:t>确保了扶贫绩效信息的填报质量，扶贫资金绩效监管效率进一步提升。</w:t>
      </w:r>
    </w:p>
    <w:p w:rsidR="0008444E" w:rsidRPr="00D7447E" w:rsidRDefault="0008444E" w:rsidP="0008444E">
      <w:pPr>
        <w:ind w:firstLineChars="200" w:firstLine="562"/>
        <w:rPr>
          <w:rFonts w:ascii="仿宋" w:eastAsia="仿宋" w:hAnsi="仿宋"/>
          <w:sz w:val="28"/>
          <w:szCs w:val="28"/>
        </w:rPr>
      </w:pPr>
      <w:r>
        <w:rPr>
          <w:rFonts w:ascii="仿宋" w:eastAsia="仿宋" w:hAnsi="仿宋" w:cs="仿宋"/>
          <w:b/>
          <w:bCs/>
          <w:kern w:val="0"/>
          <w:sz w:val="28"/>
          <w:szCs w:val="28"/>
        </w:rPr>
        <w:t>2</w:t>
      </w:r>
      <w:r w:rsidRPr="00D7447E">
        <w:rPr>
          <w:rFonts w:ascii="仿宋" w:eastAsia="仿宋" w:hAnsi="仿宋" w:cs="仿宋" w:hint="eastAsia"/>
          <w:b/>
          <w:bCs/>
          <w:kern w:val="0"/>
          <w:sz w:val="28"/>
          <w:szCs w:val="28"/>
        </w:rPr>
        <w:t>、对重点项目支出、部门整体支出开展绩效评价。</w:t>
      </w:r>
      <w:r w:rsidRPr="00D7447E">
        <w:rPr>
          <w:rFonts w:ascii="仿宋" w:eastAsia="仿宋" w:hAnsi="仿宋" w:hint="eastAsia"/>
          <w:sz w:val="28"/>
          <w:szCs w:val="28"/>
        </w:rPr>
        <w:t>选取2020年度部分重点民生和社会公益性较强的</w:t>
      </w:r>
      <w:r w:rsidRPr="00D7447E">
        <w:rPr>
          <w:rFonts w:ascii="仿宋" w:eastAsia="仿宋" w:hAnsi="仿宋"/>
          <w:sz w:val="28"/>
          <w:szCs w:val="28"/>
        </w:rPr>
        <w:t>12</w:t>
      </w:r>
      <w:r w:rsidRPr="00D7447E">
        <w:rPr>
          <w:rFonts w:ascii="仿宋" w:eastAsia="仿宋" w:hAnsi="仿宋" w:hint="eastAsia"/>
          <w:sz w:val="28"/>
          <w:szCs w:val="28"/>
        </w:rPr>
        <w:t>个财政支出项目以及</w:t>
      </w:r>
      <w:r w:rsidRPr="00D7447E">
        <w:rPr>
          <w:rFonts w:ascii="仿宋" w:eastAsia="仿宋" w:hAnsi="仿宋"/>
          <w:sz w:val="28"/>
          <w:szCs w:val="28"/>
        </w:rPr>
        <w:t>9</w:t>
      </w:r>
      <w:r w:rsidRPr="00D7447E">
        <w:rPr>
          <w:rFonts w:ascii="仿宋" w:eastAsia="仿宋" w:hAnsi="仿宋" w:hint="eastAsia"/>
          <w:sz w:val="28"/>
          <w:szCs w:val="28"/>
        </w:rPr>
        <w:t>个部门实施了财政绩效评价。评价结果显示参评的12个项目定位准确，符合国家、市县区及部门发展规划，与投入资金相匹配。资金到位使用及时、财务管理制度健全，资金管理规范、安全，项目质量可控，基本达到了预定的目标。</w:t>
      </w:r>
      <w:r w:rsidRPr="00D7447E">
        <w:rPr>
          <w:rFonts w:ascii="仿宋" w:eastAsia="仿宋" w:hAnsi="仿宋"/>
          <w:sz w:val="28"/>
          <w:szCs w:val="28"/>
        </w:rPr>
        <w:t>9</w:t>
      </w:r>
      <w:r w:rsidRPr="00D7447E">
        <w:rPr>
          <w:rFonts w:ascii="仿宋" w:eastAsia="仿宋" w:hAnsi="仿宋" w:hint="eastAsia"/>
          <w:sz w:val="28"/>
          <w:szCs w:val="28"/>
        </w:rPr>
        <w:t>个部门整体支出完成基本良好，投入绩效合理可行，但在预算编制、预算执行、履职效益、绩效自评等方面有</w:t>
      </w:r>
      <w:r w:rsidRPr="00D7447E">
        <w:rPr>
          <w:rFonts w:ascii="仿宋" w:eastAsia="仿宋" w:hAnsi="仿宋" w:hint="eastAsia"/>
          <w:sz w:val="28"/>
          <w:szCs w:val="28"/>
        </w:rPr>
        <w:lastRenderedPageBreak/>
        <w:t>待进一步提高。此次财政重点绩效评价参评资金</w:t>
      </w:r>
      <w:r w:rsidRPr="00D7447E">
        <w:rPr>
          <w:rFonts w:ascii="仿宋" w:eastAsia="仿宋" w:hAnsi="仿宋"/>
          <w:sz w:val="28"/>
          <w:szCs w:val="28"/>
        </w:rPr>
        <w:t>1.44</w:t>
      </w:r>
      <w:r w:rsidRPr="00D7447E">
        <w:rPr>
          <w:rFonts w:ascii="仿宋" w:eastAsia="仿宋" w:hAnsi="仿宋" w:hint="eastAsia"/>
          <w:sz w:val="28"/>
          <w:szCs w:val="28"/>
        </w:rPr>
        <w:t>亿元。</w:t>
      </w:r>
    </w:p>
    <w:p w:rsidR="0008444E" w:rsidRPr="00D7447E" w:rsidRDefault="0008444E" w:rsidP="0008444E">
      <w:pPr>
        <w:ind w:firstLineChars="200" w:firstLine="562"/>
        <w:rPr>
          <w:rFonts w:ascii="仿宋" w:eastAsia="仿宋" w:hAnsi="仿宋" w:cs="仿宋"/>
          <w:kern w:val="0"/>
          <w:sz w:val="28"/>
          <w:szCs w:val="28"/>
        </w:rPr>
      </w:pPr>
      <w:r>
        <w:rPr>
          <w:rFonts w:ascii="仿宋" w:eastAsia="仿宋" w:hAnsi="仿宋" w:cs="仿宋"/>
          <w:b/>
          <w:bCs/>
          <w:kern w:val="0"/>
          <w:sz w:val="28"/>
          <w:szCs w:val="28"/>
        </w:rPr>
        <w:t>3</w:t>
      </w:r>
      <w:bookmarkStart w:id="0" w:name="_GoBack"/>
      <w:bookmarkEnd w:id="0"/>
      <w:r w:rsidRPr="00D7447E">
        <w:rPr>
          <w:rFonts w:ascii="仿宋" w:eastAsia="仿宋" w:hAnsi="仿宋" w:cs="仿宋" w:hint="eastAsia"/>
          <w:b/>
          <w:bCs/>
          <w:kern w:val="0"/>
          <w:sz w:val="28"/>
          <w:szCs w:val="28"/>
        </w:rPr>
        <w:t>、引导和规范第三方机构参与预算绩效管理。</w:t>
      </w:r>
      <w:r w:rsidRPr="00D7447E">
        <w:rPr>
          <w:rFonts w:ascii="仿宋" w:eastAsia="仿宋" w:hAnsi="仿宋" w:cs="仿宋" w:hint="eastAsia"/>
          <w:kern w:val="0"/>
          <w:sz w:val="28"/>
          <w:szCs w:val="28"/>
        </w:rPr>
        <w:t>根据财政部印发的《第三方机构预算绩效评价业务监督管理暂行办法》、《财政部办公厅关于预算绩效评价第三方机构信用管理平台上线运行的通知》，积极引导和规范第三方机构参与预算绩效管理，鼓励并指导第三方机构完成了“预算绩效评价第三方机构信用管理平台”的用户注册、信息填报。</w:t>
      </w:r>
    </w:p>
    <w:p w:rsidR="0008444E" w:rsidRPr="00D7447E" w:rsidRDefault="0008444E" w:rsidP="0008444E">
      <w:pPr>
        <w:ind w:firstLineChars="200" w:firstLine="560"/>
        <w:rPr>
          <w:sz w:val="28"/>
          <w:szCs w:val="28"/>
        </w:rPr>
      </w:pPr>
    </w:p>
    <w:p w:rsidR="005A6E9C" w:rsidRDefault="005A6E9C"/>
    <w:sectPr w:rsidR="005A6E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28E"/>
    <w:rsid w:val="0008444E"/>
    <w:rsid w:val="005A6E9C"/>
    <w:rsid w:val="00AE0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3A0E55-465C-4891-BF7D-7C880B96B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4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444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2022-08-30T08:32:00Z</dcterms:created>
  <dcterms:modified xsi:type="dcterms:W3CDTF">2022-08-30T08:33:00Z</dcterms:modified>
</cp:coreProperties>
</file>