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bookmarkStart w:id="1" w:name="_GoBack"/>
      <w:bookmarkEnd w:id="1"/>
    </w:p>
    <w:p>
      <w:pPr>
        <w:jc w:val="center"/>
        <w:rPr>
          <w:rFonts w:ascii="宋体" w:hAnsi="宋体" w:cs="宋体"/>
          <w:b/>
          <w:bCs/>
          <w:sz w:val="36"/>
          <w:szCs w:val="36"/>
        </w:rPr>
      </w:pPr>
      <w:r>
        <w:rPr>
          <w:rFonts w:hint="eastAsia" w:ascii="宋体" w:hAnsi="宋体" w:cs="宋体"/>
          <w:b/>
          <w:bCs/>
          <w:sz w:val="36"/>
          <w:szCs w:val="36"/>
        </w:rPr>
        <w:t>2022年度随县县级财政项目支出绩效评价报告</w:t>
      </w:r>
    </w:p>
    <w:p>
      <w:pPr>
        <w:ind w:firstLine="643" w:firstLineChars="200"/>
        <w:rPr>
          <w:rFonts w:ascii="宋体" w:hAnsi="宋体" w:cs="宋体"/>
          <w:b/>
          <w:bCs/>
          <w:sz w:val="32"/>
          <w:szCs w:val="32"/>
        </w:rPr>
      </w:pPr>
    </w:p>
    <w:p>
      <w:pPr>
        <w:adjustRightInd w:val="0"/>
        <w:snapToGrid w:val="0"/>
        <w:spacing w:line="420" w:lineRule="auto"/>
        <w:jc w:val="center"/>
        <w:rPr>
          <w:rFonts w:ascii="宋体" w:hAnsi="宋体" w:cs="宋体"/>
          <w:b/>
          <w:bCs/>
          <w:sz w:val="32"/>
          <w:szCs w:val="32"/>
        </w:rPr>
      </w:pPr>
    </w:p>
    <w:p>
      <w:pPr>
        <w:adjustRightInd w:val="0"/>
        <w:snapToGrid w:val="0"/>
        <w:spacing w:line="420" w:lineRule="auto"/>
        <w:jc w:val="center"/>
        <w:rPr>
          <w:rFonts w:ascii="宋体" w:hAnsi="宋体" w:cs="宋体"/>
          <w:b/>
          <w:bCs/>
          <w:sz w:val="36"/>
          <w:szCs w:val="36"/>
        </w:rPr>
      </w:pPr>
      <w:r>
        <w:rPr>
          <w:rFonts w:hint="eastAsia" w:ascii="宋体" w:hAnsi="宋体" w:cs="宋体"/>
          <w:b/>
          <w:bCs/>
          <w:sz w:val="36"/>
          <w:szCs w:val="36"/>
        </w:rPr>
        <w:t>随县城市管理执法局重点项目支出</w:t>
      </w:r>
    </w:p>
    <w:p>
      <w:pPr>
        <w:adjustRightInd w:val="0"/>
        <w:snapToGrid w:val="0"/>
        <w:spacing w:line="420" w:lineRule="auto"/>
        <w:jc w:val="center"/>
        <w:rPr>
          <w:rFonts w:ascii="宋体" w:hAnsi="宋体" w:cs="宋体"/>
          <w:b/>
          <w:bCs/>
          <w:sz w:val="36"/>
          <w:szCs w:val="36"/>
        </w:rPr>
      </w:pPr>
      <w:r>
        <w:rPr>
          <w:rFonts w:hint="eastAsia" w:ascii="宋体" w:hAnsi="宋体" w:cs="宋体"/>
          <w:b/>
          <w:bCs/>
          <w:sz w:val="36"/>
          <w:szCs w:val="36"/>
        </w:rPr>
        <w:t>城区生活垃圾转运市场运行经费绩效评价报告</w:t>
      </w:r>
    </w:p>
    <w:p>
      <w:pPr>
        <w:adjustRightInd w:val="0"/>
        <w:snapToGrid w:val="0"/>
        <w:spacing w:line="420" w:lineRule="auto"/>
        <w:ind w:firstLine="2402" w:firstLineChars="1000"/>
        <w:rPr>
          <w:rFonts w:ascii="宋体" w:hAnsi="宋体" w:cs="宋体"/>
          <w:b/>
          <w:bCs/>
          <w:sz w:val="32"/>
          <w:szCs w:val="32"/>
        </w:rPr>
      </w:pPr>
      <w:r>
        <w:rPr>
          <w:rFonts w:hint="eastAsia" w:ascii="华文中宋" w:hAnsi="华文中宋" w:eastAsia="华文中宋"/>
          <w:b/>
          <w:sz w:val="24"/>
        </w:rPr>
        <w:t>鄂德佳绩字【2022】第044号</w:t>
      </w:r>
    </w:p>
    <w:p>
      <w:pPr>
        <w:adjustRightInd w:val="0"/>
        <w:snapToGrid w:val="0"/>
        <w:spacing w:line="420" w:lineRule="auto"/>
        <w:rPr>
          <w:rFonts w:ascii="宋体" w:hAnsi="宋体" w:cs="宋体"/>
          <w:b/>
          <w:bCs/>
          <w:sz w:val="32"/>
          <w:szCs w:val="32"/>
        </w:rPr>
      </w:pPr>
    </w:p>
    <w:p>
      <w:pPr>
        <w:rPr>
          <w:rFonts w:ascii="宋体" w:hAnsi="宋体" w:cs="宋体"/>
          <w:b/>
          <w:bCs/>
          <w:sz w:val="32"/>
          <w:szCs w:val="32"/>
        </w:rPr>
      </w:pPr>
    </w:p>
    <w:p>
      <w:pPr>
        <w:ind w:firstLine="1606" w:firstLineChars="500"/>
        <w:rPr>
          <w:rFonts w:ascii="宋体" w:hAnsi="宋体" w:cs="宋体"/>
          <w:b/>
          <w:bCs/>
          <w:sz w:val="32"/>
          <w:szCs w:val="32"/>
          <w:lang w:val="zh-CN"/>
        </w:rPr>
      </w:pPr>
      <w:r>
        <w:rPr>
          <w:rFonts w:hint="eastAsia" w:ascii="宋体" w:hAnsi="宋体" w:cs="宋体"/>
          <w:b/>
          <w:bCs/>
          <w:sz w:val="32"/>
          <w:szCs w:val="32"/>
        </w:rPr>
        <w:t>项目名称：</w:t>
      </w:r>
      <w:r>
        <w:rPr>
          <w:rFonts w:hint="eastAsia" w:ascii="宋体" w:hAnsi="宋体" w:cs="宋体"/>
          <w:b/>
          <w:bCs/>
          <w:sz w:val="32"/>
          <w:szCs w:val="32"/>
          <w:lang w:val="zh-CN"/>
        </w:rPr>
        <w:t>城区生活垃圾转运市场运行经费</w:t>
      </w:r>
    </w:p>
    <w:p>
      <w:pPr>
        <w:ind w:firstLine="1606" w:firstLineChars="500"/>
        <w:rPr>
          <w:rFonts w:ascii="宋体" w:hAnsi="宋体" w:cs="宋体"/>
          <w:b/>
          <w:bCs/>
          <w:sz w:val="32"/>
          <w:szCs w:val="32"/>
          <w:lang w:val="zh-CN"/>
        </w:rPr>
      </w:pPr>
      <w:r>
        <w:rPr>
          <w:rFonts w:hint="eastAsia" w:ascii="宋体" w:hAnsi="宋体" w:cs="宋体"/>
          <w:b/>
          <w:bCs/>
          <w:sz w:val="32"/>
          <w:szCs w:val="32"/>
        </w:rPr>
        <w:t>项目单位：</w:t>
      </w:r>
      <w:r>
        <w:rPr>
          <w:rFonts w:hint="eastAsia" w:ascii="宋体" w:hAnsi="宋体" w:cs="宋体"/>
          <w:b/>
          <w:bCs/>
          <w:sz w:val="32"/>
          <w:szCs w:val="32"/>
          <w:lang w:val="zh-CN"/>
        </w:rPr>
        <w:t>随县城市管理执法局</w:t>
      </w:r>
    </w:p>
    <w:p>
      <w:pPr>
        <w:ind w:firstLine="1606" w:firstLineChars="500"/>
        <w:rPr>
          <w:rFonts w:ascii="宋体" w:hAnsi="宋体" w:cs="宋体"/>
          <w:b/>
          <w:bCs/>
          <w:sz w:val="32"/>
          <w:szCs w:val="32"/>
          <w:lang w:val="zh-CN"/>
        </w:rPr>
      </w:pPr>
      <w:r>
        <w:rPr>
          <w:rFonts w:hint="eastAsia" w:ascii="宋体" w:hAnsi="宋体" w:cs="宋体"/>
          <w:b/>
          <w:bCs/>
          <w:sz w:val="32"/>
          <w:szCs w:val="32"/>
          <w:lang w:val="zh-CN"/>
        </w:rPr>
        <w:t>主管部门：随县城市管理执法局</w:t>
      </w:r>
    </w:p>
    <w:p>
      <w:pPr>
        <w:ind w:firstLine="1606" w:firstLineChars="500"/>
        <w:rPr>
          <w:rFonts w:ascii="宋体" w:hAnsi="宋体" w:cs="宋体"/>
          <w:b/>
          <w:bCs/>
          <w:sz w:val="32"/>
          <w:szCs w:val="32"/>
        </w:rPr>
      </w:pPr>
      <w:r>
        <w:rPr>
          <w:rFonts w:hint="eastAsia" w:ascii="宋体" w:hAnsi="宋体" w:cs="宋体"/>
          <w:b/>
          <w:bCs/>
          <w:sz w:val="32"/>
          <w:szCs w:val="32"/>
        </w:rPr>
        <w:t>评价机构：湖北德佳会计师事务所（普通合伙）</w:t>
      </w:r>
    </w:p>
    <w:p>
      <w:pPr>
        <w:jc w:val="center"/>
        <w:rPr>
          <w:rStyle w:val="16"/>
          <w:rFonts w:ascii="仿宋" w:hAnsi="仿宋" w:eastAsia="仿宋" w:cs="Tahoma"/>
          <w:color w:val="5A5A5A"/>
          <w:sz w:val="28"/>
          <w:szCs w:val="28"/>
        </w:rPr>
      </w:pPr>
    </w:p>
    <w:p>
      <w:pPr>
        <w:jc w:val="center"/>
        <w:rPr>
          <w:rStyle w:val="16"/>
          <w:rFonts w:ascii="仿宋" w:hAnsi="仿宋" w:eastAsia="仿宋" w:cs="Tahoma"/>
          <w:color w:val="5A5A5A"/>
          <w:sz w:val="28"/>
          <w:szCs w:val="28"/>
        </w:rPr>
      </w:pPr>
    </w:p>
    <w:p>
      <w:pPr>
        <w:jc w:val="center"/>
        <w:rPr>
          <w:rStyle w:val="16"/>
          <w:rFonts w:ascii="仿宋" w:hAnsi="仿宋" w:eastAsia="仿宋" w:cs="Tahoma"/>
          <w:color w:val="5A5A5A"/>
          <w:sz w:val="28"/>
          <w:szCs w:val="28"/>
        </w:rPr>
      </w:pPr>
    </w:p>
    <w:p>
      <w:pPr>
        <w:jc w:val="center"/>
        <w:rPr>
          <w:rStyle w:val="16"/>
          <w:rFonts w:ascii="仿宋" w:hAnsi="仿宋" w:eastAsia="仿宋" w:cs="Tahoma"/>
          <w:color w:val="5A5A5A"/>
          <w:sz w:val="28"/>
          <w:szCs w:val="28"/>
        </w:rPr>
      </w:pPr>
    </w:p>
    <w:p>
      <w:pPr>
        <w:ind w:firstLine="3213" w:firstLineChars="1000"/>
        <w:rPr>
          <w:rFonts w:ascii="宋体" w:hAnsi="宋体" w:cs="宋体"/>
          <w:b/>
          <w:bCs/>
          <w:sz w:val="32"/>
          <w:szCs w:val="32"/>
        </w:rPr>
      </w:pPr>
      <w:r>
        <w:rPr>
          <w:rFonts w:hint="eastAsia" w:ascii="宋体" w:hAnsi="宋体" w:cs="宋体"/>
          <w:b/>
          <w:bCs/>
          <w:sz w:val="32"/>
          <w:szCs w:val="32"/>
        </w:rPr>
        <w:t>2022年12月</w:t>
      </w:r>
    </w:p>
    <w:p>
      <w:pPr>
        <w:jc w:val="center"/>
        <w:rPr>
          <w:rFonts w:eastAsia="仿宋_GB2312"/>
          <w:sz w:val="32"/>
          <w:szCs w:val="32"/>
        </w:rPr>
      </w:pPr>
      <w:r>
        <w:rPr>
          <w:rStyle w:val="16"/>
          <w:rFonts w:hint="eastAsia" w:ascii="仿宋" w:hAnsi="仿宋" w:eastAsia="仿宋" w:cs="Tahoma"/>
          <w:color w:val="5A5A5A"/>
          <w:sz w:val="28"/>
          <w:szCs w:val="28"/>
        </w:rPr>
        <w:t xml:space="preserve"> </w:t>
      </w:r>
    </w:p>
    <w:p>
      <w:pPr>
        <w:ind w:firstLine="640" w:firstLineChars="200"/>
        <w:rPr>
          <w:rFonts w:eastAsia="仿宋_GB2312"/>
          <w:sz w:val="32"/>
          <w:szCs w:val="32"/>
        </w:rPr>
      </w:pPr>
    </w:p>
    <w:p>
      <w:pPr>
        <w:ind w:firstLine="640" w:firstLineChars="200"/>
        <w:rPr>
          <w:rFonts w:eastAsia="仿宋_GB2312"/>
          <w:sz w:val="32"/>
          <w:szCs w:val="32"/>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目    录</w:t>
      </w:r>
    </w:p>
    <w:p>
      <w:pPr>
        <w:spacing w:line="560" w:lineRule="exact"/>
        <w:ind w:firstLine="630" w:firstLineChars="196"/>
        <w:rPr>
          <w:rFonts w:eastAsia="仿宋_GB2312"/>
          <w:b/>
          <w:sz w:val="32"/>
          <w:szCs w:val="32"/>
        </w:rPr>
      </w:pPr>
    </w:p>
    <w:p>
      <w:pPr>
        <w:spacing w:line="560" w:lineRule="exact"/>
        <w:ind w:firstLine="551" w:firstLineChars="196"/>
        <w:rPr>
          <w:rFonts w:ascii="宋体" w:hAnsi="宋体" w:cs="宋体"/>
          <w:b/>
          <w:sz w:val="28"/>
          <w:szCs w:val="28"/>
        </w:rPr>
      </w:pPr>
      <w:r>
        <w:rPr>
          <w:rFonts w:hint="eastAsia" w:ascii="宋体" w:hAnsi="宋体" w:cs="宋体"/>
          <w:b/>
          <w:sz w:val="28"/>
          <w:szCs w:val="28"/>
        </w:rPr>
        <w:t>摘要</w:t>
      </w:r>
    </w:p>
    <w:p>
      <w:pPr>
        <w:numPr>
          <w:ilvl w:val="0"/>
          <w:numId w:val="1"/>
        </w:numPr>
        <w:spacing w:line="560" w:lineRule="exact"/>
        <w:rPr>
          <w:rFonts w:ascii="宋体" w:hAnsi="宋体" w:cs="宋体"/>
          <w:bCs/>
          <w:sz w:val="28"/>
          <w:szCs w:val="28"/>
        </w:rPr>
      </w:pPr>
      <w:r>
        <w:rPr>
          <w:rFonts w:hint="eastAsia" w:ascii="宋体" w:hAnsi="宋体" w:cs="宋体"/>
          <w:bCs/>
          <w:sz w:val="28"/>
          <w:szCs w:val="28"/>
        </w:rPr>
        <w:t>概述</w:t>
      </w:r>
    </w:p>
    <w:p>
      <w:pPr>
        <w:numPr>
          <w:ilvl w:val="0"/>
          <w:numId w:val="1"/>
        </w:numPr>
        <w:spacing w:line="560" w:lineRule="exact"/>
        <w:rPr>
          <w:rFonts w:ascii="宋体" w:hAnsi="宋体" w:cs="宋体"/>
          <w:bCs/>
          <w:sz w:val="28"/>
          <w:szCs w:val="28"/>
        </w:rPr>
      </w:pPr>
      <w:r>
        <w:rPr>
          <w:rFonts w:hint="eastAsia" w:ascii="宋体" w:hAnsi="宋体" w:cs="宋体"/>
          <w:bCs/>
          <w:sz w:val="28"/>
          <w:szCs w:val="28"/>
        </w:rPr>
        <w:t>评价结论和绩效分析</w:t>
      </w:r>
    </w:p>
    <w:p>
      <w:pPr>
        <w:numPr>
          <w:ilvl w:val="0"/>
          <w:numId w:val="1"/>
        </w:numPr>
        <w:spacing w:line="560" w:lineRule="exact"/>
        <w:rPr>
          <w:rFonts w:ascii="宋体" w:hAnsi="宋体" w:cs="宋体"/>
          <w:bCs/>
          <w:sz w:val="28"/>
          <w:szCs w:val="28"/>
        </w:rPr>
      </w:pPr>
      <w:r>
        <w:rPr>
          <w:rFonts w:hint="eastAsia" w:ascii="宋体" w:hAnsi="宋体" w:cs="宋体"/>
          <w:bCs/>
          <w:sz w:val="28"/>
          <w:szCs w:val="28"/>
        </w:rPr>
        <w:t>经验教训和建议</w:t>
      </w:r>
    </w:p>
    <w:p>
      <w:pPr>
        <w:spacing w:line="560" w:lineRule="exact"/>
        <w:ind w:firstLine="560" w:firstLineChars="200"/>
        <w:rPr>
          <w:rFonts w:ascii="宋体" w:hAnsi="宋体" w:cs="宋体"/>
          <w:bCs/>
          <w:sz w:val="28"/>
          <w:szCs w:val="28"/>
        </w:rPr>
      </w:pPr>
      <w:r>
        <w:rPr>
          <w:rFonts w:hint="eastAsia" w:ascii="宋体" w:hAnsi="宋体" w:cs="宋体"/>
          <w:bCs/>
          <w:sz w:val="28"/>
          <w:szCs w:val="28"/>
        </w:rPr>
        <w:t>前言</w:t>
      </w:r>
    </w:p>
    <w:p>
      <w:pPr>
        <w:spacing w:line="560" w:lineRule="exact"/>
        <w:ind w:firstLine="560" w:firstLineChars="200"/>
        <w:rPr>
          <w:rFonts w:ascii="宋体" w:hAnsi="宋体" w:cs="宋体"/>
          <w:bCs/>
          <w:sz w:val="28"/>
          <w:szCs w:val="28"/>
        </w:rPr>
      </w:pPr>
      <w:r>
        <w:rPr>
          <w:rFonts w:hint="eastAsia" w:ascii="宋体" w:hAnsi="宋体" w:cs="宋体"/>
          <w:bCs/>
          <w:sz w:val="28"/>
          <w:szCs w:val="28"/>
        </w:rPr>
        <w:t>开展绩效评价的背景</w:t>
      </w:r>
    </w:p>
    <w:p>
      <w:pPr>
        <w:spacing w:line="560" w:lineRule="exact"/>
        <w:ind w:firstLine="560" w:firstLineChars="200"/>
        <w:rPr>
          <w:rFonts w:ascii="宋体" w:hAnsi="宋体" w:cs="宋体"/>
          <w:sz w:val="28"/>
          <w:szCs w:val="28"/>
        </w:rPr>
      </w:pPr>
      <w:r>
        <w:rPr>
          <w:rFonts w:hint="eastAsia" w:ascii="宋体" w:hAnsi="宋体" w:cs="宋体"/>
          <w:sz w:val="28"/>
          <w:szCs w:val="28"/>
        </w:rPr>
        <w:t>评价委托关系</w:t>
      </w:r>
    </w:p>
    <w:p>
      <w:pPr>
        <w:spacing w:line="560" w:lineRule="exact"/>
        <w:ind w:firstLine="562" w:firstLineChars="200"/>
        <w:rPr>
          <w:rFonts w:ascii="宋体" w:hAnsi="宋体" w:cs="宋体"/>
          <w:b/>
          <w:sz w:val="28"/>
          <w:szCs w:val="28"/>
        </w:rPr>
      </w:pPr>
      <w:r>
        <w:rPr>
          <w:rFonts w:hint="eastAsia" w:ascii="宋体" w:hAnsi="宋体" w:cs="宋体"/>
          <w:b/>
          <w:sz w:val="28"/>
          <w:szCs w:val="28"/>
        </w:rPr>
        <w:t>一、项目基本情况</w:t>
      </w:r>
    </w:p>
    <w:p>
      <w:pPr>
        <w:spacing w:line="560" w:lineRule="exact"/>
        <w:ind w:firstLine="560" w:firstLineChars="200"/>
        <w:outlineLvl w:val="0"/>
        <w:rPr>
          <w:rFonts w:ascii="宋体" w:hAnsi="宋体" w:cs="宋体"/>
          <w:sz w:val="28"/>
          <w:szCs w:val="28"/>
        </w:rPr>
      </w:pPr>
      <w:r>
        <w:rPr>
          <w:rFonts w:hint="eastAsia" w:ascii="宋体" w:hAnsi="宋体" w:cs="宋体"/>
          <w:sz w:val="28"/>
          <w:szCs w:val="28"/>
        </w:rPr>
        <w:t>（一）项目概况</w:t>
      </w:r>
    </w:p>
    <w:p>
      <w:pPr>
        <w:spacing w:line="560" w:lineRule="exact"/>
        <w:ind w:firstLine="786" w:firstLineChars="281"/>
        <w:outlineLvl w:val="0"/>
        <w:rPr>
          <w:rFonts w:ascii="宋体" w:hAnsi="宋体" w:cs="宋体"/>
          <w:sz w:val="28"/>
          <w:szCs w:val="28"/>
        </w:rPr>
      </w:pPr>
      <w:r>
        <w:rPr>
          <w:rFonts w:hint="eastAsia" w:ascii="宋体" w:hAnsi="宋体" w:cs="宋体"/>
          <w:sz w:val="28"/>
          <w:szCs w:val="28"/>
        </w:rPr>
        <w:t>1、项目立项背景</w:t>
      </w:r>
    </w:p>
    <w:p>
      <w:pPr>
        <w:spacing w:line="560" w:lineRule="exact"/>
        <w:ind w:firstLine="786" w:firstLineChars="281"/>
        <w:outlineLvl w:val="0"/>
        <w:rPr>
          <w:rFonts w:ascii="宋体" w:hAnsi="宋体" w:cs="宋体"/>
          <w:sz w:val="28"/>
          <w:szCs w:val="28"/>
        </w:rPr>
      </w:pPr>
      <w:r>
        <w:rPr>
          <w:rFonts w:hint="eastAsia" w:ascii="宋体" w:hAnsi="宋体" w:cs="宋体"/>
          <w:sz w:val="28"/>
          <w:szCs w:val="28"/>
        </w:rPr>
        <w:t>2、项目实施情况</w:t>
      </w:r>
    </w:p>
    <w:p>
      <w:pPr>
        <w:spacing w:line="560" w:lineRule="exact"/>
        <w:ind w:firstLine="786" w:firstLineChars="281"/>
        <w:outlineLvl w:val="0"/>
        <w:rPr>
          <w:rFonts w:ascii="宋体" w:hAnsi="宋体" w:cs="宋体"/>
          <w:sz w:val="28"/>
          <w:szCs w:val="28"/>
        </w:rPr>
      </w:pPr>
      <w:r>
        <w:rPr>
          <w:rFonts w:hint="eastAsia" w:ascii="宋体" w:hAnsi="宋体" w:cs="宋体"/>
          <w:sz w:val="28"/>
          <w:szCs w:val="28"/>
        </w:rPr>
        <w:t>3、经费来源和使用情况</w:t>
      </w:r>
    </w:p>
    <w:p>
      <w:pPr>
        <w:spacing w:line="560" w:lineRule="exact"/>
        <w:ind w:firstLine="560" w:firstLineChars="200"/>
        <w:rPr>
          <w:rFonts w:ascii="宋体" w:hAnsi="宋体" w:cs="宋体"/>
          <w:sz w:val="28"/>
          <w:szCs w:val="28"/>
        </w:rPr>
      </w:pPr>
      <w:r>
        <w:rPr>
          <w:rFonts w:hint="eastAsia" w:ascii="宋体" w:hAnsi="宋体" w:cs="宋体"/>
          <w:sz w:val="28"/>
          <w:szCs w:val="28"/>
        </w:rPr>
        <w:t>（二）项目绩效目标</w:t>
      </w:r>
    </w:p>
    <w:p>
      <w:pPr>
        <w:spacing w:line="560" w:lineRule="exact"/>
        <w:ind w:firstLine="562" w:firstLineChars="200"/>
        <w:rPr>
          <w:rFonts w:ascii="宋体" w:hAnsi="宋体" w:cs="宋体"/>
          <w:b/>
          <w:sz w:val="28"/>
          <w:szCs w:val="28"/>
        </w:rPr>
      </w:pPr>
      <w:r>
        <w:rPr>
          <w:rFonts w:hint="eastAsia" w:ascii="宋体" w:hAnsi="宋体" w:cs="宋体"/>
          <w:b/>
          <w:sz w:val="28"/>
          <w:szCs w:val="28"/>
        </w:rPr>
        <w:t>二、绩效评价工作情况</w:t>
      </w:r>
    </w:p>
    <w:p>
      <w:pPr>
        <w:spacing w:line="560" w:lineRule="exact"/>
        <w:ind w:firstLine="560" w:firstLineChars="200"/>
        <w:rPr>
          <w:rFonts w:ascii="宋体" w:hAnsi="宋体" w:cs="宋体"/>
          <w:sz w:val="28"/>
          <w:szCs w:val="28"/>
        </w:rPr>
      </w:pPr>
      <w:r>
        <w:rPr>
          <w:rFonts w:hint="eastAsia" w:ascii="宋体" w:hAnsi="宋体" w:cs="宋体"/>
          <w:sz w:val="28"/>
          <w:szCs w:val="28"/>
        </w:rPr>
        <w:t>（一）绩效评价目的</w:t>
      </w:r>
    </w:p>
    <w:p>
      <w:pPr>
        <w:spacing w:line="560" w:lineRule="exact"/>
        <w:ind w:firstLine="560" w:firstLineChars="200"/>
        <w:rPr>
          <w:rFonts w:ascii="宋体" w:hAnsi="宋体" w:cs="宋体"/>
          <w:sz w:val="28"/>
          <w:szCs w:val="28"/>
        </w:rPr>
      </w:pPr>
      <w:r>
        <w:rPr>
          <w:rFonts w:hint="eastAsia" w:ascii="宋体" w:hAnsi="宋体" w:cs="宋体"/>
          <w:sz w:val="28"/>
          <w:szCs w:val="28"/>
        </w:rPr>
        <w:t>（二）绩效评价设计过程</w:t>
      </w:r>
    </w:p>
    <w:p>
      <w:pPr>
        <w:spacing w:line="560" w:lineRule="exact"/>
        <w:ind w:firstLine="560" w:firstLineChars="200"/>
        <w:rPr>
          <w:rFonts w:ascii="宋体" w:hAnsi="宋体" w:cs="宋体"/>
          <w:sz w:val="28"/>
          <w:szCs w:val="28"/>
        </w:rPr>
      </w:pPr>
      <w:r>
        <w:rPr>
          <w:rFonts w:hint="eastAsia" w:ascii="宋体" w:hAnsi="宋体" w:cs="宋体"/>
          <w:sz w:val="28"/>
          <w:szCs w:val="28"/>
        </w:rPr>
        <w:t>（三）绩效评价框架，包括绩效评价原则、评价指标体系、绩效标准和评价方法等</w:t>
      </w:r>
    </w:p>
    <w:p>
      <w:pPr>
        <w:spacing w:line="560" w:lineRule="exact"/>
        <w:ind w:firstLine="560" w:firstLineChars="200"/>
        <w:rPr>
          <w:rFonts w:ascii="宋体" w:hAnsi="宋体" w:cs="宋体"/>
          <w:sz w:val="28"/>
          <w:szCs w:val="28"/>
        </w:rPr>
      </w:pPr>
      <w:r>
        <w:rPr>
          <w:rFonts w:hint="eastAsia" w:ascii="宋体" w:hAnsi="宋体" w:cs="宋体"/>
          <w:sz w:val="28"/>
          <w:szCs w:val="28"/>
        </w:rPr>
        <w:t>（四）证据收集方法</w:t>
      </w:r>
    </w:p>
    <w:p>
      <w:pPr>
        <w:spacing w:line="560" w:lineRule="exact"/>
        <w:ind w:firstLine="560" w:firstLineChars="200"/>
        <w:rPr>
          <w:rFonts w:ascii="宋体" w:hAnsi="宋体" w:cs="宋体"/>
          <w:sz w:val="28"/>
          <w:szCs w:val="28"/>
        </w:rPr>
      </w:pPr>
      <w:r>
        <w:rPr>
          <w:rFonts w:hint="eastAsia" w:ascii="宋体" w:hAnsi="宋体" w:cs="宋体"/>
          <w:sz w:val="28"/>
          <w:szCs w:val="28"/>
        </w:rPr>
        <w:t>（五）绩效评价实施过程</w:t>
      </w:r>
    </w:p>
    <w:p>
      <w:pPr>
        <w:spacing w:line="560" w:lineRule="exact"/>
        <w:ind w:firstLine="560" w:firstLineChars="200"/>
        <w:rPr>
          <w:rFonts w:ascii="宋体" w:hAnsi="宋体" w:cs="宋体"/>
          <w:sz w:val="28"/>
          <w:szCs w:val="28"/>
        </w:rPr>
      </w:pPr>
      <w:r>
        <w:rPr>
          <w:rFonts w:hint="eastAsia" w:ascii="宋体" w:hAnsi="宋体" w:cs="宋体"/>
          <w:sz w:val="28"/>
          <w:szCs w:val="28"/>
        </w:rPr>
        <w:t>（六）本次绩效评价的局限性</w:t>
      </w:r>
    </w:p>
    <w:p>
      <w:pPr>
        <w:spacing w:line="560" w:lineRule="exact"/>
        <w:ind w:firstLine="562" w:firstLineChars="200"/>
        <w:rPr>
          <w:rFonts w:ascii="宋体" w:hAnsi="宋体" w:cs="宋体"/>
          <w:b/>
          <w:sz w:val="28"/>
          <w:szCs w:val="28"/>
        </w:rPr>
      </w:pPr>
      <w:r>
        <w:rPr>
          <w:rFonts w:hint="eastAsia" w:ascii="宋体" w:hAnsi="宋体" w:cs="宋体"/>
          <w:b/>
          <w:sz w:val="28"/>
          <w:szCs w:val="28"/>
        </w:rPr>
        <w:t>三、绩效分析及评价结论</w:t>
      </w:r>
    </w:p>
    <w:p>
      <w:pPr>
        <w:spacing w:line="560" w:lineRule="exact"/>
        <w:ind w:firstLine="560" w:firstLineChars="200"/>
        <w:outlineLvl w:val="0"/>
        <w:rPr>
          <w:rFonts w:ascii="宋体" w:hAnsi="宋体" w:cs="宋体"/>
          <w:sz w:val="28"/>
          <w:szCs w:val="28"/>
        </w:rPr>
      </w:pPr>
      <w:r>
        <w:rPr>
          <w:rFonts w:hint="eastAsia" w:ascii="宋体" w:hAnsi="宋体" w:cs="宋体"/>
          <w:sz w:val="28"/>
          <w:szCs w:val="28"/>
        </w:rPr>
        <w:t>（一）绩效分析</w:t>
      </w:r>
    </w:p>
    <w:p>
      <w:pPr>
        <w:spacing w:line="560" w:lineRule="exact"/>
        <w:ind w:firstLine="840" w:firstLineChars="300"/>
        <w:outlineLvl w:val="0"/>
        <w:rPr>
          <w:rFonts w:ascii="宋体" w:hAnsi="宋体" w:cs="宋体"/>
          <w:sz w:val="28"/>
          <w:szCs w:val="28"/>
        </w:rPr>
      </w:pPr>
      <w:r>
        <w:rPr>
          <w:rFonts w:hint="eastAsia" w:ascii="宋体" w:hAnsi="宋体" w:cs="宋体"/>
          <w:sz w:val="28"/>
          <w:szCs w:val="28"/>
        </w:rPr>
        <w:t>1、决策分析</w:t>
      </w:r>
    </w:p>
    <w:p>
      <w:pPr>
        <w:spacing w:line="560" w:lineRule="exact"/>
        <w:ind w:firstLine="840" w:firstLineChars="300"/>
        <w:outlineLvl w:val="0"/>
        <w:rPr>
          <w:rFonts w:ascii="宋体" w:hAnsi="宋体" w:cs="宋体"/>
          <w:sz w:val="28"/>
          <w:szCs w:val="28"/>
        </w:rPr>
      </w:pPr>
      <w:r>
        <w:rPr>
          <w:rFonts w:hint="eastAsia" w:ascii="宋体" w:hAnsi="宋体" w:cs="宋体"/>
          <w:sz w:val="28"/>
          <w:szCs w:val="28"/>
        </w:rPr>
        <w:t>2、过程分析</w:t>
      </w:r>
    </w:p>
    <w:p>
      <w:pPr>
        <w:spacing w:line="560" w:lineRule="exact"/>
        <w:ind w:firstLine="840" w:firstLineChars="300"/>
        <w:outlineLvl w:val="0"/>
        <w:rPr>
          <w:rFonts w:ascii="宋体" w:hAnsi="宋体" w:cs="宋体"/>
          <w:sz w:val="28"/>
          <w:szCs w:val="28"/>
        </w:rPr>
      </w:pPr>
      <w:r>
        <w:rPr>
          <w:rFonts w:hint="eastAsia" w:ascii="宋体" w:hAnsi="宋体" w:cs="宋体"/>
          <w:sz w:val="28"/>
          <w:szCs w:val="28"/>
        </w:rPr>
        <w:t>3、产出分析</w:t>
      </w:r>
    </w:p>
    <w:p>
      <w:pPr>
        <w:spacing w:line="560" w:lineRule="exact"/>
        <w:ind w:firstLine="840" w:firstLineChars="300"/>
        <w:outlineLvl w:val="0"/>
        <w:rPr>
          <w:rFonts w:ascii="宋体" w:hAnsi="宋体" w:cs="宋体"/>
          <w:sz w:val="28"/>
          <w:szCs w:val="28"/>
        </w:rPr>
      </w:pPr>
      <w:r>
        <w:rPr>
          <w:rFonts w:hint="eastAsia" w:ascii="宋体" w:hAnsi="宋体" w:cs="宋体"/>
          <w:sz w:val="28"/>
          <w:szCs w:val="28"/>
        </w:rPr>
        <w:t>4、效果分析</w:t>
      </w:r>
    </w:p>
    <w:p>
      <w:pPr>
        <w:spacing w:line="560" w:lineRule="exact"/>
        <w:ind w:firstLine="840" w:firstLineChars="300"/>
        <w:outlineLvl w:val="0"/>
        <w:rPr>
          <w:rFonts w:ascii="宋体" w:hAnsi="宋体" w:cs="宋体"/>
          <w:sz w:val="28"/>
          <w:szCs w:val="28"/>
        </w:rPr>
      </w:pPr>
      <w:r>
        <w:rPr>
          <w:rFonts w:hint="eastAsia" w:ascii="宋体" w:hAnsi="宋体" w:cs="宋体"/>
          <w:sz w:val="28"/>
          <w:szCs w:val="28"/>
        </w:rPr>
        <w:t>5、绩效目标完成情况分析。</w:t>
      </w:r>
    </w:p>
    <w:p>
      <w:pPr>
        <w:spacing w:line="560" w:lineRule="exact"/>
        <w:ind w:firstLine="560" w:firstLineChars="200"/>
        <w:outlineLvl w:val="0"/>
        <w:rPr>
          <w:rFonts w:ascii="宋体" w:hAnsi="宋体" w:cs="宋体"/>
          <w:sz w:val="28"/>
          <w:szCs w:val="28"/>
        </w:rPr>
      </w:pPr>
      <w:r>
        <w:rPr>
          <w:rFonts w:hint="eastAsia" w:ascii="宋体" w:hAnsi="宋体" w:cs="宋体"/>
          <w:sz w:val="28"/>
          <w:szCs w:val="28"/>
        </w:rPr>
        <w:t>（二）评价结论</w:t>
      </w:r>
    </w:p>
    <w:p>
      <w:pPr>
        <w:spacing w:line="560" w:lineRule="exact"/>
        <w:ind w:firstLine="840" w:firstLineChars="300"/>
        <w:outlineLvl w:val="0"/>
        <w:rPr>
          <w:rFonts w:ascii="宋体" w:hAnsi="宋体" w:cs="宋体"/>
          <w:sz w:val="28"/>
          <w:szCs w:val="28"/>
        </w:rPr>
      </w:pPr>
      <w:r>
        <w:rPr>
          <w:rFonts w:hint="eastAsia" w:ascii="宋体" w:hAnsi="宋体" w:cs="宋体"/>
          <w:sz w:val="28"/>
          <w:szCs w:val="28"/>
        </w:rPr>
        <w:t>1、评分结果</w:t>
      </w:r>
    </w:p>
    <w:p>
      <w:pPr>
        <w:spacing w:line="560" w:lineRule="exact"/>
        <w:ind w:firstLine="840" w:firstLineChars="300"/>
        <w:outlineLvl w:val="0"/>
        <w:rPr>
          <w:rFonts w:ascii="宋体" w:hAnsi="宋体" w:cs="宋体"/>
          <w:sz w:val="28"/>
          <w:szCs w:val="28"/>
        </w:rPr>
      </w:pPr>
      <w:r>
        <w:rPr>
          <w:rFonts w:hint="eastAsia" w:ascii="宋体" w:hAnsi="宋体" w:cs="宋体"/>
          <w:sz w:val="28"/>
          <w:szCs w:val="28"/>
        </w:rPr>
        <w:t>2、主要结论</w:t>
      </w:r>
    </w:p>
    <w:p>
      <w:pPr>
        <w:spacing w:line="560" w:lineRule="exact"/>
        <w:ind w:firstLine="562" w:firstLineChars="200"/>
        <w:rPr>
          <w:rFonts w:ascii="宋体" w:hAnsi="宋体" w:cs="宋体"/>
          <w:b/>
          <w:sz w:val="28"/>
          <w:szCs w:val="28"/>
        </w:rPr>
      </w:pPr>
      <w:r>
        <w:rPr>
          <w:rFonts w:hint="eastAsia" w:ascii="宋体" w:hAnsi="宋体" w:cs="宋体"/>
          <w:b/>
          <w:sz w:val="28"/>
          <w:szCs w:val="28"/>
        </w:rPr>
        <w:t>四、主要经验及做法、存在的问题和建议</w:t>
      </w:r>
    </w:p>
    <w:p>
      <w:pPr>
        <w:spacing w:line="560" w:lineRule="exact"/>
        <w:ind w:firstLine="560" w:firstLineChars="200"/>
        <w:rPr>
          <w:rFonts w:ascii="宋体" w:hAnsi="宋体" w:cs="宋体"/>
          <w:sz w:val="28"/>
          <w:szCs w:val="28"/>
        </w:rPr>
      </w:pPr>
      <w:r>
        <w:rPr>
          <w:rFonts w:hint="eastAsia" w:ascii="宋体" w:hAnsi="宋体" w:cs="宋体"/>
          <w:sz w:val="28"/>
          <w:szCs w:val="28"/>
        </w:rPr>
        <w:t>（一）主要经验及做法</w:t>
      </w:r>
    </w:p>
    <w:p>
      <w:pPr>
        <w:spacing w:line="560" w:lineRule="exact"/>
        <w:ind w:firstLine="560" w:firstLineChars="200"/>
        <w:rPr>
          <w:rFonts w:ascii="宋体" w:hAnsi="宋体" w:cs="宋体"/>
          <w:sz w:val="28"/>
          <w:szCs w:val="28"/>
        </w:rPr>
      </w:pPr>
      <w:r>
        <w:rPr>
          <w:rFonts w:hint="eastAsia" w:ascii="宋体" w:hAnsi="宋体" w:cs="宋体"/>
          <w:sz w:val="28"/>
          <w:szCs w:val="28"/>
        </w:rPr>
        <w:t>（二）存在的问题</w:t>
      </w:r>
    </w:p>
    <w:p>
      <w:pPr>
        <w:spacing w:line="560" w:lineRule="exact"/>
        <w:rPr>
          <w:rFonts w:ascii="宋体" w:hAnsi="宋体" w:cs="宋体"/>
          <w:sz w:val="28"/>
          <w:szCs w:val="28"/>
        </w:rPr>
      </w:pPr>
      <w:r>
        <w:rPr>
          <w:rFonts w:hint="eastAsia" w:ascii="宋体" w:hAnsi="宋体" w:cs="宋体"/>
          <w:sz w:val="28"/>
          <w:szCs w:val="28"/>
        </w:rPr>
        <w:t xml:space="preserve">    （三）建议和改进举措</w:t>
      </w:r>
    </w:p>
    <w:p>
      <w:pPr>
        <w:spacing w:line="560" w:lineRule="exact"/>
        <w:rPr>
          <w:rFonts w:ascii="宋体" w:hAnsi="宋体" w:cs="宋体"/>
          <w:b/>
          <w:sz w:val="28"/>
          <w:szCs w:val="28"/>
        </w:rPr>
      </w:pPr>
      <w:r>
        <w:rPr>
          <w:rFonts w:hint="eastAsia" w:ascii="宋体" w:hAnsi="宋体" w:cs="宋体"/>
          <w:sz w:val="28"/>
          <w:szCs w:val="28"/>
        </w:rPr>
        <w:t xml:space="preserve">    </w:t>
      </w:r>
      <w:r>
        <w:rPr>
          <w:rFonts w:hint="eastAsia" w:ascii="宋体" w:hAnsi="宋体" w:cs="宋体"/>
          <w:b/>
          <w:sz w:val="28"/>
          <w:szCs w:val="28"/>
        </w:rPr>
        <w:t>五、其他需说明的问题</w:t>
      </w:r>
    </w:p>
    <w:p>
      <w:pPr>
        <w:spacing w:line="560" w:lineRule="exact"/>
        <w:ind w:firstLine="560" w:firstLineChars="200"/>
        <w:rPr>
          <w:rFonts w:ascii="宋体" w:hAnsi="宋体" w:cs="宋体"/>
          <w:sz w:val="28"/>
          <w:szCs w:val="28"/>
        </w:rPr>
      </w:pPr>
      <w:r>
        <w:rPr>
          <w:rFonts w:hint="eastAsia" w:ascii="宋体" w:hAnsi="宋体" w:cs="宋体"/>
          <w:sz w:val="28"/>
          <w:szCs w:val="28"/>
        </w:rPr>
        <w:t>附件：</w:t>
      </w:r>
    </w:p>
    <w:p>
      <w:pPr>
        <w:spacing w:line="560" w:lineRule="exact"/>
        <w:ind w:firstLine="943" w:firstLineChars="337"/>
        <w:rPr>
          <w:rFonts w:ascii="宋体" w:hAnsi="宋体" w:cs="宋体"/>
          <w:sz w:val="28"/>
          <w:szCs w:val="28"/>
        </w:rPr>
      </w:pPr>
      <w:r>
        <w:rPr>
          <w:rFonts w:hint="eastAsia" w:ascii="宋体" w:hAnsi="宋体" w:cs="宋体"/>
          <w:sz w:val="28"/>
          <w:szCs w:val="28"/>
        </w:rPr>
        <w:t>1、绩效评价指标体系</w:t>
      </w:r>
    </w:p>
    <w:p>
      <w:pPr>
        <w:spacing w:line="560" w:lineRule="exact"/>
        <w:ind w:firstLine="943" w:firstLineChars="337"/>
        <w:rPr>
          <w:rFonts w:ascii="宋体" w:hAnsi="宋体" w:cs="宋体"/>
          <w:sz w:val="28"/>
          <w:szCs w:val="28"/>
        </w:rPr>
      </w:pPr>
      <w:r>
        <w:rPr>
          <w:rFonts w:hint="eastAsia" w:ascii="宋体" w:hAnsi="宋体" w:cs="宋体"/>
          <w:sz w:val="28"/>
          <w:szCs w:val="28"/>
        </w:rPr>
        <w:t>2、其它</w:t>
      </w:r>
    </w:p>
    <w:p>
      <w:pPr>
        <w:spacing w:line="560" w:lineRule="exact"/>
        <w:ind w:firstLine="560" w:firstLineChars="200"/>
        <w:rPr>
          <w:rFonts w:ascii="宋体" w:hAnsi="宋体" w:cs="宋体"/>
          <w:sz w:val="28"/>
          <w:szCs w:val="28"/>
        </w:rPr>
      </w:pPr>
    </w:p>
    <w:p>
      <w:pPr>
        <w:pStyle w:val="3"/>
        <w:rPr>
          <w:rFonts w:ascii="宋体" w:hAnsi="宋体" w:cs="宋体"/>
          <w:sz w:val="28"/>
          <w:szCs w:val="28"/>
        </w:rPr>
      </w:pPr>
    </w:p>
    <w:p>
      <w:pPr>
        <w:adjustRightInd w:val="0"/>
        <w:snapToGrid w:val="0"/>
        <w:spacing w:line="560" w:lineRule="exact"/>
        <w:ind w:firstLine="723" w:firstLineChars="200"/>
        <w:jc w:val="center"/>
        <w:textAlignment w:val="center"/>
        <w:rPr>
          <w:rFonts w:ascii="Arial" w:hAnsi="Arial" w:cs="Arial"/>
          <w:b/>
          <w:color w:val="000000"/>
          <w:sz w:val="36"/>
          <w:szCs w:val="36"/>
          <w:shd w:val="clear" w:color="auto" w:fill="FFFFFF"/>
        </w:rPr>
      </w:pPr>
    </w:p>
    <w:p>
      <w:pPr>
        <w:adjustRightInd w:val="0"/>
        <w:snapToGrid w:val="0"/>
        <w:spacing w:line="560" w:lineRule="exact"/>
        <w:ind w:firstLine="723" w:firstLineChars="200"/>
        <w:jc w:val="center"/>
        <w:textAlignment w:val="center"/>
        <w:rPr>
          <w:rFonts w:ascii="Arial" w:hAnsi="Arial" w:cs="Arial"/>
          <w:b/>
          <w:color w:val="000000"/>
          <w:sz w:val="36"/>
          <w:szCs w:val="36"/>
          <w:shd w:val="clear" w:color="auto" w:fill="FFFFFF"/>
        </w:rPr>
      </w:pPr>
    </w:p>
    <w:p>
      <w:pPr>
        <w:adjustRightInd w:val="0"/>
        <w:snapToGrid w:val="0"/>
        <w:spacing w:line="560" w:lineRule="exact"/>
        <w:ind w:firstLine="723" w:firstLineChars="200"/>
        <w:jc w:val="center"/>
        <w:textAlignment w:val="center"/>
        <w:rPr>
          <w:rFonts w:ascii="Arial" w:hAnsi="Arial" w:cs="Arial"/>
          <w:b/>
          <w:color w:val="000000"/>
          <w:sz w:val="36"/>
          <w:szCs w:val="36"/>
          <w:shd w:val="clear" w:color="auto" w:fill="FFFFFF"/>
        </w:rPr>
      </w:pPr>
    </w:p>
    <w:p>
      <w:pPr>
        <w:adjustRightInd w:val="0"/>
        <w:snapToGrid w:val="0"/>
        <w:spacing w:line="560" w:lineRule="exact"/>
        <w:ind w:firstLine="723" w:firstLineChars="200"/>
        <w:jc w:val="center"/>
        <w:textAlignment w:val="center"/>
        <w:rPr>
          <w:rFonts w:ascii="Arial" w:hAnsi="Arial" w:cs="Arial"/>
          <w:b/>
          <w:color w:val="000000"/>
          <w:sz w:val="36"/>
          <w:szCs w:val="36"/>
          <w:shd w:val="clear" w:color="auto" w:fill="FFFFFF"/>
        </w:rPr>
      </w:pPr>
    </w:p>
    <w:p>
      <w:pPr>
        <w:adjustRightInd w:val="0"/>
        <w:snapToGrid w:val="0"/>
        <w:spacing w:line="560" w:lineRule="exact"/>
        <w:ind w:firstLine="723" w:firstLineChars="200"/>
        <w:jc w:val="center"/>
        <w:textAlignment w:val="center"/>
        <w:rPr>
          <w:rFonts w:ascii="Arial" w:hAnsi="Arial" w:cs="Arial"/>
          <w:b/>
          <w:color w:val="000000"/>
          <w:sz w:val="36"/>
          <w:szCs w:val="36"/>
          <w:shd w:val="clear" w:color="auto" w:fill="FFFFFF"/>
        </w:rPr>
      </w:pPr>
    </w:p>
    <w:p>
      <w:pPr>
        <w:adjustRightInd w:val="0"/>
        <w:snapToGrid w:val="0"/>
        <w:spacing w:line="420" w:lineRule="auto"/>
        <w:ind w:firstLine="723" w:firstLineChars="200"/>
        <w:jc w:val="center"/>
        <w:textAlignment w:val="center"/>
        <w:rPr>
          <w:rFonts w:ascii="Arial" w:hAnsi="Arial" w:cs="Arial"/>
          <w:b/>
          <w:color w:val="000000"/>
          <w:sz w:val="36"/>
          <w:szCs w:val="36"/>
          <w:shd w:val="clear" w:color="auto" w:fill="FFFFFF"/>
        </w:rPr>
      </w:pPr>
      <w:r>
        <w:rPr>
          <w:rFonts w:hint="eastAsia" w:ascii="Arial" w:hAnsi="Arial" w:cs="Arial"/>
          <w:b/>
          <w:color w:val="000000"/>
          <w:sz w:val="36"/>
          <w:szCs w:val="36"/>
          <w:shd w:val="clear" w:color="auto" w:fill="FFFFFF"/>
        </w:rPr>
        <w:t>摘   要</w:t>
      </w:r>
    </w:p>
    <w:p>
      <w:pPr>
        <w:numPr>
          <w:ilvl w:val="0"/>
          <w:numId w:val="2"/>
        </w:numPr>
        <w:adjustRightInd w:val="0"/>
        <w:snapToGrid w:val="0"/>
        <w:spacing w:line="360" w:lineRule="auto"/>
        <w:ind w:firstLine="562" w:firstLineChars="200"/>
        <w:textAlignment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概述</w:t>
      </w:r>
    </w:p>
    <w:p>
      <w:pPr>
        <w:widowControl/>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为深入贯彻落实新《预算法》和中央、省、县关于推进预算绩效管理的有关精神做好2021年度绩效管理评价工作，根据《财政部关于贯彻落实&lt;中共中央 国务院关于全面实施预算绩效管理的意见&gt;的通知》（财预〔2018〕167 号）、《省财政厅关于推进全面实施预算绩效管理工作的通知》（鄂财绩发（2019）10号）、财政部关于印发《项目支出绩效评价管理办法》的通知（财预〔2020〕10号 ）、湖北省财政厅关于印发全面实施预算绩效管理系列制度的通知》（鄂财绩发〔2020〕3号）、《县财政局关于2021年开展县本级财政支出绩效评价工作的通知》（随县财发〔2022〕11号）等文件要求，为加强随县财政资金使用效益，湖北德佳会计师事务所（普通合伙）受随县财政局的委托，对随县城市管理执法局2021年度城区生活垃圾转运市场运行经费实施绩效评价。</w:t>
      </w:r>
    </w:p>
    <w:p>
      <w:pPr>
        <w:adjustRightInd w:val="0"/>
        <w:snapToGrid w:val="0"/>
        <w:spacing w:line="360" w:lineRule="auto"/>
        <w:ind w:firstLine="562" w:firstLineChars="200"/>
        <w:textAlignment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二、评价结论和绩效分析</w:t>
      </w:r>
    </w:p>
    <w:p>
      <w:pPr>
        <w:adjustRightInd w:val="0"/>
        <w:snapToGrid w:val="0"/>
        <w:spacing w:line="360" w:lineRule="auto"/>
        <w:ind w:firstLine="562" w:firstLineChars="200"/>
        <w:textAlignment w:val="center"/>
        <w:rPr>
          <w:rFonts w:ascii="宋体" w:hAnsi="宋体" w:cs="宋体"/>
          <w:b/>
          <w:color w:val="333333"/>
          <w:kern w:val="0"/>
          <w:sz w:val="28"/>
          <w:szCs w:val="28"/>
          <w:shd w:val="clear" w:color="auto" w:fill="FFFFFF"/>
        </w:rPr>
      </w:pPr>
      <w:r>
        <w:rPr>
          <w:rFonts w:hint="eastAsia" w:ascii="宋体" w:hAnsi="宋体" w:cs="宋体"/>
          <w:b/>
          <w:color w:val="333333"/>
          <w:kern w:val="0"/>
          <w:sz w:val="28"/>
          <w:szCs w:val="28"/>
          <w:shd w:val="clear" w:color="auto" w:fill="FFFFFF"/>
        </w:rPr>
        <w:t>1、评分结果</w:t>
      </w:r>
    </w:p>
    <w:p>
      <w:pPr>
        <w:adjustRightInd w:val="0"/>
        <w:snapToGrid w:val="0"/>
        <w:spacing w:line="360" w:lineRule="auto"/>
        <w:ind w:firstLine="560" w:firstLineChars="200"/>
        <w:textAlignment w:val="center"/>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经综合评价，该项目财政预算资金支出绩效评价结果为81分，评分结果良（按各项目得分率与资金额度加权平均确定），具体情况如下表：</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628"/>
        <w:gridCol w:w="155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评价内容</w:t>
            </w:r>
          </w:p>
        </w:tc>
        <w:tc>
          <w:tcPr>
            <w:tcW w:w="1628" w:type="dxa"/>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权重</w:t>
            </w:r>
          </w:p>
        </w:tc>
        <w:tc>
          <w:tcPr>
            <w:tcW w:w="1554" w:type="dxa"/>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标准分值</w:t>
            </w:r>
          </w:p>
        </w:tc>
        <w:tc>
          <w:tcPr>
            <w:tcW w:w="2421" w:type="dxa"/>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决策</w:t>
            </w:r>
          </w:p>
        </w:tc>
        <w:tc>
          <w:tcPr>
            <w:tcW w:w="1628"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w:t>
            </w:r>
          </w:p>
        </w:tc>
        <w:tc>
          <w:tcPr>
            <w:tcW w:w="1554"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w:t>
            </w:r>
          </w:p>
        </w:tc>
        <w:tc>
          <w:tcPr>
            <w:tcW w:w="2421"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过程</w:t>
            </w:r>
          </w:p>
        </w:tc>
        <w:tc>
          <w:tcPr>
            <w:tcW w:w="1628"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w:t>
            </w:r>
          </w:p>
        </w:tc>
        <w:tc>
          <w:tcPr>
            <w:tcW w:w="1554"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w:t>
            </w:r>
          </w:p>
        </w:tc>
        <w:tc>
          <w:tcPr>
            <w:tcW w:w="2421"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619"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产出</w:t>
            </w:r>
          </w:p>
        </w:tc>
        <w:tc>
          <w:tcPr>
            <w:tcW w:w="1628"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32%</w:t>
            </w:r>
          </w:p>
        </w:tc>
        <w:tc>
          <w:tcPr>
            <w:tcW w:w="1554"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32</w:t>
            </w:r>
          </w:p>
        </w:tc>
        <w:tc>
          <w:tcPr>
            <w:tcW w:w="2421"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19"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效果</w:t>
            </w:r>
          </w:p>
        </w:tc>
        <w:tc>
          <w:tcPr>
            <w:tcW w:w="1628"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30%</w:t>
            </w:r>
          </w:p>
        </w:tc>
        <w:tc>
          <w:tcPr>
            <w:tcW w:w="1554"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30</w:t>
            </w:r>
          </w:p>
        </w:tc>
        <w:tc>
          <w:tcPr>
            <w:tcW w:w="2421"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综合绩效</w:t>
            </w:r>
          </w:p>
        </w:tc>
        <w:tc>
          <w:tcPr>
            <w:tcW w:w="1628"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100%</w:t>
            </w:r>
          </w:p>
        </w:tc>
        <w:tc>
          <w:tcPr>
            <w:tcW w:w="1554" w:type="dxa"/>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100</w:t>
            </w:r>
          </w:p>
        </w:tc>
        <w:tc>
          <w:tcPr>
            <w:tcW w:w="2421" w:type="dxa"/>
            <w:vAlign w:val="center"/>
          </w:tcPr>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81</w:t>
            </w:r>
          </w:p>
        </w:tc>
      </w:tr>
    </w:tbl>
    <w:p>
      <w:pPr>
        <w:pStyle w:val="25"/>
        <w:adjustRightInd w:val="0"/>
        <w:snapToGrid w:val="0"/>
        <w:spacing w:line="360" w:lineRule="auto"/>
        <w:rPr>
          <w:rFonts w:ascii="宋体" w:hAnsi="宋体" w:cs="宋体"/>
          <w:sz w:val="28"/>
          <w:szCs w:val="28"/>
        </w:rPr>
      </w:pPr>
      <w:r>
        <w:rPr>
          <w:rFonts w:hint="eastAsia" w:ascii="宋体" w:hAnsi="宋体" w:cs="仿宋_GB2312"/>
          <w:sz w:val="28"/>
          <w:szCs w:val="28"/>
        </w:rPr>
        <w:t xml:space="preserve">   </w:t>
      </w:r>
      <w:r>
        <w:rPr>
          <w:rFonts w:hint="eastAsia" w:ascii="宋体" w:hAnsi="宋体" w:cs="宋体"/>
          <w:sz w:val="28"/>
          <w:szCs w:val="28"/>
        </w:rPr>
        <w:t xml:space="preserve"> 我们认为，随县城区生活垃圾转运市场运行经费项目，在项目决策过程中，项目的目标定位准确，决策审批程序完整；项目投入管理基本符合相关要求，会计核算规范，项目的产出效益方面取得了一定的成绩。综合得分81分，绩效评价结果级别为良。</w:t>
      </w:r>
    </w:p>
    <w:p>
      <w:pPr>
        <w:adjustRightInd w:val="0"/>
        <w:snapToGrid w:val="0"/>
        <w:spacing w:line="360" w:lineRule="auto"/>
        <w:ind w:firstLine="562" w:firstLineChars="200"/>
        <w:textAlignment w:val="center"/>
        <w:rPr>
          <w:rFonts w:ascii="宋体" w:hAnsi="宋体" w:cs="宋体"/>
          <w:b/>
          <w:sz w:val="28"/>
          <w:szCs w:val="28"/>
        </w:rPr>
      </w:pPr>
      <w:r>
        <w:rPr>
          <w:rFonts w:hint="eastAsia" w:ascii="宋体" w:hAnsi="宋体" w:cs="宋体"/>
          <w:b/>
          <w:color w:val="000000"/>
          <w:sz w:val="28"/>
          <w:szCs w:val="28"/>
        </w:rPr>
        <w:t>三、经验教训和建议</w:t>
      </w:r>
    </w:p>
    <w:p>
      <w:pPr>
        <w:adjustRightInd w:val="0"/>
        <w:snapToGrid w:val="0"/>
        <w:spacing w:line="360" w:lineRule="auto"/>
        <w:ind w:firstLine="422" w:firstLineChars="150"/>
        <w:textAlignment w:val="center"/>
        <w:rPr>
          <w:rFonts w:ascii="宋体" w:hAnsi="宋体" w:cs="宋体"/>
          <w:b/>
          <w:color w:val="0C0C0C"/>
          <w:sz w:val="28"/>
          <w:szCs w:val="28"/>
        </w:rPr>
      </w:pPr>
      <w:r>
        <w:rPr>
          <w:rFonts w:hint="eastAsia" w:ascii="宋体" w:hAnsi="宋体" w:cs="宋体"/>
          <w:b/>
          <w:color w:val="0C0C0C"/>
          <w:sz w:val="28"/>
          <w:szCs w:val="28"/>
        </w:rPr>
        <w:t>（一）经验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1、提升了执法队伍水平。坚持党建引领，以</w:t>
      </w:r>
      <w:r>
        <w:rPr>
          <w:rFonts w:hint="eastAsia" w:ascii="宋体" w:hAnsi="宋体" w:cs="宋体"/>
          <w:sz w:val="28"/>
          <w:szCs w:val="28"/>
          <w:lang w:eastAsia="zh-CN"/>
        </w:rPr>
        <w:t>党史学习教育</w:t>
      </w:r>
      <w:r>
        <w:rPr>
          <w:rFonts w:hint="eastAsia" w:ascii="宋体" w:hAnsi="宋体" w:cs="宋体"/>
          <w:sz w:val="28"/>
          <w:szCs w:val="28"/>
        </w:rPr>
        <w:t>为契机，举办读书班4期，开展红色教育现场教学1次，分别组织党员干部参加系统内部测试和全县党史知识竞赛1次，不断提升基层执法队伍政治品质。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2、提升了执法办案能力。重拳打击县城规划违法建设，坚持做到“逢违必拆”今年上半年累计拆除36起，拆除面积约3102平方米，成功解决市县纪委交办件、群众信访案件9起。</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探索常规管理模式创新，抓好“数字城管”运用。探索发挥数字城管指挥中心平台巡查上报、监督审核、组织协调、综合调度等功能，运用执法记录仪、视频监控、“城管通”等设施设备，提升执法进度和效率，共受理各类城市管理线索640起，事件处理率达90%。</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(二) 存在的问题</w:t>
      </w:r>
    </w:p>
    <w:p>
      <w:pPr>
        <w:pStyle w:val="25"/>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随县城市管理执法局未按照《县财政局关于2021年开展县本级财政支出绩效评价工作的通知》（随县财发〔2022〕11号）等文件要求编制项目绩效自评表，未编制项目绩效自评报告，且未在2021年决算报告中公开项目绩效。</w:t>
      </w:r>
    </w:p>
    <w:p>
      <w:pPr>
        <w:pStyle w:val="25"/>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2、在疫情常态化情况下县城生活垃圾收集、分类、处置能力面临新的挑战，垃圾转运成本高，城乡垃圾分类工作推进十分缓慢。</w:t>
      </w:r>
    </w:p>
    <w:p>
      <w:pPr>
        <w:pStyle w:val="25"/>
        <w:adjustRightInd w:val="0"/>
        <w:snapToGrid w:val="0"/>
        <w:spacing w:line="360" w:lineRule="auto"/>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（三）</w:t>
      </w:r>
      <w:r>
        <w:rPr>
          <w:rFonts w:hint="eastAsia" w:ascii="宋体" w:hAnsi="宋体" w:cs="宋体"/>
          <w:b/>
          <w:color w:val="0C0C0C"/>
          <w:sz w:val="28"/>
          <w:szCs w:val="28"/>
        </w:rPr>
        <w:t>建议和改进举措</w:t>
      </w:r>
    </w:p>
    <w:p>
      <w:pPr>
        <w:autoSpaceDN w:val="0"/>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在绩效管理方面，加强部门预算之间的统筹，科学合理制定项目绩效考核指标，定期做好支出预算财务分析，做好部门整体支出预算评价工作；要加强监督检查和考核，建立可持续性绩效考核，使财政资金产生更大的经济效益和社会效益。规范项目申报，科学制定绩效目标，提升项目绩效预算编制工作的质量和效率，项目绩效预算编制的数量和资金规模应与项目绩效目标相适应，绩效目标要做到内容完整、清晰，指标细化、具体，附件齐备。</w:t>
      </w:r>
    </w:p>
    <w:p>
      <w:pPr>
        <w:pStyle w:val="25"/>
        <w:adjustRightInd w:val="0"/>
        <w:snapToGrid w:val="0"/>
        <w:spacing w:line="360" w:lineRule="auto"/>
        <w:rPr>
          <w:rFonts w:ascii="宋体" w:hAnsi="宋体" w:cs="宋体"/>
          <w:sz w:val="28"/>
          <w:szCs w:val="28"/>
        </w:rPr>
      </w:pPr>
      <w:r>
        <w:rPr>
          <w:rFonts w:hint="eastAsia" w:ascii="宋体" w:hAnsi="宋体" w:cs="宋体"/>
          <w:sz w:val="28"/>
          <w:szCs w:val="28"/>
        </w:rPr>
        <w:t xml:space="preserve">  2、县城生活垃圾收集、分类、处置能力有待提升。目前县城区垃圾中转站共有两座，分别位于洪山大道和振兴路，建成时间较早，需进行改造后才能投入使用，拟计划在县人民医院东规划建设标准化垃圾压缩和垃圾分类再生资源分拣中心，在确保县城及乡镇生活垃圾能够及时运至市生活垃圾焚烧发电厂进行处理和推进落实城乡生活垃圾分类工作的同时，缩短到市焚烧发电厂的转运距离，每年可节约转运资金20余万元。</w:t>
      </w:r>
    </w:p>
    <w:p>
      <w:pPr>
        <w:pStyle w:val="3"/>
        <w:rPr>
          <w:sz w:val="24"/>
          <w:szCs w:val="24"/>
        </w:rPr>
      </w:pPr>
    </w:p>
    <w:p>
      <w:pPr>
        <w:pStyle w:val="3"/>
        <w:rPr>
          <w:sz w:val="24"/>
          <w:szCs w:val="24"/>
        </w:rPr>
      </w:pPr>
    </w:p>
    <w:p>
      <w:pPr>
        <w:pStyle w:val="4"/>
        <w:spacing w:beforeAutospacing="0" w:afterAutospacing="0"/>
        <w:jc w:val="center"/>
        <w:rPr>
          <w:color w:val="000000"/>
          <w:sz w:val="24"/>
          <w:szCs w:val="24"/>
          <w:shd w:val="clear" w:color="auto" w:fill="FFFFFF"/>
        </w:rPr>
      </w:pPr>
    </w:p>
    <w:p>
      <w:pPr>
        <w:pStyle w:val="4"/>
        <w:spacing w:beforeAutospacing="0" w:afterAutospacing="0"/>
        <w:jc w:val="center"/>
        <w:rPr>
          <w:color w:val="000000"/>
          <w:sz w:val="24"/>
          <w:szCs w:val="24"/>
          <w:shd w:val="clear" w:color="auto" w:fill="FFFFFF"/>
        </w:rPr>
      </w:pPr>
    </w:p>
    <w:p>
      <w:pPr>
        <w:pStyle w:val="4"/>
        <w:spacing w:beforeAutospacing="0" w:afterAutospacing="0"/>
        <w:jc w:val="center"/>
        <w:rPr>
          <w:color w:val="000000"/>
          <w:sz w:val="24"/>
          <w:szCs w:val="24"/>
          <w:shd w:val="clear" w:color="auto" w:fill="FFFFFF"/>
        </w:rPr>
      </w:pPr>
    </w:p>
    <w:p>
      <w:pPr>
        <w:pStyle w:val="4"/>
        <w:spacing w:beforeAutospacing="0" w:afterAutospacing="0"/>
        <w:jc w:val="center"/>
        <w:rPr>
          <w:color w:val="000000"/>
          <w:sz w:val="24"/>
          <w:szCs w:val="24"/>
          <w:shd w:val="clear" w:color="auto" w:fill="FFFFFF"/>
        </w:rPr>
      </w:pPr>
    </w:p>
    <w:p>
      <w:pPr>
        <w:pStyle w:val="4"/>
        <w:spacing w:beforeAutospacing="0" w:afterAutospacing="0"/>
        <w:jc w:val="center"/>
        <w:rPr>
          <w:color w:val="000000"/>
          <w:sz w:val="24"/>
          <w:szCs w:val="24"/>
          <w:shd w:val="clear" w:color="auto" w:fill="FFFFFF"/>
        </w:rPr>
      </w:pPr>
    </w:p>
    <w:p>
      <w:pPr>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3"/>
        <w:rPr>
          <w:color w:val="000000"/>
          <w:sz w:val="24"/>
          <w:szCs w:val="24"/>
          <w:shd w:val="clear" w:color="auto" w:fill="FFFFFF"/>
        </w:rPr>
      </w:pPr>
    </w:p>
    <w:p>
      <w:pPr>
        <w:pStyle w:val="4"/>
        <w:adjustRightInd w:val="0"/>
        <w:snapToGrid w:val="0"/>
        <w:spacing w:before="0" w:beforeAutospacing="0" w:after="0" w:afterAutospacing="0" w:line="420" w:lineRule="auto"/>
        <w:jc w:val="center"/>
        <w:rPr>
          <w:sz w:val="36"/>
          <w:szCs w:val="36"/>
        </w:rPr>
      </w:pPr>
      <w:r>
        <w:rPr>
          <w:rFonts w:hint="eastAsia"/>
          <w:color w:val="000000"/>
          <w:sz w:val="36"/>
          <w:szCs w:val="36"/>
          <w:shd w:val="clear" w:color="auto" w:fill="FFFFFF"/>
        </w:rPr>
        <w:t>前   言 </w:t>
      </w:r>
    </w:p>
    <w:p>
      <w:pPr>
        <w:pStyle w:val="5"/>
        <w:widowControl/>
        <w:adjustRightInd w:val="0"/>
        <w:snapToGrid w:val="0"/>
        <w:spacing w:before="0" w:after="0" w:line="360" w:lineRule="auto"/>
        <w:rPr>
          <w:rFonts w:cs="宋体" w:asciiTheme="majorEastAsia" w:hAnsiTheme="majorEastAsia" w:eastAsiaTheme="majorEastAsia"/>
          <w:sz w:val="28"/>
          <w:szCs w:val="28"/>
        </w:rPr>
      </w:pPr>
      <w:r>
        <w:rPr>
          <w:rFonts w:hint="eastAsia" w:cs="宋体" w:asciiTheme="majorEastAsia" w:hAnsiTheme="majorEastAsia" w:eastAsiaTheme="majorEastAsia"/>
          <w:color w:val="000000"/>
          <w:sz w:val="28"/>
          <w:szCs w:val="28"/>
          <w:shd w:val="clear" w:color="auto" w:fill="FFFFFF"/>
        </w:rPr>
        <w:t>一、开展绩效评价的背景</w:t>
      </w:r>
    </w:p>
    <w:p>
      <w:pPr>
        <w:adjustRightInd w:val="0"/>
        <w:snapToGrid w:val="0"/>
        <w:spacing w:line="360" w:lineRule="auto"/>
        <w:ind w:firstLine="560" w:firstLineChars="200"/>
        <w:jc w:val="left"/>
        <w:rPr>
          <w:rFonts w:cs="宋体"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shd w:val="clear" w:color="auto" w:fill="FFFFFF"/>
        </w:rPr>
        <w:t>为进一步规范和加强县级财政项目资金管理，提高专项资金的使用效益和管理水平，湖北德佳会计师事务所（普通合伙）接受县财政局的委托对城区生活垃圾转运市场运行经费使用情况实施绩效评价，形成县级财政项目资金绩效评价报告。现将绩效综合评价情况报告如下。</w:t>
      </w:r>
      <w:r>
        <w:rPr>
          <w:rFonts w:hint="eastAsia" w:cs="宋体" w:asciiTheme="majorEastAsia" w:hAnsiTheme="majorEastAsia" w:eastAsiaTheme="majorEastAsia"/>
          <w:color w:val="000000"/>
          <w:kern w:val="0"/>
          <w:sz w:val="28"/>
          <w:szCs w:val="28"/>
          <w:shd w:val="clear" w:color="auto" w:fill="FFFFFF"/>
        </w:rPr>
        <w:br w:type="textWrapping"/>
      </w:r>
      <w:r>
        <w:rPr>
          <w:rFonts w:hint="eastAsia" w:cs="宋体" w:asciiTheme="majorEastAsia" w:hAnsiTheme="majorEastAsia" w:eastAsiaTheme="majorEastAsia"/>
          <w:color w:val="000000"/>
          <w:kern w:val="0"/>
          <w:sz w:val="28"/>
          <w:szCs w:val="28"/>
          <w:shd w:val="clear" w:color="auto" w:fill="FFFFFF"/>
        </w:rPr>
        <w:t xml:space="preserve">    本次绩效评价对象是</w:t>
      </w:r>
      <w:r>
        <w:rPr>
          <w:rFonts w:hint="eastAsia" w:cs="宋体" w:asciiTheme="majorEastAsia" w:hAnsiTheme="majorEastAsia" w:eastAsiaTheme="majorEastAsia"/>
          <w:color w:val="000000"/>
          <w:sz w:val="28"/>
          <w:szCs w:val="28"/>
          <w:shd w:val="clear" w:color="auto" w:fill="FFFFFF"/>
        </w:rPr>
        <w:t>随县城市管理执法局城区生活垃圾转运市场运行经费</w:t>
      </w:r>
      <w:r>
        <w:rPr>
          <w:rFonts w:hint="eastAsia" w:cs="宋体" w:asciiTheme="majorEastAsia" w:hAnsiTheme="majorEastAsia" w:eastAsiaTheme="majorEastAsia"/>
          <w:color w:val="000000"/>
          <w:kern w:val="0"/>
          <w:sz w:val="28"/>
          <w:szCs w:val="28"/>
          <w:shd w:val="clear" w:color="auto" w:fill="FFFFFF"/>
        </w:rPr>
        <w:t>，</w:t>
      </w:r>
      <w:r>
        <w:rPr>
          <w:rFonts w:hint="eastAsia" w:cs="宋体" w:asciiTheme="majorEastAsia" w:hAnsiTheme="majorEastAsia" w:eastAsiaTheme="majorEastAsia"/>
          <w:sz w:val="28"/>
          <w:szCs w:val="28"/>
        </w:rPr>
        <w:t>2021预算900万元，至2021年12月31日已下拨498.95万元，实际支付项目经费498.95万元。</w:t>
      </w:r>
    </w:p>
    <w:p>
      <w:pPr>
        <w:widowControl/>
        <w:shd w:val="clear" w:color="auto" w:fill="FFFFFF"/>
        <w:adjustRightInd w:val="0"/>
        <w:snapToGrid w:val="0"/>
        <w:spacing w:line="360" w:lineRule="auto"/>
        <w:ind w:firstLine="420"/>
        <w:jc w:val="left"/>
        <w:rPr>
          <w:rFonts w:cs="宋体" w:asciiTheme="majorEastAsia" w:hAnsiTheme="majorEastAsia" w:eastAsiaTheme="majorEastAsia"/>
          <w:color w:val="000000"/>
          <w:sz w:val="28"/>
          <w:szCs w:val="28"/>
        </w:rPr>
      </w:pPr>
      <w:r>
        <w:rPr>
          <w:rFonts w:hint="eastAsia" w:cs="宋体" w:asciiTheme="majorEastAsia" w:hAnsiTheme="majorEastAsia" w:eastAsiaTheme="majorEastAsia"/>
          <w:color w:val="000000"/>
          <w:kern w:val="0"/>
          <w:sz w:val="28"/>
          <w:szCs w:val="28"/>
          <w:shd w:val="clear" w:color="auto" w:fill="FFFFFF"/>
        </w:rPr>
        <w:t xml:space="preserve"> 根据随县财政局的统一部署，本次评价的截止时间为2022年12月15日，按照绩效评价方案，第三方湖北德佳会计师事务所（普通合伙）成立了绩效评价工作组，共同完成了本次绩效评价工作。</w:t>
      </w:r>
    </w:p>
    <w:p>
      <w:pPr>
        <w:pStyle w:val="5"/>
        <w:widowControl/>
        <w:adjustRightInd w:val="0"/>
        <w:snapToGrid w:val="0"/>
        <w:spacing w:before="0" w:after="0" w:line="360" w:lineRule="auto"/>
        <w:rPr>
          <w:rFonts w:cs="宋体" w:asciiTheme="majorEastAsia" w:hAnsiTheme="majorEastAsia" w:eastAsiaTheme="majorEastAsia"/>
          <w:sz w:val="28"/>
          <w:szCs w:val="28"/>
        </w:rPr>
      </w:pPr>
      <w:r>
        <w:rPr>
          <w:rFonts w:hint="eastAsia" w:cs="宋体" w:asciiTheme="majorEastAsia" w:hAnsiTheme="majorEastAsia" w:eastAsiaTheme="majorEastAsia"/>
          <w:color w:val="000000"/>
          <w:sz w:val="28"/>
          <w:szCs w:val="28"/>
          <w:shd w:val="clear" w:color="auto" w:fill="FFFFFF"/>
        </w:rPr>
        <w:t>二、评价委托关系</w:t>
      </w:r>
    </w:p>
    <w:p>
      <w:pPr>
        <w:adjustRightInd w:val="0"/>
        <w:snapToGrid w:val="0"/>
        <w:spacing w:line="360" w:lineRule="auto"/>
        <w:ind w:firstLine="560" w:firstLineChars="200"/>
        <w:jc w:val="left"/>
        <w:rPr>
          <w:rFonts w:cs="宋体" w:asciiTheme="majorEastAsia" w:hAnsiTheme="majorEastAsia" w:eastAsiaTheme="majorEastAsia"/>
          <w:color w:val="000000"/>
          <w:kern w:val="0"/>
          <w:sz w:val="28"/>
          <w:szCs w:val="28"/>
          <w:shd w:val="clear" w:color="auto" w:fill="FFFFFF"/>
        </w:rPr>
      </w:pPr>
      <w:r>
        <w:rPr>
          <w:rFonts w:hint="eastAsia" w:cs="宋体" w:asciiTheme="majorEastAsia" w:hAnsiTheme="majorEastAsia" w:eastAsiaTheme="majorEastAsia"/>
          <w:color w:val="000000"/>
          <w:kern w:val="0"/>
          <w:sz w:val="28"/>
          <w:szCs w:val="28"/>
          <w:shd w:val="clear" w:color="auto" w:fill="FFFFFF"/>
        </w:rPr>
        <w:t>在本次绩效评价过程中，湖北德佳会计师事务所（普通合伙）对本次评价所依据的文件、评价范围和项目单位的基础资料进行收集、整理、审核与汇总，对相关单位和有形成果进行核实，并依据拟定的评价指标体系及评价标准进行了评价分析，从而评定得出本项目的绩效评价结果。</w:t>
      </w:r>
      <w:r>
        <w:rPr>
          <w:rFonts w:hint="eastAsia" w:cs="宋体" w:asciiTheme="majorEastAsia" w:hAnsiTheme="majorEastAsia" w:eastAsiaTheme="majorEastAsia"/>
          <w:color w:val="000000"/>
          <w:kern w:val="0"/>
          <w:sz w:val="28"/>
          <w:szCs w:val="28"/>
          <w:shd w:val="clear" w:color="auto" w:fill="FFFFFF"/>
        </w:rPr>
        <w:br w:type="textWrapping"/>
      </w:r>
      <w:r>
        <w:rPr>
          <w:rFonts w:hint="eastAsia" w:cs="宋体" w:asciiTheme="majorEastAsia" w:hAnsiTheme="majorEastAsia" w:eastAsiaTheme="majorEastAsia"/>
          <w:color w:val="000000"/>
          <w:kern w:val="0"/>
          <w:sz w:val="28"/>
          <w:szCs w:val="28"/>
          <w:shd w:val="clear" w:color="auto" w:fill="FFFFFF"/>
        </w:rPr>
        <w:t>   本报告专为委托方对本报告所列明的目的以及报送县财政主管部门检查使用。绩效评价报告书的使用权归委托方所有，除依据法律规定需要公开的情形外，报告的全部或部分内容不得见诸于公开媒体。</w:t>
      </w:r>
      <w:r>
        <w:rPr>
          <w:rFonts w:hint="eastAsia" w:cs="宋体" w:asciiTheme="majorEastAsia" w:hAnsiTheme="majorEastAsia" w:eastAsiaTheme="majorEastAsia"/>
          <w:color w:val="000000"/>
          <w:kern w:val="0"/>
          <w:sz w:val="28"/>
          <w:szCs w:val="28"/>
          <w:shd w:val="clear" w:color="auto" w:fill="FFFFFF"/>
        </w:rPr>
        <w:br w:type="textWrapping"/>
      </w:r>
      <w:r>
        <w:rPr>
          <w:rFonts w:hint="eastAsia" w:cs="宋体" w:asciiTheme="majorEastAsia" w:hAnsiTheme="majorEastAsia" w:eastAsiaTheme="majorEastAsia"/>
          <w:color w:val="000000"/>
          <w:kern w:val="0"/>
          <w:sz w:val="28"/>
          <w:szCs w:val="28"/>
          <w:shd w:val="clear" w:color="auto" w:fill="FFFFFF"/>
        </w:rPr>
        <w:t>   以上内容摘自于绩效评价报告书，欲了解本绩效评价项目的全面情况，请认真阅读本绩效评价报告书全文。</w:t>
      </w:r>
    </w:p>
    <w:p>
      <w:pPr>
        <w:pStyle w:val="11"/>
        <w:adjustRightInd w:val="0"/>
        <w:snapToGrid w:val="0"/>
        <w:spacing w:before="0" w:beforeAutospacing="0" w:after="0" w:afterAutospacing="0" w:line="360" w:lineRule="auto"/>
        <w:rPr>
          <w:rFonts w:asciiTheme="majorEastAsia" w:hAnsiTheme="majorEastAsia" w:eastAsiaTheme="majorEastAsia"/>
          <w:b/>
          <w:bCs/>
          <w:color w:val="000000"/>
          <w:sz w:val="28"/>
          <w:szCs w:val="28"/>
        </w:rPr>
      </w:pPr>
      <w:r>
        <w:rPr>
          <w:rFonts w:asciiTheme="majorEastAsia" w:hAnsiTheme="majorEastAsia" w:eastAsiaTheme="majorEastAsia"/>
          <w:b/>
          <w:bCs/>
          <w:color w:val="000000"/>
          <w:sz w:val="28"/>
          <w:szCs w:val="28"/>
        </w:rPr>
        <w:t>一、项目基本情况</w:t>
      </w:r>
    </w:p>
    <w:p>
      <w:pPr>
        <w:adjustRightInd w:val="0"/>
        <w:snapToGrid w:val="0"/>
        <w:spacing w:line="360" w:lineRule="auto"/>
        <w:ind w:firstLine="790" w:firstLineChars="281"/>
        <w:outlineLvl w:val="0"/>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1、项目立项背景</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为全力推进随县城区的建设,满足城区垃圾处理能力,实现生活垃圾无害化、减量化、资源化,随县政府规划了</w:t>
      </w:r>
      <w:r>
        <w:rPr>
          <w:rFonts w:hint="eastAsia" w:cs="仿宋_GB2312" w:asciiTheme="majorEastAsia" w:hAnsiTheme="majorEastAsia" w:eastAsiaTheme="majorEastAsia"/>
          <w:sz w:val="28"/>
          <w:szCs w:val="28"/>
        </w:rPr>
        <w:t>城区生活垃圾转运市场运行经费</w:t>
      </w:r>
      <w:r>
        <w:rPr>
          <w:rFonts w:hint="eastAsia" w:cs="宋体" w:asciiTheme="majorEastAsia" w:hAnsiTheme="majorEastAsia" w:eastAsiaTheme="majorEastAsia"/>
          <w:sz w:val="28"/>
          <w:szCs w:val="28"/>
        </w:rPr>
        <w:t>项目,通过招投标程序确定中标单位--</w:t>
      </w:r>
      <w:r>
        <w:rPr>
          <w:rFonts w:hint="eastAsia" w:cs="仿宋_GB2312" w:asciiTheme="majorEastAsia" w:hAnsiTheme="majorEastAsia" w:eastAsiaTheme="majorEastAsia"/>
          <w:sz w:val="28"/>
          <w:szCs w:val="28"/>
        </w:rPr>
        <w:t>深圳市龙吉顺实业发展有限公司。</w:t>
      </w:r>
      <w:r>
        <w:rPr>
          <w:rFonts w:hint="eastAsia" w:cs="宋体" w:asciiTheme="majorEastAsia" w:hAnsiTheme="majorEastAsia" w:eastAsiaTheme="majorEastAsia"/>
          <w:sz w:val="28"/>
          <w:szCs w:val="28"/>
        </w:rPr>
        <w:t>县域生活垃圾转运外包服务主要任务：将随县全域生活垃圾转运至万店镇垃圾焚烧场，各乡镇配备不低于一个18方移动垃圾压缩箱，每辆车配1个周转箱，6-8辆大型后八轮钩臂车辆，全年确保了垃圾日产日清。</w:t>
      </w:r>
    </w:p>
    <w:p>
      <w:pPr>
        <w:pStyle w:val="25"/>
        <w:adjustRightInd w:val="0"/>
        <w:snapToGrid w:val="0"/>
        <w:spacing w:line="360" w:lineRule="auto"/>
        <w:ind w:firstLine="560" w:firstLineChars="200"/>
        <w:rPr>
          <w:rFonts w:asciiTheme="majorEastAsia" w:hAnsiTheme="majorEastAsia" w:eastAsiaTheme="majorEastAsia"/>
          <w:color w:val="000000"/>
          <w:sz w:val="28"/>
          <w:szCs w:val="28"/>
        </w:rPr>
      </w:pPr>
      <w:r>
        <w:rPr>
          <w:rFonts w:asciiTheme="majorEastAsia" w:hAnsiTheme="majorEastAsia" w:eastAsiaTheme="majorEastAsia"/>
          <w:color w:val="000000"/>
          <w:sz w:val="28"/>
          <w:szCs w:val="28"/>
        </w:rPr>
        <w:t>项目单位绩效</w:t>
      </w:r>
      <w:r>
        <w:rPr>
          <w:rFonts w:hint="eastAsia" w:asciiTheme="majorEastAsia" w:hAnsiTheme="majorEastAsia" w:eastAsiaTheme="majorEastAsia"/>
          <w:color w:val="000000"/>
          <w:sz w:val="28"/>
          <w:szCs w:val="28"/>
        </w:rPr>
        <w:t>目标：</w:t>
      </w:r>
    </w:p>
    <w:p>
      <w:pPr>
        <w:pStyle w:val="25"/>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城区生活垃圾转运市场运行经费是一项保护环境、建设文明卫生城市、为子孙后代造福的公用事业工程,可解决随县生活垃圾无害化处理的完善配套,为城镇服务,为社会服务,可改善城区市容市貌,提高卫生水平,保护人民身体健康,同时可改善城区投资环境,吸引更多投资,促进城镇经济发展。</w:t>
      </w:r>
    </w:p>
    <w:p>
      <w:pPr>
        <w:pStyle w:val="25"/>
        <w:numPr>
          <w:ilvl w:val="0"/>
          <w:numId w:val="3"/>
        </w:numPr>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全年共转运生活垃圾8万余吨，无任何安全事故和责任事故。</w:t>
      </w:r>
    </w:p>
    <w:p>
      <w:pPr>
        <w:pStyle w:val="25"/>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改善清运车辆倾倒环境，及时购买砖渣及石渣对库区临时道路进行修整，一是减少了车辆进出轮胎经常被扎的情况发生；二是避免了清运车辆被陷于垃圾堆不能自拔的现象；三是减少了轮胎夹带垃圾污染道路的现象。</w:t>
      </w:r>
    </w:p>
    <w:p>
      <w:pPr>
        <w:pStyle w:val="25"/>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为了确保垃圾清运车辆有序倾倒，安全生产。专门打印了《致清运生活垃圾司机的一封信》50余份，发放给司机朋友，提出了在清运垃圾过程中应该注意的事项和要求，一是联络感情，共同搞好安全生产；二是规范其生产行为，共同维护好生活垃圾处理场的环境。</w:t>
      </w:r>
    </w:p>
    <w:p>
      <w:pPr>
        <w:pStyle w:val="25"/>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（4）强化日常管理，制定了一系列的规章制度，并督促落实，发挥效益，场区整体面貌发生了根本性的变化。</w:t>
      </w:r>
    </w:p>
    <w:p>
      <w:pPr>
        <w:adjustRightInd w:val="0"/>
        <w:snapToGrid w:val="0"/>
        <w:spacing w:line="360" w:lineRule="auto"/>
        <w:ind w:firstLine="790" w:firstLineChars="281"/>
        <w:outlineLvl w:val="0"/>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2、项目实施情况</w:t>
      </w:r>
    </w:p>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本次评价范围是2021年1月1日至2021年12月31日全年的城区生活垃圾转运市场运行经费，全面了解在评价时段内该项目运行的实际情况。对财政资金使用的合规性、项目管理状况和项目产出效果进行分析，总结项目取得的成果及存在的问题，提高财政资金的使用质量与效率。</w:t>
      </w:r>
    </w:p>
    <w:p>
      <w:pPr>
        <w:pStyle w:val="25"/>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宋体" w:asciiTheme="majorEastAsia" w:hAnsiTheme="majorEastAsia" w:eastAsiaTheme="majorEastAsia"/>
          <w:sz w:val="28"/>
          <w:szCs w:val="28"/>
        </w:rPr>
        <w:t>根据随县城市管理执法局提供的相关资料，2021年城区生活垃圾转运市场运行经费专款专用，管理情况良好，支出费用严格按照《政府会计制度》执行。</w:t>
      </w:r>
    </w:p>
    <w:p>
      <w:pPr>
        <w:adjustRightInd w:val="0"/>
        <w:snapToGrid w:val="0"/>
        <w:spacing w:line="360" w:lineRule="auto"/>
        <w:ind w:firstLine="790" w:firstLineChars="281"/>
        <w:outlineLvl w:val="0"/>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3、经费来源和使用情况</w:t>
      </w:r>
    </w:p>
    <w:p>
      <w:pPr>
        <w:pStyle w:val="25"/>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2021年城区生活垃圾转运市场运行经费项目预算900万元,截止2021年底随县财政拨付900万元,支出功能为城乡社区环境卫生。</w:t>
      </w:r>
    </w:p>
    <w:tbl>
      <w:tblPr>
        <w:tblStyle w:val="13"/>
        <w:tblW w:w="8911" w:type="dxa"/>
        <w:tblInd w:w="93" w:type="dxa"/>
        <w:tblLayout w:type="fixed"/>
        <w:tblCellMar>
          <w:top w:w="0" w:type="dxa"/>
          <w:left w:w="108" w:type="dxa"/>
          <w:bottom w:w="0" w:type="dxa"/>
          <w:right w:w="108" w:type="dxa"/>
        </w:tblCellMar>
      </w:tblPr>
      <w:tblGrid>
        <w:gridCol w:w="2025"/>
        <w:gridCol w:w="1860"/>
        <w:gridCol w:w="1425"/>
        <w:gridCol w:w="1215"/>
        <w:gridCol w:w="1395"/>
        <w:gridCol w:w="991"/>
      </w:tblGrid>
      <w:tr>
        <w:tblPrEx>
          <w:tblCellMar>
            <w:top w:w="0" w:type="dxa"/>
            <w:left w:w="108" w:type="dxa"/>
            <w:bottom w:w="0" w:type="dxa"/>
            <w:right w:w="108" w:type="dxa"/>
          </w:tblCellMar>
        </w:tblPrEx>
        <w:trPr>
          <w:trHeight w:val="700" w:hRule="atLeast"/>
        </w:trPr>
        <w:tc>
          <w:tcPr>
            <w:tcW w:w="7920" w:type="dxa"/>
            <w:gridSpan w:val="5"/>
            <w:tcBorders>
              <w:top w:val="nil"/>
              <w:left w:val="nil"/>
              <w:bottom w:val="nil"/>
              <w:right w:val="nil"/>
            </w:tcBorders>
            <w:shd w:val="clear" w:color="auto" w:fill="auto"/>
            <w:vAlign w:val="center"/>
          </w:tcPr>
          <w:p>
            <w:pPr>
              <w:widowControl/>
              <w:adjustRightInd w:val="0"/>
              <w:snapToGrid w:val="0"/>
              <w:spacing w:line="36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 xml:space="preserve"> 随县县域生活垃圾转运月2021年汇总表</w:t>
            </w:r>
          </w:p>
        </w:tc>
        <w:tc>
          <w:tcPr>
            <w:tcW w:w="991" w:type="dxa"/>
            <w:tcBorders>
              <w:top w:val="nil"/>
              <w:left w:val="nil"/>
              <w:bottom w:val="nil"/>
              <w:right w:val="nil"/>
            </w:tcBorders>
            <w:shd w:val="clear" w:color="auto" w:fill="auto"/>
            <w:noWrap/>
            <w:vAlign w:val="center"/>
          </w:tcPr>
          <w:p>
            <w:pPr>
              <w:adjustRightInd w:val="0"/>
              <w:snapToGrid w:val="0"/>
              <w:spacing w:line="360" w:lineRule="auto"/>
              <w:rPr>
                <w:rFonts w:ascii="宋体" w:hAnsi="宋体" w:cs="宋体"/>
                <w:color w:val="000000"/>
                <w:sz w:val="24"/>
                <w:szCs w:val="24"/>
              </w:rPr>
            </w:pPr>
          </w:p>
        </w:tc>
      </w:tr>
      <w:tr>
        <w:tblPrEx>
          <w:tblCellMar>
            <w:top w:w="0" w:type="dxa"/>
            <w:left w:w="108" w:type="dxa"/>
            <w:bottom w:w="0" w:type="dxa"/>
            <w:right w:w="108" w:type="dxa"/>
          </w:tblCellMar>
        </w:tblPrEx>
        <w:trPr>
          <w:trHeight w:val="700" w:hRule="atLeast"/>
        </w:trPr>
        <w:tc>
          <w:tcPr>
            <w:tcW w:w="8911" w:type="dxa"/>
            <w:gridSpan w:val="6"/>
            <w:tcBorders>
              <w:top w:val="nil"/>
              <w:left w:val="nil"/>
              <w:bottom w:val="nil"/>
              <w:right w:val="nil"/>
            </w:tcBorders>
            <w:shd w:val="clear" w:color="auto" w:fill="auto"/>
            <w:vAlign w:val="center"/>
          </w:tcPr>
          <w:p>
            <w:pPr>
              <w:widowControl/>
              <w:adjustRightInd w:val="0"/>
              <w:snapToGrid w:val="0"/>
              <w:spacing w:line="360" w:lineRule="auto"/>
              <w:jc w:val="left"/>
              <w:textAlignment w:val="center"/>
              <w:rPr>
                <w:rFonts w:ascii="宋体" w:hAnsi="宋体" w:cs="宋体"/>
                <w:color w:val="000000"/>
                <w:szCs w:val="21"/>
              </w:rPr>
            </w:pPr>
            <w:r>
              <w:rPr>
                <w:rFonts w:hint="eastAsia" w:ascii="宋体" w:hAnsi="宋体" w:cs="宋体"/>
                <w:color w:val="000000"/>
                <w:kern w:val="0"/>
                <w:szCs w:val="21"/>
              </w:rPr>
              <w:t>月承包费计算方式：（1-5月）1.74元/吨/公里*50.2公里*月垃圾量/（6-8月）1.74元/吨/公里*64.1公里*月垃圾量/（9-12月）1.74元/吨/公里*62.5公里*月垃圾量/</w:t>
            </w:r>
          </w:p>
        </w:tc>
      </w:tr>
      <w:tr>
        <w:tblPrEx>
          <w:tblCellMar>
            <w:top w:w="0" w:type="dxa"/>
            <w:left w:w="108" w:type="dxa"/>
            <w:bottom w:w="0" w:type="dxa"/>
            <w:right w:w="108" w:type="dxa"/>
          </w:tblCellMar>
        </w:tblPrEx>
        <w:trPr>
          <w:trHeight w:val="900"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月份</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月垃圾量（吨）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月承包费（万元）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扣款金额（万元）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结算支付（万元）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当年支付（万元）</w:t>
            </w: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 xml:space="preserve">9520.450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83.16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83.16</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w:t>
            </w: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 xml:space="preserve">11887.680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103.84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103.84</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8540.655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74.6</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7870.56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68.75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68.7</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2021.5.1-5.23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5861.175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51.2</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0.045</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66.465</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2021.5.23-5.31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1752.29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15.31</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6026.56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67.22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0.035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67.185</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283</w:t>
            </w: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6189.23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69.03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0.03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 xml:space="preserve">69.00 </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6150.81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68.6</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7229.04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78.62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78.57</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2121.10.1-10.27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6432.48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69.95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77.68</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215.95</w:t>
            </w: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2021.10.28-10.31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 xml:space="preserve">885.48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7.73</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2021.11.1-11.19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4385.8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38.31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64.17</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2021.11.20-11.30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2377.67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25.86</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2021.12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6817.16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74.14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0.04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74.1</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jc w:val="center"/>
              <w:rPr>
                <w:rFonts w:cs="宋体" w:asciiTheme="majorEastAsia" w:hAnsiTheme="majorEastAsia" w:eastAsiaTheme="majorEastAsia"/>
                <w:color w:val="000000"/>
                <w:szCs w:val="21"/>
              </w:rPr>
            </w:pPr>
          </w:p>
        </w:tc>
      </w:tr>
      <w:tr>
        <w:tblPrEx>
          <w:tblCellMar>
            <w:top w:w="0" w:type="dxa"/>
            <w:left w:w="108" w:type="dxa"/>
            <w:bottom w:w="0" w:type="dxa"/>
            <w:right w:w="108" w:type="dxa"/>
          </w:tblCellMar>
        </w:tblPrEx>
        <w:trPr>
          <w:trHeight w:val="28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合计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91927.04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896.32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0.25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896.07</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498.95</w:t>
            </w:r>
          </w:p>
        </w:tc>
      </w:tr>
    </w:tbl>
    <w:p>
      <w:pPr>
        <w:pStyle w:val="25"/>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根据随县城市管理执法局提供的资料，2021年 城区生活垃圾转运市场运行经费项目资金结算支出896.07万元，实际支出498.95万元，剩余款项2022年支付。资金全部用于深圳市龙吉顺实业发展有限公司的日常运行，包括人员费、水电费、办公费、交通费、资产购置、购买药水费等方面,专款专用率百分之百。</w:t>
      </w:r>
    </w:p>
    <w:p>
      <w:pPr>
        <w:widowControl/>
        <w:adjustRightInd w:val="0"/>
        <w:snapToGrid w:val="0"/>
        <w:spacing w:line="360" w:lineRule="auto"/>
        <w:textAlignment w:val="center"/>
        <w:rPr>
          <w:rFonts w:ascii="宋体" w:hAnsi="宋体" w:cs="宋体"/>
          <w:b/>
          <w:color w:val="000000"/>
          <w:kern w:val="0"/>
          <w:sz w:val="28"/>
          <w:szCs w:val="28"/>
        </w:rPr>
      </w:pPr>
      <w:r>
        <w:rPr>
          <w:rFonts w:hint="eastAsia" w:ascii="宋体" w:hAnsi="宋体" w:cs="宋体"/>
          <w:color w:val="000000"/>
          <w:sz w:val="28"/>
          <w:szCs w:val="28"/>
          <w:shd w:val="clear" w:color="auto" w:fill="FFFFFF"/>
        </w:rPr>
        <w:t xml:space="preserve">   </w:t>
      </w:r>
      <w:r>
        <w:rPr>
          <w:rFonts w:hint="eastAsia" w:ascii="宋体" w:hAnsi="宋体" w:cs="宋体"/>
          <w:b/>
          <w:bCs/>
          <w:color w:val="333333"/>
          <w:kern w:val="0"/>
          <w:sz w:val="28"/>
          <w:szCs w:val="28"/>
          <w:shd w:val="clear" w:color="auto" w:fill="FFFFFF"/>
        </w:rPr>
        <w:t xml:space="preserve">二、绩效评价工作情况 </w:t>
      </w:r>
      <w:r>
        <w:rPr>
          <w:rFonts w:hint="eastAsia" w:ascii="宋体" w:hAnsi="宋体" w:cs="宋体"/>
          <w:b/>
          <w:bCs/>
          <w:color w:val="333333"/>
          <w:kern w:val="0"/>
          <w:sz w:val="28"/>
          <w:szCs w:val="28"/>
          <w:shd w:val="clear" w:color="auto" w:fill="FFFFFF"/>
        </w:rPr>
        <w:br w:type="textWrapping"/>
      </w:r>
      <w:r>
        <w:rPr>
          <w:rFonts w:hint="eastAsia" w:ascii="宋体" w:hAnsi="宋体" w:cs="宋体"/>
          <w:b/>
          <w:bCs/>
          <w:color w:val="333333"/>
          <w:kern w:val="0"/>
          <w:sz w:val="28"/>
          <w:szCs w:val="28"/>
          <w:shd w:val="clear" w:color="auto" w:fill="FFFFFF"/>
        </w:rPr>
        <w:t xml:space="preserve">  </w:t>
      </w:r>
      <w:r>
        <w:rPr>
          <w:rFonts w:hint="eastAsia" w:ascii="宋体" w:hAnsi="宋体" w:cs="宋体"/>
          <w:b/>
          <w:color w:val="000000"/>
          <w:kern w:val="0"/>
          <w:sz w:val="28"/>
          <w:szCs w:val="28"/>
        </w:rPr>
        <w:t>（一）评价目的</w:t>
      </w:r>
    </w:p>
    <w:p>
      <w:pPr>
        <w:adjustRightInd w:val="0"/>
        <w:snapToGrid w:val="0"/>
        <w:spacing w:line="360" w:lineRule="auto"/>
        <w:textAlignment w:val="center"/>
        <w:rPr>
          <w:rFonts w:ascii="宋体" w:hAnsi="宋体" w:cs="宋体"/>
          <w:color w:val="000000"/>
          <w:sz w:val="28"/>
          <w:szCs w:val="28"/>
          <w:shd w:val="clear" w:color="auto" w:fill="FFFFFF"/>
        </w:rPr>
      </w:pPr>
      <w:r>
        <w:rPr>
          <w:rFonts w:hint="eastAsia" w:ascii="宋体" w:hAnsi="宋体" w:cs="宋体"/>
          <w:color w:val="000000"/>
          <w:kern w:val="0"/>
          <w:sz w:val="28"/>
          <w:szCs w:val="28"/>
        </w:rPr>
        <w:t xml:space="preserve">    通过绩效评价，调查了解随县城市管理执法局项目支出是否达到了绩效目</w:t>
      </w:r>
      <w:r>
        <w:rPr>
          <w:rFonts w:hint="eastAsia" w:ascii="宋体" w:hAnsi="宋体" w:cs="宋体"/>
          <w:color w:val="000000"/>
          <w:sz w:val="28"/>
          <w:szCs w:val="28"/>
          <w:shd w:val="clear" w:color="auto" w:fill="FFFFFF"/>
        </w:rPr>
        <w:t>标，分析衡量财政资金使用的效率、效益和效果，探索项目支出预算绩效管理方式，及时总结经验、分析存在的问题，采取措施进一步改进和加强财政支出管理，切实提高财政资金使用效益。同时，促使随县城市管理执法局加强规划管理，促进随县旅游业发展进步。</w:t>
      </w:r>
    </w:p>
    <w:p>
      <w:pPr>
        <w:adjustRightInd w:val="0"/>
        <w:snapToGrid w:val="0"/>
        <w:spacing w:line="360" w:lineRule="auto"/>
        <w:textAlignment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（二）绩效评价设计过程</w:t>
      </w:r>
    </w:p>
    <w:p>
      <w:pPr>
        <w:adjustRightInd w:val="0"/>
        <w:snapToGrid w:val="0"/>
        <w:spacing w:line="360" w:lineRule="auto"/>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    为了认真做好</w:t>
      </w:r>
      <w:r>
        <w:rPr>
          <w:rFonts w:hint="eastAsia" w:ascii="宋体" w:hAnsi="宋体" w:cs="宋体"/>
          <w:color w:val="000000"/>
          <w:kern w:val="0"/>
          <w:sz w:val="28"/>
          <w:szCs w:val="28"/>
        </w:rPr>
        <w:t>随县城市管理执法局</w:t>
      </w:r>
      <w:r>
        <w:rPr>
          <w:rFonts w:hint="eastAsia" w:ascii="宋体" w:hAnsi="宋体" w:cs="宋体"/>
          <w:color w:val="000000"/>
          <w:sz w:val="28"/>
          <w:szCs w:val="28"/>
          <w:shd w:val="clear" w:color="auto" w:fill="FFFFFF"/>
        </w:rPr>
        <w:t>2021年度城区生活垃圾转运市场运行经费项目支出绩效评价工作，确保评价工作顺利进行，此次评价过程中制定了详实的评价实施方案和工作计划，具体工作过程如下：</w:t>
      </w:r>
    </w:p>
    <w:p>
      <w:pPr>
        <w:adjustRightInd w:val="0"/>
        <w:snapToGrid w:val="0"/>
        <w:spacing w:line="360" w:lineRule="auto"/>
        <w:ind w:firstLine="280" w:firstLineChars="100"/>
        <w:textAlignment w:val="center"/>
        <w:rPr>
          <w:rFonts w:ascii="宋体" w:hAnsi="宋体" w:cs="宋体"/>
          <w:b/>
          <w:color w:val="000000"/>
          <w:sz w:val="28"/>
          <w:szCs w:val="28"/>
          <w:shd w:val="clear" w:color="auto" w:fill="FFFFFF"/>
        </w:rPr>
      </w:pPr>
      <w:r>
        <w:rPr>
          <w:rFonts w:hint="eastAsia" w:ascii="宋体" w:hAnsi="宋体" w:cs="宋体"/>
          <w:color w:val="000000"/>
          <w:sz w:val="28"/>
          <w:szCs w:val="28"/>
          <w:shd w:val="clear" w:color="auto" w:fill="FFFFFF"/>
        </w:rPr>
        <w:t xml:space="preserve">  </w:t>
      </w:r>
      <w:r>
        <w:rPr>
          <w:rFonts w:hint="eastAsia" w:ascii="宋体" w:hAnsi="宋体" w:cs="宋体"/>
          <w:b/>
          <w:color w:val="000000"/>
          <w:sz w:val="28"/>
          <w:szCs w:val="28"/>
          <w:shd w:val="clear" w:color="auto" w:fill="FFFFFF"/>
        </w:rPr>
        <w:t>1、前期准备（2022年11月）</w:t>
      </w:r>
    </w:p>
    <w:p>
      <w:pPr>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承接项目，所里成立评价工作组，组织相关人员开展绩效评价相关文件和业务培训学习，明确评价小组各成员的职责分工。</w:t>
      </w:r>
    </w:p>
    <w:p>
      <w:pPr>
        <w:adjustRightInd w:val="0"/>
        <w:snapToGrid w:val="0"/>
        <w:spacing w:line="360" w:lineRule="auto"/>
        <w:ind w:firstLine="562" w:firstLineChars="200"/>
        <w:textAlignment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2、组织实施（11月——12月）</w:t>
      </w:r>
    </w:p>
    <w:p>
      <w:pPr>
        <w:adjustRightInd w:val="0"/>
        <w:snapToGrid w:val="0"/>
        <w:spacing w:line="360" w:lineRule="auto"/>
        <w:ind w:firstLine="627" w:firstLineChars="224"/>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eq \o\ac(</w:instrText>
      </w:r>
      <w:r>
        <w:rPr>
          <w:rFonts w:hint="eastAsia" w:ascii="宋体" w:hAnsi="宋体" w:cs="宋体"/>
          <w:color w:val="000000"/>
          <w:position w:val="-4"/>
          <w:sz w:val="28"/>
          <w:szCs w:val="28"/>
          <w:shd w:val="clear" w:color="auto" w:fill="FFFFFF"/>
        </w:rPr>
        <w:instrText xml:space="preserve">○</w:instrText>
      </w:r>
      <w:r>
        <w:rPr>
          <w:rFonts w:hint="eastAsia" w:ascii="宋体" w:hAnsi="宋体" w:cs="宋体"/>
          <w:color w:val="000000"/>
          <w:sz w:val="28"/>
          <w:szCs w:val="28"/>
          <w:shd w:val="clear" w:color="auto" w:fill="FFFFFF"/>
        </w:rPr>
        <w:instrText xml:space="preserve">,1)</w:instrText>
      </w:r>
      <w:r>
        <w:rPr>
          <w:rFonts w:hint="eastAsia"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书面审核。评价小组对收集的相关基础资料和报送的自评报告及相关依据证据材料的完整性、及时性、有效性进行审核，初步了解项目实施情况。</w:t>
      </w:r>
    </w:p>
    <w:p>
      <w:pPr>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eq \o\ac(</w:instrText>
      </w:r>
      <w:r>
        <w:rPr>
          <w:rFonts w:hint="eastAsia" w:ascii="宋体" w:hAnsi="宋体" w:cs="宋体"/>
          <w:color w:val="000000"/>
          <w:position w:val="-4"/>
          <w:sz w:val="28"/>
          <w:szCs w:val="28"/>
          <w:shd w:val="clear" w:color="auto" w:fill="FFFFFF"/>
        </w:rPr>
        <w:instrText xml:space="preserve">○</w:instrText>
      </w:r>
      <w:r>
        <w:rPr>
          <w:rFonts w:hint="eastAsia" w:ascii="宋体" w:hAnsi="宋体" w:cs="宋体"/>
          <w:color w:val="000000"/>
          <w:sz w:val="28"/>
          <w:szCs w:val="28"/>
          <w:shd w:val="clear" w:color="auto" w:fill="FFFFFF"/>
        </w:rPr>
        <w:instrText xml:space="preserve">,2)</w:instrText>
      </w:r>
      <w:r>
        <w:rPr>
          <w:rFonts w:hint="eastAsia"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现场核查。评价小组结合自评报告，按照项目资金的使用去向进行现场核查。一是从投入管理、业务管理、财务管理及项目资金使用的经济性、效率性、有效性进行核查，采集相关依据证据资料，采用计划标准、历史标准等评价标准，运用比较法、成本效益分析法等评价方法，进行评价分析，并完成评价工作底稿；二是设计访谈提纲和调查问卷，组织开展现场访谈、问卷调查并进行相关分析，作出调查结论。</w:t>
      </w:r>
    </w:p>
    <w:p>
      <w:pPr>
        <w:adjustRightInd w:val="0"/>
        <w:snapToGrid w:val="0"/>
        <w:spacing w:line="360" w:lineRule="auto"/>
        <w:ind w:firstLine="420" w:firstLineChars="15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fldChar w:fldCharType="begin"/>
      </w:r>
      <w:r>
        <w:rPr>
          <w:rFonts w:hint="eastAsia" w:ascii="宋体" w:hAnsi="宋体" w:cs="宋体"/>
          <w:color w:val="000000"/>
          <w:sz w:val="28"/>
          <w:szCs w:val="28"/>
          <w:shd w:val="clear" w:color="auto" w:fill="FFFFFF"/>
        </w:rPr>
        <w:instrText xml:space="preserve">eq \o\ac(</w:instrText>
      </w:r>
      <w:r>
        <w:rPr>
          <w:rFonts w:hint="eastAsia" w:ascii="宋体" w:hAnsi="宋体" w:cs="宋体"/>
          <w:color w:val="000000"/>
          <w:position w:val="-4"/>
          <w:sz w:val="28"/>
          <w:szCs w:val="28"/>
          <w:shd w:val="clear" w:color="auto" w:fill="FFFFFF"/>
        </w:rPr>
        <w:instrText xml:space="preserve">○</w:instrText>
      </w:r>
      <w:r>
        <w:rPr>
          <w:rFonts w:hint="eastAsia" w:ascii="宋体" w:hAnsi="宋体" w:cs="宋体"/>
          <w:color w:val="000000"/>
          <w:sz w:val="28"/>
          <w:szCs w:val="28"/>
          <w:shd w:val="clear" w:color="auto" w:fill="FFFFFF"/>
        </w:rPr>
        <w:instrText xml:space="preserve">,3)</w:instrText>
      </w:r>
      <w:r>
        <w:rPr>
          <w:rFonts w:hint="eastAsia" w:ascii="宋体" w:hAnsi="宋体" w:cs="宋体"/>
          <w:color w:val="000000"/>
          <w:sz w:val="28"/>
          <w:szCs w:val="28"/>
          <w:shd w:val="clear" w:color="auto" w:fill="FFFFFF"/>
        </w:rPr>
        <w:fldChar w:fldCharType="end"/>
      </w:r>
      <w:r>
        <w:rPr>
          <w:rFonts w:hint="eastAsia" w:ascii="宋体" w:hAnsi="宋体" w:cs="宋体"/>
          <w:color w:val="000000"/>
          <w:sz w:val="28"/>
          <w:szCs w:val="28"/>
          <w:shd w:val="clear" w:color="auto" w:fill="FFFFFF"/>
        </w:rPr>
        <w:t>评价分析和撰写评价报告。（12月）一是整理书面审核和现场核查情况，对照绩效评价指标及评分细则进行评价打分，并按确定的权重配比通过加权平均法确定绩效评价初步结果；二是根据初步评价结果在综合分析的基础上拟定绩效评价报告初稿，分布提交县财政局、被评单位征求意见。评价小组根据各方书面反馈意见对报告修改完善后，形成绩效评价报告报县财政局。</w:t>
      </w:r>
    </w:p>
    <w:p>
      <w:pPr>
        <w:adjustRightInd w:val="0"/>
        <w:snapToGrid w:val="0"/>
        <w:spacing w:line="360" w:lineRule="auto"/>
        <w:ind w:firstLine="562" w:firstLineChars="200"/>
        <w:textAlignment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（三）绩效评价框架</w:t>
      </w:r>
    </w:p>
    <w:p>
      <w:pPr>
        <w:adjustRightInd w:val="0"/>
        <w:snapToGrid w:val="0"/>
        <w:spacing w:line="360" w:lineRule="auto"/>
        <w:ind w:firstLine="509"/>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绩效评价坚持客观公正，实事求是的原则，评价指标体系和绩效评价标准严格按照财政部制定的财政支出绩效评价共性指标体系框架、中注协发布《会计师事务所财政支出绩效评价业务指引》制定的财政支出（项目支出）绩效评价操作指引（试行）进行评价，评价方法采用比较法和专家评议法，采用项目研究、资料收集、实地调研、座谈会以及问卷调查等证据收集方法，开展此次绩效评价。</w:t>
      </w:r>
    </w:p>
    <w:p>
      <w:pPr>
        <w:adjustRightInd w:val="0"/>
        <w:snapToGrid w:val="0"/>
        <w:spacing w:line="360" w:lineRule="auto"/>
        <w:ind w:firstLine="562" w:firstLineChars="200"/>
        <w:textAlignment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1、评价原则</w:t>
      </w:r>
    </w:p>
    <w:p>
      <w:pPr>
        <w:adjustRightInd w:val="0"/>
        <w:snapToGrid w:val="0"/>
        <w:spacing w:line="360" w:lineRule="auto"/>
        <w:ind w:firstLine="420" w:firstLineChars="15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（1）科学规范原则。绩效评价应当严格执行规定的程序，按照科学可行的要求，采用定量与定性分析相结合的方法。</w:t>
      </w:r>
    </w:p>
    <w:p>
      <w:pPr>
        <w:adjustRightInd w:val="0"/>
        <w:snapToGrid w:val="0"/>
        <w:spacing w:line="360" w:lineRule="auto"/>
        <w:ind w:firstLine="420" w:firstLineChars="15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（2）公正公开原则。绩效评价应当符合真实、客观、公正的要求，依法公开并接受监督。</w:t>
      </w:r>
    </w:p>
    <w:p>
      <w:pPr>
        <w:adjustRightInd w:val="0"/>
        <w:snapToGrid w:val="0"/>
        <w:spacing w:line="360" w:lineRule="auto"/>
        <w:ind w:firstLine="420" w:firstLineChars="15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（3）分级分类原则。绩效评价由各级财政部门、各预算部门根据评价对象的特点分类组织实施。</w:t>
      </w:r>
    </w:p>
    <w:p>
      <w:pPr>
        <w:adjustRightInd w:val="0"/>
        <w:snapToGrid w:val="0"/>
        <w:spacing w:line="360" w:lineRule="auto"/>
        <w:ind w:firstLine="420" w:firstLineChars="15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（4）绩效相关原则。绩效评价应当针对具体支出及其产出绩效进行，评价结果应当清晰反映支出和产出绩效之间的紧密对应关系。</w:t>
      </w:r>
    </w:p>
    <w:p>
      <w:pPr>
        <w:adjustRightInd w:val="0"/>
        <w:snapToGrid w:val="0"/>
        <w:spacing w:line="360" w:lineRule="auto"/>
        <w:ind w:firstLine="562" w:firstLineChars="200"/>
        <w:textAlignment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2、评价指标体系设计</w:t>
      </w:r>
    </w:p>
    <w:p>
      <w:pPr>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按照以下思路确定评价内容并设计评价指标体系：</w:t>
      </w:r>
    </w:p>
    <w:p>
      <w:pPr>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（1）投入管理。主要指目标设定、预算配置情况。目标设定重点评价绩效目标的合理性和绩效指标的明确性。</w:t>
      </w:r>
    </w:p>
    <w:p>
      <w:pPr>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（2）过程管理。主要指预算执行、预算管理情况。评价管理制度健全性、资金使用合规性、预决算信息公开性和基础信息完善性。</w:t>
      </w:r>
    </w:p>
    <w:p>
      <w:pPr>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（3）产出管理。主要指部门职责履行情况，重点评价实际完成率、完成及时率、质量达标率和重点工作办结率。</w:t>
      </w:r>
    </w:p>
    <w:p>
      <w:pPr>
        <w:adjustRightInd w:val="0"/>
        <w:snapToGrid w:val="0"/>
        <w:spacing w:line="360" w:lineRule="auto"/>
        <w:ind w:firstLine="560" w:firstLineChars="200"/>
        <w:textAlignment w:val="cente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（4）效果管理。主要从经济性、有效性及社会公众或服务对象社会满意度进行评价。</w:t>
      </w:r>
    </w:p>
    <w:p>
      <w:pPr>
        <w:adjustRightInd w:val="0"/>
        <w:snapToGrid w:val="0"/>
        <w:spacing w:line="360" w:lineRule="auto"/>
        <w:ind w:firstLine="840" w:firstLineChars="300"/>
        <w:jc w:val="left"/>
        <w:rPr>
          <w:rFonts w:ascii="宋体" w:hAnsi="宋体" w:cs="宋体"/>
          <w:bCs/>
          <w:sz w:val="28"/>
          <w:szCs w:val="28"/>
        </w:rPr>
      </w:pPr>
      <w:r>
        <w:rPr>
          <w:rFonts w:hint="eastAsia" w:ascii="宋体" w:hAnsi="宋体" w:cs="宋体"/>
          <w:color w:val="000000"/>
          <w:sz w:val="28"/>
          <w:szCs w:val="28"/>
          <w:shd w:val="clear" w:color="auto" w:fill="FFFFFF"/>
        </w:rPr>
        <w:t>我们结合项目的实际情况，在进行现场察看、调查了解、分析项目相关资料的基础上，拟定了项目绩效评价指标体系，具体情况如</w:t>
      </w:r>
      <w:r>
        <w:rPr>
          <w:rFonts w:hint="eastAsia" w:ascii="宋体" w:hAnsi="宋体" w:cs="宋体"/>
          <w:bCs/>
          <w:sz w:val="28"/>
          <w:szCs w:val="28"/>
        </w:rPr>
        <w:t>下表：</w:t>
      </w: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Cs/>
          <w:sz w:val="24"/>
          <w:szCs w:val="24"/>
        </w:rPr>
      </w:pPr>
    </w:p>
    <w:p>
      <w:pPr>
        <w:spacing w:line="360" w:lineRule="auto"/>
        <w:jc w:val="center"/>
        <w:rPr>
          <w:rFonts w:ascii="宋体" w:hAnsi="宋体" w:cs="宋体"/>
          <w:b/>
          <w:bCs/>
          <w:sz w:val="24"/>
          <w:szCs w:val="24"/>
        </w:rPr>
      </w:pPr>
      <w:r>
        <w:rPr>
          <w:rFonts w:hint="eastAsia" w:ascii="宋体" w:hAnsi="宋体" w:cs="宋体"/>
          <w:b/>
          <w:bCs/>
          <w:sz w:val="24"/>
          <w:szCs w:val="24"/>
        </w:rPr>
        <w:t>绩效评价指标体系表</w:t>
      </w:r>
    </w:p>
    <w:tbl>
      <w:tblPr>
        <w:tblStyle w:val="13"/>
        <w:tblW w:w="9551" w:type="dxa"/>
        <w:tblInd w:w="-229" w:type="dxa"/>
        <w:tblLayout w:type="fixed"/>
        <w:tblCellMar>
          <w:top w:w="0" w:type="dxa"/>
          <w:left w:w="108" w:type="dxa"/>
          <w:bottom w:w="0" w:type="dxa"/>
          <w:right w:w="108" w:type="dxa"/>
        </w:tblCellMar>
      </w:tblPr>
      <w:tblGrid>
        <w:gridCol w:w="716"/>
        <w:gridCol w:w="1017"/>
        <w:gridCol w:w="1517"/>
        <w:gridCol w:w="3100"/>
        <w:gridCol w:w="633"/>
        <w:gridCol w:w="2568"/>
      </w:tblGrid>
      <w:tr>
        <w:tblPrEx>
          <w:tblCellMar>
            <w:top w:w="0" w:type="dxa"/>
            <w:left w:w="108" w:type="dxa"/>
            <w:bottom w:w="0" w:type="dxa"/>
            <w:right w:w="108" w:type="dxa"/>
          </w:tblCellMar>
        </w:tblPrEx>
        <w:trPr>
          <w:trHeight w:val="495" w:hRule="atLeast"/>
        </w:trPr>
        <w:tc>
          <w:tcPr>
            <w:tcW w:w="716" w:type="dxa"/>
            <w:tcBorders>
              <w:top w:val="single" w:color="000000" w:sz="8" w:space="0"/>
              <w:left w:val="single" w:color="000000" w:sz="8" w:space="0"/>
              <w:bottom w:val="single" w:color="000000" w:sz="8"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1017" w:type="dxa"/>
            <w:tcBorders>
              <w:top w:val="single" w:color="000000" w:sz="8" w:space="0"/>
              <w:left w:val="single" w:color="000000" w:sz="8" w:space="0"/>
              <w:bottom w:val="single" w:color="000000" w:sz="8"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517" w:type="dxa"/>
            <w:tcBorders>
              <w:top w:val="single" w:color="000000" w:sz="8" w:space="0"/>
              <w:left w:val="single" w:color="000000" w:sz="8" w:space="0"/>
              <w:bottom w:val="single" w:color="000000" w:sz="8"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三级指标内容</w:t>
            </w:r>
          </w:p>
        </w:tc>
        <w:tc>
          <w:tcPr>
            <w:tcW w:w="31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指标说明</w:t>
            </w:r>
          </w:p>
        </w:tc>
        <w:tc>
          <w:tcPr>
            <w:tcW w:w="63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分值</w:t>
            </w:r>
          </w:p>
        </w:tc>
        <w:tc>
          <w:tcPr>
            <w:tcW w:w="256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评分标准</w:t>
            </w:r>
          </w:p>
        </w:tc>
      </w:tr>
      <w:tr>
        <w:tblPrEx>
          <w:tblCellMar>
            <w:top w:w="0" w:type="dxa"/>
            <w:left w:w="108" w:type="dxa"/>
            <w:bottom w:w="0" w:type="dxa"/>
            <w:right w:w="108" w:type="dxa"/>
          </w:tblCellMar>
        </w:tblPrEx>
        <w:trPr>
          <w:trHeight w:val="400" w:hRule="atLeast"/>
        </w:trPr>
        <w:tc>
          <w:tcPr>
            <w:tcW w:w="716" w:type="dxa"/>
            <w:vMerge w:val="restart"/>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决策（18）</w:t>
            </w:r>
          </w:p>
        </w:tc>
        <w:tc>
          <w:tcPr>
            <w:tcW w:w="1017" w:type="dxa"/>
            <w:vMerge w:val="restart"/>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p>
        </w:tc>
        <w:tc>
          <w:tcPr>
            <w:tcW w:w="1517"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立项依据充分性</w:t>
            </w: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①项目立项是否符合国家法律法规、国民经济发展规划和相关政策；</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68" w:type="dxa"/>
            <w:vMerge w:val="restart"/>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项目立项符合国家法律法规及相关政策计1分；符合行业发展规划和政策要求计1分；属于部门履职所需计1分。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②项目立项是否符合行业发展规划和政策要求；</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③项目立项是否与部门职责范围相符，属于部门履职所需；</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立项程序规范性</w:t>
            </w: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①项目是否按照规定的程序申请设立；</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68"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项目按照规定的程序申请设立计1分；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②审批文件、材料是否符合相关要求；</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审批材料符合要求计1分；</w:t>
            </w:r>
          </w:p>
        </w:tc>
      </w:tr>
      <w:tr>
        <w:tblPrEx>
          <w:tblCellMar>
            <w:top w:w="0" w:type="dxa"/>
            <w:left w:w="108" w:type="dxa"/>
            <w:bottom w:w="0" w:type="dxa"/>
            <w:right w:w="108" w:type="dxa"/>
          </w:tblCellMar>
        </w:tblPrEx>
        <w:trPr>
          <w:trHeight w:val="819"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③事前是否己经过必要的可行性研究、专家论证、风险评估、绩效评估、集体决策。</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项目经过必要的可行性研究计1分；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restart"/>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w:t>
            </w:r>
          </w:p>
        </w:tc>
        <w:tc>
          <w:tcPr>
            <w:tcW w:w="1517"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①项目是否有绩效目标，与实际工作内容是否具有相关性</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68"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项目有绩效目标，具有相关性计1分；</w:t>
            </w:r>
          </w:p>
        </w:tc>
      </w:tr>
      <w:tr>
        <w:tblPrEx>
          <w:tblCellMar>
            <w:top w:w="0" w:type="dxa"/>
            <w:left w:w="108" w:type="dxa"/>
            <w:bottom w:w="0" w:type="dxa"/>
            <w:right w:w="108" w:type="dxa"/>
          </w:tblCellMar>
        </w:tblPrEx>
        <w:trPr>
          <w:trHeight w:val="839"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②项目预期产出效益和效果是否符合正常的业绩水平</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项目预期产出效益和效果符合正常的业绩水平计1分；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③是否与预算确定的项目投资额或资金量相匹配</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项目与预算确定的项目投资额或资金量相匹配计1分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restart"/>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①是否将项目绩效目标细化分解为具体的绩效目标</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68" w:type="dxa"/>
            <w:vMerge w:val="restart"/>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绩效目标细化、清晰、可衡量计2分，绩效目标与项目目标任务数或计划数相对应计1分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②是否通过清晰、可衡量的指标值予以体现</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③是否与项目目标任务数或计划数相对应</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restart"/>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资金投入</w:t>
            </w:r>
          </w:p>
        </w:tc>
        <w:tc>
          <w:tcPr>
            <w:tcW w:w="1517" w:type="dxa"/>
            <w:vMerge w:val="restart"/>
            <w:tcBorders>
              <w:top w:val="nil"/>
              <w:left w:val="single" w:color="000000" w:sz="8" w:space="0"/>
              <w:bottom w:val="single" w:color="000000" w:sz="8" w:space="0"/>
              <w:right w:val="nil"/>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预算编制科学性</w:t>
            </w:r>
          </w:p>
        </w:tc>
        <w:tc>
          <w:tcPr>
            <w:tcW w:w="3100"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①预算编制是否经过科学论证</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68" w:type="dxa"/>
            <w:vMerge w:val="restart"/>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预算编制经过科学论证计1.5分，预算内容与项目内容匹配计1.5分。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continue"/>
            <w:tcBorders>
              <w:top w:val="nil"/>
              <w:left w:val="single" w:color="000000" w:sz="8" w:space="0"/>
              <w:bottom w:val="single" w:color="000000" w:sz="8" w:space="0"/>
              <w:right w:val="nil"/>
            </w:tcBorders>
            <w:vAlign w:val="center"/>
          </w:tcPr>
          <w:p>
            <w:pPr>
              <w:rPr>
                <w:rFonts w:ascii="宋体" w:hAnsi="宋体" w:cs="宋体"/>
                <w:color w:val="000000"/>
                <w:sz w:val="18"/>
                <w:szCs w:val="18"/>
              </w:rPr>
            </w:pPr>
          </w:p>
        </w:tc>
        <w:tc>
          <w:tcPr>
            <w:tcW w:w="3100"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②预算内容与项目内容是否匹配</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000000" w:sz="8" w:space="0"/>
              <w:right w:val="nil"/>
            </w:tcBorders>
            <w:vAlign w:val="center"/>
          </w:tcPr>
          <w:p>
            <w:pPr>
              <w:jc w:val="center"/>
              <w:rPr>
                <w:rFonts w:ascii="宋体" w:hAnsi="宋体" w:cs="宋体"/>
                <w:color w:val="000000"/>
                <w:sz w:val="18"/>
                <w:szCs w:val="18"/>
              </w:rPr>
            </w:pPr>
          </w:p>
        </w:tc>
        <w:tc>
          <w:tcPr>
            <w:tcW w:w="1517" w:type="dxa"/>
            <w:vMerge w:val="restart"/>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资金分配合理性</w:t>
            </w:r>
          </w:p>
        </w:tc>
        <w:tc>
          <w:tcPr>
            <w:tcW w:w="3100" w:type="dxa"/>
            <w:tcBorders>
              <w:top w:val="single" w:color="000000" w:sz="8"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①预算资金分配依据是否充分；</w:t>
            </w:r>
          </w:p>
        </w:tc>
        <w:tc>
          <w:tcPr>
            <w:tcW w:w="633"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68" w:type="dxa"/>
            <w:vMerge w:val="restart"/>
            <w:tcBorders>
              <w:top w:val="single" w:color="000000" w:sz="8" w:space="0"/>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资金分配依据充分、合理计3分</w:t>
            </w:r>
          </w:p>
        </w:tc>
      </w:tr>
      <w:tr>
        <w:tblPrEx>
          <w:tblCellMar>
            <w:top w:w="0" w:type="dxa"/>
            <w:left w:w="108" w:type="dxa"/>
            <w:bottom w:w="0" w:type="dxa"/>
            <w:right w:w="108" w:type="dxa"/>
          </w:tblCellMar>
        </w:tblPrEx>
        <w:trPr>
          <w:trHeight w:val="400" w:hRule="atLeast"/>
        </w:trPr>
        <w:tc>
          <w:tcPr>
            <w:tcW w:w="716" w:type="dxa"/>
            <w:vMerge w:val="continue"/>
            <w:tcBorders>
              <w:top w:val="nil"/>
              <w:left w:val="single" w:color="000000" w:sz="8" w:space="0"/>
              <w:bottom w:val="single" w:color="auto" w:sz="4" w:space="0"/>
              <w:right w:val="nil"/>
            </w:tcBorders>
            <w:vAlign w:val="center"/>
          </w:tcPr>
          <w:p>
            <w:pPr>
              <w:jc w:val="center"/>
              <w:rPr>
                <w:rFonts w:ascii="宋体" w:hAnsi="宋体" w:cs="宋体"/>
                <w:color w:val="000000"/>
                <w:sz w:val="18"/>
                <w:szCs w:val="18"/>
              </w:rPr>
            </w:pPr>
          </w:p>
        </w:tc>
        <w:tc>
          <w:tcPr>
            <w:tcW w:w="1017" w:type="dxa"/>
            <w:vMerge w:val="continue"/>
            <w:tcBorders>
              <w:top w:val="nil"/>
              <w:left w:val="single" w:color="000000" w:sz="8" w:space="0"/>
              <w:bottom w:val="single" w:color="auto" w:sz="4" w:space="0"/>
              <w:right w:val="nil"/>
            </w:tcBorders>
            <w:vAlign w:val="center"/>
          </w:tcPr>
          <w:p>
            <w:pPr>
              <w:jc w:val="center"/>
              <w:rPr>
                <w:rFonts w:ascii="宋体" w:hAnsi="宋体" w:cs="宋体"/>
                <w:color w:val="000000"/>
                <w:sz w:val="18"/>
                <w:szCs w:val="18"/>
              </w:rPr>
            </w:pPr>
          </w:p>
        </w:tc>
        <w:tc>
          <w:tcPr>
            <w:tcW w:w="1517" w:type="dxa"/>
            <w:vMerge w:val="continue"/>
            <w:tcBorders>
              <w:top w:val="single" w:color="000000" w:sz="8" w:space="0"/>
              <w:left w:val="single" w:color="000000" w:sz="8" w:space="0"/>
              <w:bottom w:val="single" w:color="auto" w:sz="4"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single" w:color="auto" w:sz="4"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②资金分配额度是否合理，与项目单位或地方实际是否相适应。</w:t>
            </w:r>
          </w:p>
        </w:tc>
        <w:tc>
          <w:tcPr>
            <w:tcW w:w="633" w:type="dxa"/>
            <w:vMerge w:val="continue"/>
            <w:tcBorders>
              <w:top w:val="single" w:color="000000" w:sz="8"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single" w:color="000000" w:sz="8" w:space="0"/>
              <w:left w:val="nil"/>
              <w:bottom w:val="single" w:color="auto" w:sz="4"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过程（20）</w:t>
            </w:r>
          </w:p>
        </w:tc>
        <w:tc>
          <w:tcPr>
            <w:tcW w:w="1017" w:type="dxa"/>
            <w:vMerge w:val="restart"/>
            <w:tcBorders>
              <w:top w:val="single" w:color="auto" w:sz="4" w:space="0"/>
              <w:left w:val="nil"/>
              <w:bottom w:val="single" w:color="auto" w:sz="4"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资金管理</w:t>
            </w:r>
          </w:p>
        </w:tc>
        <w:tc>
          <w:tcPr>
            <w:tcW w:w="1517" w:type="dxa"/>
            <w:vMerge w:val="restart"/>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资金到位率=（实际到位资金/预算资金）*100%</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68"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实际到位资金占计划投入资金的100%计4分；占90%以上计2分；占80%以上计1分；80%以下不得分。</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实际到位资金：一定时期（本年度或项目期）内落实到具体项目的资金。</w:t>
            </w: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c>
          <w:tcPr>
            <w:tcW w:w="3100" w:type="dxa"/>
            <w:vMerge w:val="restart"/>
            <w:tcBorders>
              <w:top w:val="single" w:color="auto" w:sz="4" w:space="0"/>
              <w:left w:val="single" w:color="auto" w:sz="4" w:space="0"/>
              <w:bottom w:val="single" w:color="auto" w:sz="4"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预算资金：一定时期（本年度或项目期）内预算安排到具体项目的资金。</w:t>
            </w:r>
          </w:p>
        </w:tc>
        <w:tc>
          <w:tcPr>
            <w:tcW w:w="633"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c>
          <w:tcPr>
            <w:tcW w:w="3100" w:type="dxa"/>
            <w:vMerge w:val="continue"/>
            <w:tcBorders>
              <w:top w:val="single" w:color="auto" w:sz="4" w:space="0"/>
              <w:left w:val="single" w:color="auto" w:sz="4" w:space="0"/>
              <w:bottom w:val="single" w:color="auto" w:sz="4" w:space="0"/>
              <w:right w:val="single" w:color="000000" w:sz="8" w:space="0"/>
            </w:tcBorders>
            <w:vAlign w:val="center"/>
          </w:tcPr>
          <w:p>
            <w:pPr>
              <w:rPr>
                <w:rFonts w:ascii="宋体" w:hAnsi="宋体" w:cs="宋体"/>
                <w:color w:val="000000"/>
                <w:sz w:val="18"/>
                <w:szCs w:val="18"/>
              </w:rPr>
            </w:pPr>
          </w:p>
        </w:tc>
        <w:tc>
          <w:tcPr>
            <w:tcW w:w="633"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restart"/>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预算执行率</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预算执行率=（实际支出资金/实际到位资金）*100%</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68"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实际支出资金占实际到位资金的100%计4分；占90%以上计2分；占70%以上计1分；70%以下不得分。</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实际支出资金：一定时期（本年度或项目期）内项目实际拨付的资金。</w:t>
            </w: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restart"/>
            <w:tcBorders>
              <w:top w:val="single" w:color="auto" w:sz="4" w:space="0"/>
              <w:left w:val="nil"/>
              <w:bottom w:val="single" w:color="auto" w:sz="4" w:space="0"/>
              <w:right w:val="nil"/>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3100" w:type="dxa"/>
            <w:tcBorders>
              <w:top w:val="single" w:color="auto" w:sz="4" w:space="0"/>
              <w:left w:val="single" w:color="000000" w:sz="8" w:space="0"/>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①是否符合国家财经法规和财务管理制度以及有关专项资金管理办法的规定</w:t>
            </w:r>
          </w:p>
        </w:tc>
        <w:tc>
          <w:tcPr>
            <w:tcW w:w="633" w:type="dxa"/>
            <w:vMerge w:val="restart"/>
            <w:tcBorders>
              <w:top w:val="single" w:color="auto" w:sz="4"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68" w:type="dxa"/>
            <w:vMerge w:val="restart"/>
            <w:tcBorders>
              <w:top w:val="single" w:color="auto" w:sz="4" w:space="0"/>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符合国家财经法规和财务管理制度以及有关专项资金管理办法的规定计1分，资金拨付符合规定的审批程序计1分；符合项目预算批复或合同规定的用途计1分；不存在截留、挤占、挪用、虚列支出等情况计1分。否则不得分。</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nil"/>
            </w:tcBorders>
            <w:vAlign w:val="center"/>
          </w:tcPr>
          <w:p>
            <w:pPr>
              <w:rPr>
                <w:rFonts w:ascii="宋体" w:hAnsi="宋体" w:cs="宋体"/>
                <w:color w:val="000000"/>
                <w:sz w:val="18"/>
                <w:szCs w:val="18"/>
              </w:rPr>
            </w:pPr>
          </w:p>
        </w:tc>
        <w:tc>
          <w:tcPr>
            <w:tcW w:w="3100"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②资金的拨付是否有完整的审批程序和手续</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nil"/>
            </w:tcBorders>
            <w:vAlign w:val="center"/>
          </w:tcPr>
          <w:p>
            <w:pPr>
              <w:rPr>
                <w:rFonts w:ascii="宋体" w:hAnsi="宋体" w:cs="宋体"/>
                <w:color w:val="000000"/>
                <w:sz w:val="18"/>
                <w:szCs w:val="18"/>
              </w:rPr>
            </w:pPr>
          </w:p>
        </w:tc>
        <w:tc>
          <w:tcPr>
            <w:tcW w:w="3100"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③是否符合项目预算批复或合同规定的用途</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nil"/>
            </w:tcBorders>
            <w:vAlign w:val="center"/>
          </w:tcPr>
          <w:p>
            <w:pPr>
              <w:rPr>
                <w:rFonts w:ascii="宋体" w:hAnsi="宋体" w:cs="宋体"/>
                <w:color w:val="000000"/>
                <w:sz w:val="18"/>
                <w:szCs w:val="18"/>
              </w:rPr>
            </w:pPr>
          </w:p>
        </w:tc>
        <w:tc>
          <w:tcPr>
            <w:tcW w:w="3100"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④是否存在截留、挤占、挪用、虚列支出等情况</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restart"/>
            <w:tcBorders>
              <w:top w:val="single" w:color="auto" w:sz="4" w:space="0"/>
              <w:left w:val="nil"/>
              <w:bottom w:val="single" w:color="auto" w:sz="4"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组织实施</w:t>
            </w:r>
          </w:p>
        </w:tc>
        <w:tc>
          <w:tcPr>
            <w:tcW w:w="1517" w:type="dxa"/>
            <w:vMerge w:val="restart"/>
            <w:tcBorders>
              <w:top w:val="single" w:color="auto" w:sz="4" w:space="0"/>
              <w:left w:val="single" w:color="000000" w:sz="8" w:space="0"/>
              <w:bottom w:val="single" w:color="auto" w:sz="4" w:space="0"/>
              <w:right w:val="nil"/>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3100"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①是否己制定或具有相应的财务和业务管理制度</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68" w:type="dxa"/>
            <w:vMerge w:val="restart"/>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己制定或具有相应的财务和业务管理制度计2分；制度合法、合规、完整计2分；否则不得分。</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nil"/>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single" w:color="000000" w:sz="8" w:space="0"/>
              <w:bottom w:val="single" w:color="auto" w:sz="4" w:space="0"/>
              <w:right w:val="nil"/>
            </w:tcBorders>
            <w:vAlign w:val="center"/>
          </w:tcPr>
          <w:p>
            <w:pPr>
              <w:rPr>
                <w:rFonts w:ascii="宋体" w:hAnsi="宋体" w:cs="宋体"/>
                <w:color w:val="000000"/>
                <w:sz w:val="18"/>
                <w:szCs w:val="18"/>
              </w:rPr>
            </w:pPr>
          </w:p>
        </w:tc>
        <w:tc>
          <w:tcPr>
            <w:tcW w:w="3100"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②财务和业务管理制度是否合法、合规、完整</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nil"/>
            </w:tcBorders>
            <w:vAlign w:val="center"/>
          </w:tcPr>
          <w:p>
            <w:pPr>
              <w:jc w:val="center"/>
              <w:rPr>
                <w:rFonts w:ascii="宋体" w:hAnsi="宋体" w:cs="宋体"/>
                <w:color w:val="000000"/>
                <w:sz w:val="18"/>
                <w:szCs w:val="18"/>
              </w:rPr>
            </w:pPr>
          </w:p>
        </w:tc>
        <w:tc>
          <w:tcPr>
            <w:tcW w:w="1517" w:type="dxa"/>
            <w:vMerge w:val="restart"/>
            <w:tcBorders>
              <w:top w:val="single" w:color="auto" w:sz="4" w:space="0"/>
              <w:left w:val="single" w:color="000000" w:sz="8" w:space="0"/>
              <w:bottom w:val="single" w:color="auto" w:sz="4" w:space="0"/>
              <w:right w:val="nil"/>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3100"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①是否遵守相关法律法规和相关管理规定；</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68" w:type="dxa"/>
            <w:vMerge w:val="restart"/>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项目遵守相关法律法规和相关管理规定计1分；项目调整及支出调整手续完备计1分；项目合同书、验收报告、技术鉴定等资料齐全并及时归档计2分；否则不得分。</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nil"/>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single" w:color="000000" w:sz="8" w:space="0"/>
              <w:bottom w:val="single" w:color="auto" w:sz="4" w:space="0"/>
              <w:right w:val="nil"/>
            </w:tcBorders>
            <w:vAlign w:val="center"/>
          </w:tcPr>
          <w:p>
            <w:pPr>
              <w:rPr>
                <w:rFonts w:ascii="宋体" w:hAnsi="宋体" w:cs="宋体"/>
                <w:color w:val="000000"/>
                <w:sz w:val="18"/>
                <w:szCs w:val="18"/>
              </w:rPr>
            </w:pPr>
          </w:p>
        </w:tc>
        <w:tc>
          <w:tcPr>
            <w:tcW w:w="3100" w:type="dxa"/>
            <w:tcBorders>
              <w:top w:val="nil"/>
              <w:left w:val="single" w:color="000000" w:sz="8" w:space="0"/>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②项目调整及支出调整手续是否完备</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nil"/>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single" w:color="000000" w:sz="8" w:space="0"/>
              <w:bottom w:val="single" w:color="auto" w:sz="4" w:space="0"/>
              <w:right w:val="nil"/>
            </w:tcBorders>
            <w:vAlign w:val="center"/>
          </w:tcPr>
          <w:p>
            <w:pPr>
              <w:rPr>
                <w:rFonts w:ascii="宋体" w:hAnsi="宋体" w:cs="宋体"/>
                <w:color w:val="000000"/>
                <w:sz w:val="18"/>
                <w:szCs w:val="18"/>
              </w:rPr>
            </w:pPr>
          </w:p>
        </w:tc>
        <w:tc>
          <w:tcPr>
            <w:tcW w:w="3100" w:type="dxa"/>
            <w:tcBorders>
              <w:top w:val="nil"/>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③项目合同书、验收报告、技术鉴定等资料是否齐全并及时归档</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产出（32）</w:t>
            </w:r>
          </w:p>
        </w:tc>
        <w:tc>
          <w:tcPr>
            <w:tcW w:w="1017" w:type="dxa"/>
            <w:vMerge w:val="restart"/>
            <w:tcBorders>
              <w:top w:val="single" w:color="auto" w:sz="4" w:space="0"/>
              <w:left w:val="nil"/>
              <w:bottom w:val="single" w:color="auto"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产出数量</w:t>
            </w:r>
          </w:p>
        </w:tc>
        <w:tc>
          <w:tcPr>
            <w:tcW w:w="1517" w:type="dxa"/>
            <w:vMerge w:val="restart"/>
            <w:tcBorders>
              <w:top w:val="single" w:color="auto" w:sz="4" w:space="0"/>
              <w:left w:val="nil"/>
              <w:bottom w:val="single" w:color="auto"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w:t>
            </w:r>
          </w:p>
        </w:tc>
        <w:tc>
          <w:tcPr>
            <w:tcW w:w="3100" w:type="dxa"/>
            <w:tcBorders>
              <w:top w:val="nil"/>
              <w:left w:val="nil"/>
              <w:bottom w:val="nil"/>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实际完成率=（实际产出数/计划产出数）*100%。</w:t>
            </w:r>
          </w:p>
        </w:tc>
        <w:tc>
          <w:tcPr>
            <w:tcW w:w="633"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568" w:type="dxa"/>
            <w:vMerge w:val="restart"/>
            <w:tcBorders>
              <w:top w:val="nil"/>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预算年度或项目期内实际完成率为100%的，得满分；以实际完成率100%为基数，每少10%扣1分；实际完成率不足50%的，本项得分为0。</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left"/>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000000" w:sz="8" w:space="0"/>
            </w:tcBorders>
            <w:vAlign w:val="center"/>
          </w:tcPr>
          <w:p>
            <w:pPr>
              <w:jc w:val="left"/>
              <w:rPr>
                <w:rFonts w:ascii="宋体" w:hAnsi="宋体" w:cs="宋体"/>
                <w:color w:val="000000"/>
                <w:sz w:val="18"/>
                <w:szCs w:val="18"/>
              </w:rPr>
            </w:pPr>
          </w:p>
        </w:tc>
        <w:tc>
          <w:tcPr>
            <w:tcW w:w="3100" w:type="dxa"/>
            <w:tcBorders>
              <w:top w:val="nil"/>
              <w:left w:val="nil"/>
              <w:bottom w:val="single" w:color="000000" w:sz="8"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实际产出数：一定时期（本年度或项目期）内项目实际产出的产品或提供的服务数量。计划产出数：项目绩效目标确定的在一定时期（本年度或项目期）内计划产出的产品或提供的服务数量</w:t>
            </w:r>
          </w:p>
        </w:tc>
        <w:tc>
          <w:tcPr>
            <w:tcW w:w="633"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restart"/>
            <w:tcBorders>
              <w:top w:val="single" w:color="auto" w:sz="4" w:space="0"/>
              <w:left w:val="nil"/>
              <w:bottom w:val="single" w:color="auto"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产出质量</w:t>
            </w:r>
          </w:p>
        </w:tc>
        <w:tc>
          <w:tcPr>
            <w:tcW w:w="1517" w:type="dxa"/>
            <w:vMerge w:val="restart"/>
            <w:tcBorders>
              <w:top w:val="single" w:color="auto" w:sz="4" w:space="0"/>
              <w:left w:val="nil"/>
              <w:bottom w:val="single" w:color="auto"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质量达标率</w:t>
            </w:r>
          </w:p>
        </w:tc>
        <w:tc>
          <w:tcPr>
            <w:tcW w:w="3100" w:type="dxa"/>
            <w:tcBorders>
              <w:top w:val="nil"/>
              <w:left w:val="nil"/>
              <w:bottom w:val="single" w:color="auto"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质量达标率=（质量达标产出数/实际产出数）*100%</w:t>
            </w:r>
          </w:p>
        </w:tc>
        <w:tc>
          <w:tcPr>
            <w:tcW w:w="633" w:type="dxa"/>
            <w:vMerge w:val="restart"/>
            <w:tcBorders>
              <w:top w:val="nil"/>
              <w:left w:val="nil"/>
              <w:bottom w:val="single" w:color="auto" w:sz="4"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568" w:type="dxa"/>
            <w:vMerge w:val="restart"/>
            <w:tcBorders>
              <w:top w:val="nil"/>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质量达标率为100%的，得满分；每低5%的，扣1分，直至扣完本项分值。</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left"/>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000000" w:sz="8" w:space="0"/>
            </w:tcBorders>
            <w:vAlign w:val="center"/>
          </w:tcPr>
          <w:p>
            <w:pPr>
              <w:jc w:val="left"/>
              <w:rPr>
                <w:rFonts w:ascii="宋体" w:hAnsi="宋体" w:cs="宋体"/>
                <w:color w:val="000000"/>
                <w:sz w:val="18"/>
                <w:szCs w:val="18"/>
              </w:rPr>
            </w:pPr>
          </w:p>
        </w:tc>
        <w:tc>
          <w:tcPr>
            <w:tcW w:w="3100" w:type="dxa"/>
            <w:tcBorders>
              <w:top w:val="single" w:color="auto" w:sz="4" w:space="0"/>
              <w:left w:val="nil"/>
              <w:bottom w:val="single" w:color="auto" w:sz="4"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633"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restart"/>
            <w:tcBorders>
              <w:top w:val="single" w:color="auto" w:sz="4" w:space="0"/>
              <w:left w:val="nil"/>
              <w:bottom w:val="single" w:color="auto" w:sz="4"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产出时效</w:t>
            </w:r>
          </w:p>
        </w:tc>
        <w:tc>
          <w:tcPr>
            <w:tcW w:w="1517" w:type="dxa"/>
            <w:vMerge w:val="restart"/>
            <w:tcBorders>
              <w:top w:val="single" w:color="auto" w:sz="4" w:space="0"/>
              <w:left w:val="nil"/>
              <w:bottom w:val="single" w:color="auto" w:sz="4"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完成及时性</w:t>
            </w:r>
          </w:p>
        </w:tc>
        <w:tc>
          <w:tcPr>
            <w:tcW w:w="3100" w:type="dxa"/>
            <w:tcBorders>
              <w:top w:val="single" w:color="auto" w:sz="4"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实际完成时间：项目实施单位完成该项目实际所耗用的时间。</w:t>
            </w:r>
          </w:p>
        </w:tc>
        <w:tc>
          <w:tcPr>
            <w:tcW w:w="633" w:type="dxa"/>
            <w:vMerge w:val="restart"/>
            <w:tcBorders>
              <w:top w:val="single" w:color="auto" w:sz="4"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568" w:type="dxa"/>
            <w:vMerge w:val="restart"/>
            <w:tcBorders>
              <w:top w:val="single" w:color="auto" w:sz="4" w:space="0"/>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及时完成计8分，每超过2个月扣1分，扣完为止。</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000000" w:sz="8" w:space="0"/>
            </w:tcBorders>
            <w:vAlign w:val="center"/>
          </w:tcPr>
          <w:p>
            <w:pPr>
              <w:rPr>
                <w:rFonts w:ascii="宋体" w:hAnsi="宋体" w:cs="宋体"/>
                <w:color w:val="000000"/>
                <w:sz w:val="18"/>
                <w:szCs w:val="18"/>
              </w:rPr>
            </w:pPr>
          </w:p>
        </w:tc>
        <w:tc>
          <w:tcPr>
            <w:tcW w:w="3100" w:type="dxa"/>
            <w:tcBorders>
              <w:top w:val="nil"/>
              <w:left w:val="nil"/>
              <w:bottom w:val="single" w:color="auto" w:sz="4"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计划完成时间：按照项目实施计划或相关规定完成该项目所需的时间。</w:t>
            </w:r>
          </w:p>
        </w:tc>
        <w:tc>
          <w:tcPr>
            <w:tcW w:w="633" w:type="dxa"/>
            <w:vMerge w:val="continue"/>
            <w:tcBorders>
              <w:top w:val="nil"/>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nil"/>
              <w:left w:val="nil"/>
              <w:bottom w:val="single" w:color="auto" w:sz="4"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restart"/>
            <w:tcBorders>
              <w:top w:val="single" w:color="auto" w:sz="4" w:space="0"/>
              <w:left w:val="nil"/>
              <w:bottom w:val="single" w:color="auto" w:sz="4"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产出成本</w:t>
            </w:r>
          </w:p>
        </w:tc>
        <w:tc>
          <w:tcPr>
            <w:tcW w:w="1517" w:type="dxa"/>
            <w:vMerge w:val="restart"/>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成本节约率</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成本节约率={（计划成本-实际成本）/计划成本}*100%</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568"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成本节约率≥0的，得满分；成本节约率＜0，每低5%的，扣1分，直至扣完本项分值。</w:t>
            </w: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p>
        </w:tc>
        <w:tc>
          <w:tcPr>
            <w:tcW w:w="3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实际成本：项目实施单位如期、保质、保量完成既定工作目标实际所耗费的支出。</w:t>
            </w: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cs="宋体"/>
                <w:color w:val="000000"/>
                <w:sz w:val="18"/>
                <w:szCs w:val="18"/>
              </w:rPr>
            </w:pPr>
          </w:p>
        </w:tc>
        <w:tc>
          <w:tcPr>
            <w:tcW w:w="1017" w:type="dxa"/>
            <w:vMerge w:val="continue"/>
            <w:tcBorders>
              <w:top w:val="single" w:color="auto" w:sz="4" w:space="0"/>
              <w:left w:val="nil"/>
              <w:bottom w:val="single" w:color="auto" w:sz="4" w:space="0"/>
              <w:right w:val="single" w:color="000000" w:sz="8" w:space="0"/>
            </w:tcBorders>
            <w:vAlign w:val="center"/>
          </w:tcPr>
          <w:p>
            <w:pPr>
              <w:jc w:val="center"/>
              <w:rPr>
                <w:rFonts w:ascii="宋体" w:hAnsi="宋体" w:cs="宋体"/>
                <w:color w:val="000000"/>
                <w:sz w:val="18"/>
                <w:szCs w:val="18"/>
              </w:rPr>
            </w:pPr>
          </w:p>
        </w:tc>
        <w:tc>
          <w:tcPr>
            <w:tcW w:w="1517" w:type="dxa"/>
            <w:vMerge w:val="continue"/>
            <w:tcBorders>
              <w:top w:val="single" w:color="auto" w:sz="4" w:space="0"/>
              <w:left w:val="nil"/>
              <w:bottom w:val="single" w:color="auto" w:sz="4" w:space="0"/>
              <w:right w:val="single" w:color="000000" w:sz="8" w:space="0"/>
            </w:tcBorders>
            <w:vAlign w:val="center"/>
          </w:tcPr>
          <w:p>
            <w:pPr>
              <w:rPr>
                <w:rFonts w:ascii="宋体" w:hAnsi="宋体" w:cs="宋体"/>
                <w:color w:val="000000"/>
                <w:sz w:val="18"/>
                <w:szCs w:val="18"/>
              </w:rPr>
            </w:pPr>
          </w:p>
        </w:tc>
        <w:tc>
          <w:tcPr>
            <w:tcW w:w="3100" w:type="dxa"/>
            <w:tcBorders>
              <w:top w:val="single" w:color="auto" w:sz="4" w:space="0"/>
              <w:left w:val="nil"/>
              <w:bottom w:val="single" w:color="000000" w:sz="8" w:space="0"/>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计划成本：项目实施单位为完成工作目标计划安排的支出，一般以项目预算为参考。</w:t>
            </w:r>
          </w:p>
        </w:tc>
        <w:tc>
          <w:tcPr>
            <w:tcW w:w="633" w:type="dxa"/>
            <w:vMerge w:val="continue"/>
            <w:tcBorders>
              <w:top w:val="single" w:color="auto" w:sz="4" w:space="0"/>
              <w:left w:val="nil"/>
              <w:bottom w:val="single" w:color="000000" w:sz="8" w:space="0"/>
              <w:right w:val="single" w:color="000000" w:sz="8" w:space="0"/>
            </w:tcBorders>
            <w:vAlign w:val="center"/>
          </w:tcPr>
          <w:p>
            <w:pPr>
              <w:jc w:val="center"/>
              <w:rPr>
                <w:rFonts w:ascii="宋体" w:hAnsi="宋体" w:cs="宋体"/>
                <w:color w:val="000000"/>
                <w:sz w:val="18"/>
                <w:szCs w:val="18"/>
              </w:rPr>
            </w:pPr>
          </w:p>
        </w:tc>
        <w:tc>
          <w:tcPr>
            <w:tcW w:w="2568" w:type="dxa"/>
            <w:vMerge w:val="continue"/>
            <w:tcBorders>
              <w:top w:val="single" w:color="auto" w:sz="4" w:space="0"/>
              <w:left w:val="nil"/>
              <w:bottom w:val="single" w:color="000000" w:sz="8" w:space="0"/>
              <w:right w:val="single" w:color="000000" w:sz="8"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716" w:type="dxa"/>
            <w:vMerge w:val="restart"/>
            <w:tcBorders>
              <w:top w:val="single" w:color="auto" w:sz="4"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效果（30）</w:t>
            </w:r>
          </w:p>
        </w:tc>
        <w:tc>
          <w:tcPr>
            <w:tcW w:w="1017" w:type="dxa"/>
            <w:vMerge w:val="restart"/>
            <w:tcBorders>
              <w:top w:val="single" w:color="auto" w:sz="4" w:space="0"/>
              <w:left w:val="nil"/>
              <w:bottom w:val="nil"/>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项目效果</w:t>
            </w:r>
          </w:p>
        </w:tc>
        <w:tc>
          <w:tcPr>
            <w:tcW w:w="1517" w:type="dxa"/>
            <w:tcBorders>
              <w:top w:val="single" w:color="auto" w:sz="4"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3100"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项目实施对社会发展所带来的直接或间接影响情况。</w:t>
            </w:r>
          </w:p>
        </w:tc>
        <w:tc>
          <w:tcPr>
            <w:tcW w:w="633" w:type="dxa"/>
            <w:tcBorders>
              <w:top w:val="nil"/>
              <w:left w:val="nil"/>
              <w:bottom w:val="nil"/>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568" w:type="dxa"/>
            <w:tcBorders>
              <w:top w:val="nil"/>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实现计12分，未实现不计分。</w:t>
            </w:r>
          </w:p>
        </w:tc>
      </w:tr>
      <w:tr>
        <w:tblPrEx>
          <w:tblCellMar>
            <w:top w:w="0" w:type="dxa"/>
            <w:left w:w="108" w:type="dxa"/>
            <w:bottom w:w="0" w:type="dxa"/>
            <w:right w:w="108" w:type="dxa"/>
          </w:tblCellMar>
        </w:tblPrEx>
        <w:trPr>
          <w:trHeight w:val="400" w:hRule="atLeast"/>
        </w:trPr>
        <w:tc>
          <w:tcPr>
            <w:tcW w:w="716"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color w:val="000000"/>
                <w:sz w:val="18"/>
                <w:szCs w:val="18"/>
              </w:rPr>
            </w:pPr>
          </w:p>
        </w:tc>
        <w:tc>
          <w:tcPr>
            <w:tcW w:w="1017" w:type="dxa"/>
            <w:vMerge w:val="continue"/>
            <w:tcBorders>
              <w:top w:val="nil"/>
              <w:left w:val="nil"/>
              <w:bottom w:val="nil"/>
              <w:right w:val="single" w:color="000000" w:sz="8" w:space="0"/>
            </w:tcBorders>
            <w:vAlign w:val="center"/>
          </w:tcPr>
          <w:p>
            <w:pPr>
              <w:jc w:val="center"/>
              <w:rPr>
                <w:rFonts w:ascii="宋体" w:hAnsi="宋体" w:cs="宋体"/>
                <w:color w:val="000000"/>
                <w:sz w:val="18"/>
                <w:szCs w:val="18"/>
              </w:rPr>
            </w:pPr>
          </w:p>
        </w:tc>
        <w:tc>
          <w:tcPr>
            <w:tcW w:w="1517" w:type="dxa"/>
            <w:tcBorders>
              <w:top w:val="single" w:color="000000" w:sz="8"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可持续性影响</w:t>
            </w:r>
          </w:p>
        </w:tc>
        <w:tc>
          <w:tcPr>
            <w:tcW w:w="3100" w:type="dxa"/>
            <w:tcBorders>
              <w:top w:val="single" w:color="000000" w:sz="8"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项目后续运行及成效发挥的可持续影响情况。该指标为项目个性化指标，项目实施后会产生的可持续影响，根据实际情况细化指标。分值根据项目具体情况调整</w:t>
            </w:r>
          </w:p>
        </w:tc>
        <w:tc>
          <w:tcPr>
            <w:tcW w:w="633"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444444"/>
                <w:sz w:val="18"/>
                <w:szCs w:val="18"/>
              </w:rPr>
            </w:pPr>
            <w:r>
              <w:rPr>
                <w:rFonts w:hint="eastAsia" w:ascii="宋体" w:hAnsi="宋体" w:cs="宋体"/>
                <w:color w:val="444444"/>
                <w:kern w:val="0"/>
                <w:sz w:val="18"/>
                <w:szCs w:val="18"/>
              </w:rPr>
              <w:t>6</w:t>
            </w:r>
          </w:p>
        </w:tc>
        <w:tc>
          <w:tcPr>
            <w:tcW w:w="2568" w:type="dxa"/>
            <w:tcBorders>
              <w:top w:val="single" w:color="000000" w:sz="8"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实现计6分，未实现不计分。</w:t>
            </w:r>
          </w:p>
        </w:tc>
      </w:tr>
      <w:tr>
        <w:tblPrEx>
          <w:tblCellMar>
            <w:top w:w="0" w:type="dxa"/>
            <w:left w:w="108" w:type="dxa"/>
            <w:bottom w:w="0" w:type="dxa"/>
            <w:right w:w="108" w:type="dxa"/>
          </w:tblCellMar>
        </w:tblPrEx>
        <w:trPr>
          <w:trHeight w:val="400" w:hRule="atLeast"/>
        </w:trPr>
        <w:tc>
          <w:tcPr>
            <w:tcW w:w="716" w:type="dxa"/>
            <w:vMerge w:val="continue"/>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宋体"/>
                <w:color w:val="000000"/>
                <w:sz w:val="18"/>
                <w:szCs w:val="18"/>
              </w:rPr>
            </w:pPr>
          </w:p>
        </w:tc>
        <w:tc>
          <w:tcPr>
            <w:tcW w:w="1017" w:type="dxa"/>
            <w:vMerge w:val="continue"/>
            <w:tcBorders>
              <w:top w:val="nil"/>
              <w:left w:val="nil"/>
              <w:bottom w:val="nil"/>
              <w:right w:val="single" w:color="000000" w:sz="8" w:space="0"/>
            </w:tcBorders>
            <w:vAlign w:val="center"/>
          </w:tcPr>
          <w:p>
            <w:pPr>
              <w:jc w:val="center"/>
              <w:rPr>
                <w:rFonts w:ascii="宋体" w:hAnsi="宋体" w:cs="宋体"/>
                <w:color w:val="000000"/>
                <w:sz w:val="18"/>
                <w:szCs w:val="18"/>
              </w:rPr>
            </w:pPr>
          </w:p>
        </w:tc>
        <w:tc>
          <w:tcPr>
            <w:tcW w:w="1517" w:type="dxa"/>
            <w:tcBorders>
              <w:top w:val="single" w:color="000000" w:sz="8"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社会公众或服务对象满意度</w:t>
            </w:r>
          </w:p>
        </w:tc>
        <w:tc>
          <w:tcPr>
            <w:tcW w:w="3100" w:type="dxa"/>
            <w:tcBorders>
              <w:top w:val="single" w:color="000000" w:sz="8"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社会公众或服务对象对项目实施效果的满意程度。社会公众或服务对象是指因该项目实施而受到影响的部门（单位）、群体或个人。一般采取社会调查的方式。</w:t>
            </w:r>
          </w:p>
        </w:tc>
        <w:tc>
          <w:tcPr>
            <w:tcW w:w="633"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568" w:type="dxa"/>
            <w:tcBorders>
              <w:top w:val="single" w:color="000000" w:sz="8" w:space="0"/>
              <w:left w:val="nil"/>
              <w:bottom w:val="nil"/>
              <w:right w:val="single" w:color="000000" w:sz="8"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非常满意12分、满意8分、一般5分、不满意0分</w:t>
            </w:r>
          </w:p>
        </w:tc>
      </w:tr>
      <w:tr>
        <w:tblPrEx>
          <w:tblCellMar>
            <w:top w:w="0" w:type="dxa"/>
            <w:left w:w="108" w:type="dxa"/>
            <w:bottom w:w="0" w:type="dxa"/>
            <w:right w:w="108" w:type="dxa"/>
          </w:tblCellMar>
        </w:tblPrEx>
        <w:trPr>
          <w:trHeight w:val="515" w:hRule="atLeast"/>
        </w:trPr>
        <w:tc>
          <w:tcPr>
            <w:tcW w:w="716" w:type="dxa"/>
            <w:tcBorders>
              <w:top w:val="nil"/>
              <w:left w:val="single" w:color="000000" w:sz="8" w:space="0"/>
              <w:bottom w:val="single" w:color="000000" w:sz="8" w:space="0"/>
              <w:right w:val="nil"/>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18"/>
                <w:szCs w:val="18"/>
              </w:rPr>
            </w:pPr>
          </w:p>
        </w:tc>
        <w:tc>
          <w:tcPr>
            <w:tcW w:w="1517" w:type="dxa"/>
            <w:tcBorders>
              <w:top w:val="single" w:color="000000" w:sz="8" w:space="0"/>
              <w:left w:val="nil"/>
              <w:bottom w:val="single" w:color="000000" w:sz="8" w:space="0"/>
              <w:right w:val="single" w:color="000000" w:sz="8" w:space="0"/>
            </w:tcBorders>
            <w:vAlign w:val="center"/>
          </w:tcPr>
          <w:p>
            <w:pPr>
              <w:rPr>
                <w:rFonts w:ascii="宋体" w:hAnsi="宋体" w:cs="宋体"/>
                <w:color w:val="000000"/>
                <w:sz w:val="18"/>
                <w:szCs w:val="18"/>
              </w:rPr>
            </w:pPr>
          </w:p>
        </w:tc>
        <w:tc>
          <w:tcPr>
            <w:tcW w:w="3100" w:type="dxa"/>
            <w:tcBorders>
              <w:top w:val="single" w:color="000000" w:sz="8" w:space="0"/>
              <w:left w:val="nil"/>
              <w:bottom w:val="single" w:color="000000" w:sz="8" w:space="0"/>
              <w:right w:val="single" w:color="000000" w:sz="8" w:space="0"/>
            </w:tcBorders>
            <w:vAlign w:val="center"/>
          </w:tcPr>
          <w:p>
            <w:pPr>
              <w:rPr>
                <w:rFonts w:ascii="宋体" w:hAnsi="宋体" w:cs="宋体"/>
                <w:color w:val="000000"/>
                <w:sz w:val="18"/>
                <w:szCs w:val="18"/>
              </w:rPr>
            </w:pPr>
          </w:p>
        </w:tc>
        <w:tc>
          <w:tcPr>
            <w:tcW w:w="63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68" w:type="dxa"/>
            <w:tcBorders>
              <w:top w:val="single" w:color="000000" w:sz="8" w:space="0"/>
              <w:left w:val="nil"/>
              <w:bottom w:val="single" w:color="000000" w:sz="8" w:space="0"/>
              <w:right w:val="single" w:color="000000" w:sz="8" w:space="0"/>
            </w:tcBorders>
            <w:noWrap/>
            <w:vAlign w:val="center"/>
          </w:tcPr>
          <w:p>
            <w:pPr>
              <w:rPr>
                <w:rFonts w:ascii="宋体" w:hAnsi="宋体" w:cs="宋体"/>
                <w:color w:val="000000"/>
                <w:sz w:val="24"/>
              </w:rPr>
            </w:pPr>
          </w:p>
        </w:tc>
      </w:tr>
    </w:tbl>
    <w:p>
      <w:pPr>
        <w:rPr>
          <w:rFonts w:ascii="宋体" w:hAnsi="宋体" w:cs="仿宋_GB2312"/>
          <w:sz w:val="24"/>
          <w:szCs w:val="24"/>
          <w:highlight w:val="yellow"/>
        </w:rPr>
      </w:pP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3、评价标准</w:t>
      </w:r>
    </w:p>
    <w:p>
      <w:pPr>
        <w:adjustRightInd w:val="0"/>
        <w:snapToGrid w:val="0"/>
        <w:spacing w:line="500" w:lineRule="exact"/>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评价小组主要采用计划标准、历史标准、行业标准等评价标准。</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4、评价方法</w:t>
      </w:r>
    </w:p>
    <w:p>
      <w:pPr>
        <w:adjustRightInd w:val="0"/>
        <w:snapToGrid w:val="0"/>
        <w:spacing w:line="500" w:lineRule="exac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 xml:space="preserve">    本次绩效评价，主要采取比较法、公众评判法和投入产出法等：</w:t>
      </w:r>
    </w:p>
    <w:p>
      <w:pPr>
        <w:tabs>
          <w:tab w:val="left" w:pos="0"/>
        </w:tabs>
        <w:adjustRightInd w:val="0"/>
        <w:snapToGrid w:val="0"/>
        <w:spacing w:line="500" w:lineRule="exact"/>
        <w:ind w:firstLine="560" w:firstLineChars="200"/>
        <w:jc w:val="lef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fldChar w:fldCharType="begin"/>
      </w:r>
      <w:r>
        <w:rPr>
          <w:rFonts w:hint="eastAsia" w:cs="宋体" w:asciiTheme="majorEastAsia" w:hAnsiTheme="majorEastAsia" w:eastAsiaTheme="majorEastAsia"/>
          <w:color w:val="000000"/>
          <w:sz w:val="28"/>
          <w:szCs w:val="28"/>
          <w:shd w:val="clear" w:color="auto" w:fill="FFFFFF"/>
        </w:rPr>
        <w:instrText xml:space="preserve"> = 1 \* GB3 </w:instrText>
      </w:r>
      <w:r>
        <w:rPr>
          <w:rFonts w:hint="eastAsia" w:cs="宋体" w:asciiTheme="majorEastAsia" w:hAnsiTheme="majorEastAsia" w:eastAsiaTheme="majorEastAsia"/>
          <w:color w:val="000000"/>
          <w:sz w:val="28"/>
          <w:szCs w:val="28"/>
          <w:shd w:val="clear" w:color="auto" w:fill="FFFFFF"/>
        </w:rPr>
        <w:fldChar w:fldCharType="separate"/>
      </w:r>
      <w:r>
        <w:rPr>
          <w:rFonts w:hint="eastAsia" w:cs="宋体" w:asciiTheme="majorEastAsia" w:hAnsiTheme="majorEastAsia" w:eastAsiaTheme="majorEastAsia"/>
          <w:color w:val="000000"/>
          <w:sz w:val="28"/>
          <w:szCs w:val="28"/>
          <w:shd w:val="clear" w:color="auto" w:fill="FFFFFF"/>
        </w:rPr>
        <w:t>①</w:t>
      </w:r>
      <w:r>
        <w:rPr>
          <w:rFonts w:hint="eastAsia" w:cs="宋体" w:asciiTheme="majorEastAsia" w:hAnsiTheme="majorEastAsia" w:eastAsiaTheme="majorEastAsia"/>
          <w:color w:val="000000"/>
          <w:sz w:val="28"/>
          <w:szCs w:val="28"/>
          <w:shd w:val="clear" w:color="auto" w:fill="FFFFFF"/>
        </w:rPr>
        <w:fldChar w:fldCharType="end"/>
      </w:r>
      <w:r>
        <w:rPr>
          <w:rFonts w:hint="eastAsia" w:cs="宋体" w:asciiTheme="majorEastAsia" w:hAnsiTheme="majorEastAsia" w:eastAsiaTheme="majorEastAsia"/>
          <w:color w:val="000000"/>
          <w:sz w:val="28"/>
          <w:szCs w:val="28"/>
          <w:shd w:val="clear" w:color="auto" w:fill="FFFFFF"/>
        </w:rPr>
        <w:t>比较法：指通过对绩效目标与实施结果、历史与当期情况、不同部门和地区同类支出的比较，综合分析绩效目标的实现程度的一种评价方法。</w:t>
      </w:r>
    </w:p>
    <w:p>
      <w:pPr>
        <w:tabs>
          <w:tab w:val="left" w:pos="0"/>
        </w:tabs>
        <w:adjustRightInd w:val="0"/>
        <w:snapToGrid w:val="0"/>
        <w:spacing w:line="500" w:lineRule="exact"/>
        <w:ind w:firstLine="560" w:firstLineChars="200"/>
        <w:jc w:val="lef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fldChar w:fldCharType="begin"/>
      </w:r>
      <w:r>
        <w:rPr>
          <w:rFonts w:hint="eastAsia" w:cs="宋体" w:asciiTheme="majorEastAsia" w:hAnsiTheme="majorEastAsia" w:eastAsiaTheme="majorEastAsia"/>
          <w:color w:val="000000"/>
          <w:sz w:val="28"/>
          <w:szCs w:val="28"/>
          <w:shd w:val="clear" w:color="auto" w:fill="FFFFFF"/>
        </w:rPr>
        <w:instrText xml:space="preserve"> = 2 \* GB3 </w:instrText>
      </w:r>
      <w:r>
        <w:rPr>
          <w:rFonts w:hint="eastAsia" w:cs="宋体" w:asciiTheme="majorEastAsia" w:hAnsiTheme="majorEastAsia" w:eastAsiaTheme="majorEastAsia"/>
          <w:color w:val="000000"/>
          <w:sz w:val="28"/>
          <w:szCs w:val="28"/>
          <w:shd w:val="clear" w:color="auto" w:fill="FFFFFF"/>
        </w:rPr>
        <w:fldChar w:fldCharType="separate"/>
      </w:r>
      <w:r>
        <w:rPr>
          <w:rFonts w:hint="eastAsia" w:cs="宋体" w:asciiTheme="majorEastAsia" w:hAnsiTheme="majorEastAsia" w:eastAsiaTheme="majorEastAsia"/>
          <w:color w:val="000000"/>
          <w:sz w:val="28"/>
          <w:szCs w:val="28"/>
          <w:shd w:val="clear" w:color="auto" w:fill="FFFFFF"/>
        </w:rPr>
        <w:t>②</w:t>
      </w:r>
      <w:r>
        <w:rPr>
          <w:rFonts w:hint="eastAsia" w:cs="宋体" w:asciiTheme="majorEastAsia" w:hAnsiTheme="majorEastAsia" w:eastAsiaTheme="majorEastAsia"/>
          <w:color w:val="000000"/>
          <w:sz w:val="28"/>
          <w:szCs w:val="28"/>
          <w:shd w:val="clear" w:color="auto" w:fill="FFFFFF"/>
        </w:rPr>
        <w:fldChar w:fldCharType="end"/>
      </w:r>
      <w:r>
        <w:rPr>
          <w:rFonts w:hint="eastAsia" w:cs="宋体" w:asciiTheme="majorEastAsia" w:hAnsiTheme="majorEastAsia" w:eastAsiaTheme="majorEastAsia"/>
          <w:color w:val="000000"/>
          <w:sz w:val="28"/>
          <w:szCs w:val="28"/>
          <w:shd w:val="clear" w:color="auto" w:fill="FFFFFF"/>
        </w:rPr>
        <w:t>成本效益分析法：指将一定时期内的支出与效益进行对比分析评价绩效目标的实现程度的一种评价方法。</w:t>
      </w:r>
    </w:p>
    <w:p>
      <w:pPr>
        <w:tabs>
          <w:tab w:val="left" w:pos="0"/>
        </w:tabs>
        <w:adjustRightInd w:val="0"/>
        <w:snapToGrid w:val="0"/>
        <w:spacing w:line="500" w:lineRule="exact"/>
        <w:ind w:firstLine="560" w:firstLineChars="200"/>
        <w:jc w:val="lef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fldChar w:fldCharType="begin"/>
      </w:r>
      <w:r>
        <w:rPr>
          <w:rFonts w:hint="eastAsia" w:cs="宋体" w:asciiTheme="majorEastAsia" w:hAnsiTheme="majorEastAsia" w:eastAsiaTheme="majorEastAsia"/>
          <w:color w:val="000000"/>
          <w:sz w:val="28"/>
          <w:szCs w:val="28"/>
          <w:shd w:val="clear" w:color="auto" w:fill="FFFFFF"/>
        </w:rPr>
        <w:instrText xml:space="preserve"> = 3 \* GB3 </w:instrText>
      </w:r>
      <w:r>
        <w:rPr>
          <w:rFonts w:hint="eastAsia" w:cs="宋体" w:asciiTheme="majorEastAsia" w:hAnsiTheme="majorEastAsia" w:eastAsiaTheme="majorEastAsia"/>
          <w:color w:val="000000"/>
          <w:sz w:val="28"/>
          <w:szCs w:val="28"/>
          <w:shd w:val="clear" w:color="auto" w:fill="FFFFFF"/>
        </w:rPr>
        <w:fldChar w:fldCharType="separate"/>
      </w:r>
      <w:r>
        <w:rPr>
          <w:rFonts w:hint="eastAsia" w:cs="宋体" w:asciiTheme="majorEastAsia" w:hAnsiTheme="majorEastAsia" w:eastAsiaTheme="majorEastAsia"/>
          <w:color w:val="000000"/>
          <w:sz w:val="28"/>
          <w:szCs w:val="28"/>
          <w:shd w:val="clear" w:color="auto" w:fill="FFFFFF"/>
        </w:rPr>
        <w:t>③</w:t>
      </w:r>
      <w:r>
        <w:rPr>
          <w:rFonts w:hint="eastAsia" w:cs="宋体" w:asciiTheme="majorEastAsia" w:hAnsiTheme="majorEastAsia" w:eastAsiaTheme="majorEastAsia"/>
          <w:color w:val="000000"/>
          <w:sz w:val="28"/>
          <w:szCs w:val="28"/>
          <w:shd w:val="clear" w:color="auto" w:fill="FFFFFF"/>
        </w:rPr>
        <w:fldChar w:fldCharType="end"/>
      </w:r>
      <w:r>
        <w:rPr>
          <w:rFonts w:hint="eastAsia" w:cs="宋体" w:asciiTheme="majorEastAsia" w:hAnsiTheme="majorEastAsia" w:eastAsiaTheme="majorEastAsia"/>
          <w:color w:val="000000"/>
          <w:sz w:val="28"/>
          <w:szCs w:val="28"/>
          <w:shd w:val="clear" w:color="auto" w:fill="FFFFFF"/>
        </w:rPr>
        <w:t>因素分析法：是一种通过综合分析影响绩效目标实现、实施效果的内外因素，评价绩效目标的实现程度的评价方法。</w:t>
      </w:r>
    </w:p>
    <w:p>
      <w:pPr>
        <w:tabs>
          <w:tab w:val="left" w:pos="0"/>
        </w:tabs>
        <w:adjustRightInd w:val="0"/>
        <w:snapToGrid w:val="0"/>
        <w:spacing w:line="500" w:lineRule="exact"/>
        <w:ind w:firstLine="560" w:firstLineChars="200"/>
        <w:jc w:val="lef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fldChar w:fldCharType="begin"/>
      </w:r>
      <w:r>
        <w:rPr>
          <w:rFonts w:hint="eastAsia" w:cs="宋体" w:asciiTheme="majorEastAsia" w:hAnsiTheme="majorEastAsia" w:eastAsiaTheme="majorEastAsia"/>
          <w:color w:val="000000"/>
          <w:sz w:val="28"/>
          <w:szCs w:val="28"/>
          <w:shd w:val="clear" w:color="auto" w:fill="FFFFFF"/>
        </w:rPr>
        <w:instrText xml:space="preserve"> = 4 \* GB3 </w:instrText>
      </w:r>
      <w:r>
        <w:rPr>
          <w:rFonts w:hint="eastAsia" w:cs="宋体" w:asciiTheme="majorEastAsia" w:hAnsiTheme="majorEastAsia" w:eastAsiaTheme="majorEastAsia"/>
          <w:color w:val="000000"/>
          <w:sz w:val="28"/>
          <w:szCs w:val="28"/>
          <w:shd w:val="clear" w:color="auto" w:fill="FFFFFF"/>
        </w:rPr>
        <w:fldChar w:fldCharType="separate"/>
      </w:r>
      <w:r>
        <w:rPr>
          <w:rFonts w:hint="eastAsia" w:cs="宋体" w:asciiTheme="majorEastAsia" w:hAnsiTheme="majorEastAsia" w:eastAsiaTheme="majorEastAsia"/>
          <w:color w:val="000000"/>
          <w:sz w:val="28"/>
          <w:szCs w:val="28"/>
          <w:shd w:val="clear" w:color="auto" w:fill="FFFFFF"/>
        </w:rPr>
        <w:t>④</w:t>
      </w:r>
      <w:r>
        <w:rPr>
          <w:rFonts w:hint="eastAsia" w:cs="宋体" w:asciiTheme="majorEastAsia" w:hAnsiTheme="majorEastAsia" w:eastAsiaTheme="majorEastAsia"/>
          <w:color w:val="000000"/>
          <w:sz w:val="28"/>
          <w:szCs w:val="28"/>
          <w:shd w:val="clear" w:color="auto" w:fill="FFFFFF"/>
        </w:rPr>
        <w:fldChar w:fldCharType="end"/>
      </w:r>
      <w:r>
        <w:rPr>
          <w:rFonts w:hint="eastAsia" w:cs="宋体" w:asciiTheme="majorEastAsia" w:hAnsiTheme="majorEastAsia" w:eastAsiaTheme="majorEastAsia"/>
          <w:color w:val="000000"/>
          <w:sz w:val="28"/>
          <w:szCs w:val="28"/>
          <w:shd w:val="clear" w:color="auto" w:fill="FFFFFF"/>
        </w:rPr>
        <w:t>最低成本法：是一种指对效益确定却不易计量的多个同类对象的实施成本进行比较，评价绩效目标的实现程度的评价方法。</w:t>
      </w:r>
    </w:p>
    <w:p>
      <w:pPr>
        <w:tabs>
          <w:tab w:val="left" w:pos="0"/>
        </w:tabs>
        <w:adjustRightInd w:val="0"/>
        <w:snapToGrid w:val="0"/>
        <w:spacing w:line="500" w:lineRule="exact"/>
        <w:ind w:firstLine="560" w:firstLineChars="200"/>
        <w:jc w:val="lef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fldChar w:fldCharType="begin"/>
      </w:r>
      <w:r>
        <w:rPr>
          <w:rFonts w:hint="eastAsia" w:cs="宋体" w:asciiTheme="majorEastAsia" w:hAnsiTheme="majorEastAsia" w:eastAsiaTheme="majorEastAsia"/>
          <w:color w:val="000000"/>
          <w:sz w:val="28"/>
          <w:szCs w:val="28"/>
          <w:shd w:val="clear" w:color="auto" w:fill="FFFFFF"/>
        </w:rPr>
        <w:instrText xml:space="preserve"> = 5 \* GB3 </w:instrText>
      </w:r>
      <w:r>
        <w:rPr>
          <w:rFonts w:hint="eastAsia" w:cs="宋体" w:asciiTheme="majorEastAsia" w:hAnsiTheme="majorEastAsia" w:eastAsiaTheme="majorEastAsia"/>
          <w:color w:val="000000"/>
          <w:sz w:val="28"/>
          <w:szCs w:val="28"/>
          <w:shd w:val="clear" w:color="auto" w:fill="FFFFFF"/>
        </w:rPr>
        <w:fldChar w:fldCharType="separate"/>
      </w:r>
      <w:r>
        <w:rPr>
          <w:rFonts w:hint="eastAsia" w:cs="宋体" w:asciiTheme="majorEastAsia" w:hAnsiTheme="majorEastAsia" w:eastAsiaTheme="majorEastAsia"/>
          <w:color w:val="000000"/>
          <w:sz w:val="28"/>
          <w:szCs w:val="28"/>
          <w:shd w:val="clear" w:color="auto" w:fill="FFFFFF"/>
        </w:rPr>
        <w:t>⑤</w:t>
      </w:r>
      <w:r>
        <w:rPr>
          <w:rFonts w:hint="eastAsia" w:cs="宋体" w:asciiTheme="majorEastAsia" w:hAnsiTheme="majorEastAsia" w:eastAsiaTheme="majorEastAsia"/>
          <w:color w:val="000000"/>
          <w:sz w:val="28"/>
          <w:szCs w:val="28"/>
          <w:shd w:val="clear" w:color="auto" w:fill="FFFFFF"/>
        </w:rPr>
        <w:fldChar w:fldCharType="end"/>
      </w:r>
      <w:r>
        <w:rPr>
          <w:rFonts w:hint="eastAsia" w:cs="宋体" w:asciiTheme="majorEastAsia" w:hAnsiTheme="majorEastAsia" w:eastAsiaTheme="majorEastAsia"/>
          <w:color w:val="000000"/>
          <w:sz w:val="28"/>
          <w:szCs w:val="28"/>
          <w:shd w:val="clear" w:color="auto" w:fill="FFFFFF"/>
        </w:rPr>
        <w:t>专家（公众）评议法：指通过专家评估、公众问卷及抽样调查等对财政支出效果进行评判，评价绩效目标的实现程度的一种评价方法。</w:t>
      </w:r>
    </w:p>
    <w:p>
      <w:pPr>
        <w:tabs>
          <w:tab w:val="left" w:pos="0"/>
        </w:tabs>
        <w:adjustRightInd w:val="0"/>
        <w:snapToGrid w:val="0"/>
        <w:spacing w:line="500" w:lineRule="exact"/>
        <w:ind w:firstLine="560" w:firstLineChars="200"/>
        <w:jc w:val="lef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fldChar w:fldCharType="begin"/>
      </w:r>
      <w:r>
        <w:rPr>
          <w:rFonts w:hint="eastAsia" w:cs="宋体" w:asciiTheme="majorEastAsia" w:hAnsiTheme="majorEastAsia" w:eastAsiaTheme="majorEastAsia"/>
          <w:color w:val="000000"/>
          <w:sz w:val="28"/>
          <w:szCs w:val="28"/>
          <w:shd w:val="clear" w:color="auto" w:fill="FFFFFF"/>
        </w:rPr>
        <w:instrText xml:space="preserve"> = 6 \* GB3 </w:instrText>
      </w:r>
      <w:r>
        <w:rPr>
          <w:rFonts w:hint="eastAsia" w:cs="宋体" w:asciiTheme="majorEastAsia" w:hAnsiTheme="majorEastAsia" w:eastAsiaTheme="majorEastAsia"/>
          <w:color w:val="000000"/>
          <w:sz w:val="28"/>
          <w:szCs w:val="28"/>
          <w:shd w:val="clear" w:color="auto" w:fill="FFFFFF"/>
        </w:rPr>
        <w:fldChar w:fldCharType="separate"/>
      </w:r>
      <w:r>
        <w:rPr>
          <w:rFonts w:hint="eastAsia" w:cs="宋体" w:asciiTheme="majorEastAsia" w:hAnsiTheme="majorEastAsia" w:eastAsiaTheme="majorEastAsia"/>
          <w:color w:val="000000"/>
          <w:sz w:val="28"/>
          <w:szCs w:val="28"/>
          <w:shd w:val="clear" w:color="auto" w:fill="FFFFFF"/>
        </w:rPr>
        <w:t>⑥</w:t>
      </w:r>
      <w:r>
        <w:rPr>
          <w:rFonts w:hint="eastAsia" w:cs="宋体" w:asciiTheme="majorEastAsia" w:hAnsiTheme="majorEastAsia" w:eastAsiaTheme="majorEastAsia"/>
          <w:color w:val="000000"/>
          <w:sz w:val="28"/>
          <w:szCs w:val="28"/>
          <w:shd w:val="clear" w:color="auto" w:fill="FFFFFF"/>
        </w:rPr>
        <w:fldChar w:fldCharType="end"/>
      </w:r>
      <w:r>
        <w:rPr>
          <w:rFonts w:hint="eastAsia" w:cs="宋体" w:asciiTheme="majorEastAsia" w:hAnsiTheme="majorEastAsia" w:eastAsiaTheme="majorEastAsia"/>
          <w:color w:val="000000"/>
          <w:sz w:val="28"/>
          <w:szCs w:val="28"/>
          <w:shd w:val="clear" w:color="auto" w:fill="FFFFFF"/>
        </w:rPr>
        <w:t>其他适宜的评价方法。</w:t>
      </w:r>
    </w:p>
    <w:p>
      <w:pPr>
        <w:tabs>
          <w:tab w:val="left" w:pos="0"/>
        </w:tabs>
        <w:adjustRightInd w:val="0"/>
        <w:snapToGrid w:val="0"/>
        <w:spacing w:line="500" w:lineRule="exact"/>
        <w:ind w:firstLine="562" w:firstLineChars="200"/>
        <w:jc w:val="left"/>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（四）证据收集方法。</w:t>
      </w:r>
    </w:p>
    <w:p>
      <w:pPr>
        <w:tabs>
          <w:tab w:val="left" w:pos="0"/>
        </w:tabs>
        <w:adjustRightInd w:val="0"/>
        <w:snapToGrid w:val="0"/>
        <w:spacing w:line="500" w:lineRule="exact"/>
        <w:ind w:firstLine="560" w:firstLineChars="200"/>
        <w:jc w:val="lef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本次绩效评价的采用的证据收集方法主要有案卷研究、资料收集、座谈会、问卷调查等，具体如下：</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1、案卷研究</w:t>
      </w:r>
    </w:p>
    <w:p>
      <w:pPr>
        <w:adjustRightInd w:val="0"/>
        <w:snapToGrid w:val="0"/>
        <w:spacing w:line="500" w:lineRule="exact"/>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案卷研究是从现有的财政部、湖北省颁发的绩效评价项目文件、随县城市管理执法局2021年项目立项背景、基本情况、绩效目标申请文本、2021年工作计划和工作总结、2021年度项目财务收支、项目实施情况等同行业绩效评价相关资料进行案卷分析，全面了解绩效项目的情况。</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2、资料收集与数据填报</w:t>
      </w:r>
    </w:p>
    <w:p>
      <w:pPr>
        <w:adjustRightInd w:val="0"/>
        <w:snapToGrid w:val="0"/>
        <w:spacing w:line="500" w:lineRule="exact"/>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根据案卷研究，列出资料清单，按照资料清单向随县城市管理执法局收集相关资料。资料收集主要包括：一是部门基础资料，如三定方案、人员设置、职责文件等；二是部门有关的管理制度；三是相关财务会计资料，如预算安排、预算追加、资金管理、经费支出、资产管理等相关文件资料和财务凭证；四是部门重大项目资料；五是部门行政、信访满意度、表彰等资料。对数据进行梳理与汇总，填写相关表格。</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3、实地调研</w:t>
      </w:r>
    </w:p>
    <w:p>
      <w:pPr>
        <w:adjustRightInd w:val="0"/>
        <w:snapToGrid w:val="0"/>
        <w:spacing w:line="500" w:lineRule="exact"/>
        <w:ind w:firstLine="364" w:firstLineChars="13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 xml:space="preserve"> 实地调研主要是指现场勘查方法，现场勘查是指通过询问、核对、勘查、检查等方法对随县城市管理执法局基项目支出材料和数据进行查阅，对重要评估证据和数据资料取得佐证材料。</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4、座谈会</w:t>
      </w:r>
    </w:p>
    <w:p>
      <w:pPr>
        <w:adjustRightInd w:val="0"/>
        <w:snapToGrid w:val="0"/>
        <w:spacing w:line="500" w:lineRule="exact"/>
        <w:ind w:firstLine="364" w:firstLineChars="13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 xml:space="preserve"> 项目工作组人员邀请随县城市管理执法局相关管理人员、工作人员参与座谈会，为绩效评价提供有效信息，直接或间接了解被评价单位的信息。座谈会结束后进行会议记录整理和分析，并将会议记录作为绩效评价报告的附件和工作底稿。</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5、问卷调查</w:t>
      </w:r>
    </w:p>
    <w:p>
      <w:pPr>
        <w:adjustRightInd w:val="0"/>
        <w:snapToGrid w:val="0"/>
        <w:spacing w:line="500" w:lineRule="exact"/>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 xml:space="preserve">    项目组工作人员通过对随县城市管理执法局公众满意度进行调查，设计了相关问卷，项目组工作人员合理选择问卷发放的范围，对相关对象进行问卷访问，对问卷调查结果进行整理和分析，问卷调查格式及汇总信息可以作为绩效评价报告的附件和工作底稿。</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（五）绩效评价实施过程</w:t>
      </w:r>
    </w:p>
    <w:p>
      <w:pPr>
        <w:adjustRightInd w:val="0"/>
        <w:snapToGrid w:val="0"/>
        <w:spacing w:line="500" w:lineRule="exact"/>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1、前期准备</w:t>
      </w:r>
    </w:p>
    <w:p>
      <w:pPr>
        <w:adjustRightInd w:val="0"/>
        <w:snapToGrid w:val="0"/>
        <w:spacing w:line="500" w:lineRule="exact"/>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一是项目评价小组依据评价方案制定了项目评价任务清单和工作计划，明确了评价小组各成员的职责分工；二是评价小组指导项目实施单位开展绩效自评，收集自评报告、自评打分结果和自评依据证据材料。</w:t>
      </w:r>
    </w:p>
    <w:p>
      <w:pPr>
        <w:wordWrap w:val="0"/>
        <w:spacing w:before="100" w:beforeAutospacing="1" w:after="100" w:afterAutospacing="1" w:line="500" w:lineRule="exact"/>
        <w:jc w:val="center"/>
        <w:rPr>
          <w:rFonts w:cs="宋体" w:asciiTheme="majorEastAsia" w:hAnsiTheme="majorEastAsia" w:eastAsiaTheme="majorEastAsia"/>
          <w:color w:val="333333"/>
          <w:sz w:val="24"/>
          <w:szCs w:val="24"/>
        </w:rPr>
      </w:pPr>
      <w:r>
        <w:rPr>
          <w:rFonts w:hint="eastAsia" w:cs="宋体" w:asciiTheme="majorEastAsia" w:hAnsiTheme="majorEastAsia" w:eastAsiaTheme="majorEastAsia"/>
          <w:b/>
          <w:bCs/>
          <w:color w:val="333333"/>
          <w:sz w:val="24"/>
          <w:szCs w:val="24"/>
        </w:rPr>
        <w:t>绩效评价工作组成员一览表</w:t>
      </w:r>
    </w:p>
    <w:tbl>
      <w:tblPr>
        <w:tblStyle w:val="13"/>
        <w:tblW w:w="8614"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499"/>
        <w:gridCol w:w="1935"/>
        <w:gridCol w:w="5180"/>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14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320" w:lineRule="exact"/>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姓名</w:t>
            </w:r>
          </w:p>
        </w:tc>
        <w:tc>
          <w:tcPr>
            <w:tcW w:w="1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320" w:lineRule="exact"/>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职称</w:t>
            </w:r>
          </w:p>
        </w:tc>
        <w:tc>
          <w:tcPr>
            <w:tcW w:w="51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spacing w:line="320" w:lineRule="exact"/>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工作分工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186" w:hRule="atLeast"/>
          <w:jc w:val="center"/>
        </w:trPr>
        <w:tc>
          <w:tcPr>
            <w:tcW w:w="14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苏先涛</w:t>
            </w:r>
          </w:p>
        </w:tc>
        <w:tc>
          <w:tcPr>
            <w:tcW w:w="1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中国注册会计师</w:t>
            </w:r>
          </w:p>
        </w:tc>
        <w:tc>
          <w:tcPr>
            <w:tcW w:w="51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项目负责人，负责评价方案设计、负责现场评价，佐证材料的核验分析及整理，本评价报告复核。</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14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谢文杰</w:t>
            </w:r>
          </w:p>
        </w:tc>
        <w:tc>
          <w:tcPr>
            <w:tcW w:w="1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中国注册会计师</w:t>
            </w:r>
          </w:p>
        </w:tc>
        <w:tc>
          <w:tcPr>
            <w:tcW w:w="51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参与财务佐证材料的核验、分析及整理，本绩效评价报告撰写。</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2" w:hRule="atLeast"/>
          <w:jc w:val="center"/>
        </w:trPr>
        <w:tc>
          <w:tcPr>
            <w:tcW w:w="14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陈永生</w:t>
            </w:r>
          </w:p>
        </w:tc>
        <w:tc>
          <w:tcPr>
            <w:tcW w:w="1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会计师</w:t>
            </w:r>
          </w:p>
        </w:tc>
        <w:tc>
          <w:tcPr>
            <w:tcW w:w="51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参与现场评价，负责绩效目标完成情况佐证材料的核验、分析及整理。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14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金星宇</w:t>
            </w:r>
          </w:p>
        </w:tc>
        <w:tc>
          <w:tcPr>
            <w:tcW w:w="19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助理会计师</w:t>
            </w:r>
          </w:p>
        </w:tc>
        <w:tc>
          <w:tcPr>
            <w:tcW w:w="51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00" w:afterAutospacing="1" w:line="32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参与现场评价，负责绩效目标完成情况佐证材料的核验、分析、整理及调查问卷采集。</w:t>
            </w:r>
          </w:p>
        </w:tc>
      </w:tr>
    </w:tbl>
    <w:p>
      <w:pPr>
        <w:adjustRightInd w:val="0"/>
        <w:snapToGrid w:val="0"/>
        <w:spacing w:line="360" w:lineRule="auto"/>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2、组织实施</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项目评价按以下两个步骤实施：</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（1）书面审核。评价小组对报送的自评报告及相关依据证据材料的完整性、及时性、有效性进行审核，初步了解项目实施情况。</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2）现场核查。评价小组结合自评报告，按照项目资金的使用去向进行现场核查。一是从投入管理、业务管理、财务管理及项目资金使用的经济性、效率性、有效性进行核查，采集相关依据证据材料，采用计划标准、历史标准等评价标准，运用比较法、成本效益分析法等评价方法，进行评价分析，并完成评价工作底稿；二是设计访谈提纲，组织开展现场访谈并进行相关分析，作出调查结论。</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3）评价分析和撰写评价报告。一是整理书面审核和现场核查情况，对照绩效评价指标及评分细则进行评价打分，并按确定的权重配比通过加权平均法确定绩效评价初步结果；二是根据初步评价结果在综合分析的基础上拟定绩效评价报告初稿，分别提交县财政局、随县城市管理执法局及其相关直属单位征求意见。评价小组根据各方书面反馈意见对报告修改完善后，形成绩效评价报告报县财政局。</w:t>
      </w:r>
    </w:p>
    <w:p>
      <w:pPr>
        <w:adjustRightInd w:val="0"/>
        <w:snapToGrid w:val="0"/>
        <w:spacing w:line="360" w:lineRule="auto"/>
        <w:ind w:firstLine="562" w:firstLineChars="200"/>
        <w:textAlignment w:val="center"/>
        <w:rPr>
          <w:rFonts w:cs="宋体" w:asciiTheme="majorEastAsia" w:hAnsiTheme="majorEastAsia" w:eastAsiaTheme="majorEastAsia"/>
          <w:b/>
          <w:color w:val="000000"/>
          <w:sz w:val="28"/>
          <w:szCs w:val="28"/>
          <w:shd w:val="clear" w:color="auto" w:fill="FFFFFF"/>
        </w:rPr>
      </w:pPr>
      <w:r>
        <w:rPr>
          <w:rFonts w:hint="eastAsia" w:cs="宋体" w:asciiTheme="majorEastAsia" w:hAnsiTheme="majorEastAsia" w:eastAsiaTheme="majorEastAsia"/>
          <w:b/>
          <w:color w:val="000000"/>
          <w:sz w:val="28"/>
          <w:szCs w:val="28"/>
          <w:shd w:val="clear" w:color="auto" w:fill="FFFFFF"/>
        </w:rPr>
        <w:t>（六）本次绩效评价的局限性</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 xml:space="preserve">鉴于绩效评价项目的特点，绩效评价的局限性主要有以下几个方面：  </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1、绩效评价是一项综合性工作，涉及财务管理、经济学、社会学、工程造价等多个专业领域，绩效评价报告的数据来源方式多种多样，有案卷研究、实地调研、座谈会、问卷调查等，渠道不同，获取数据的真实性和完整性也会有所不同，因核查内容不全面和评价人员能力有限，评价报告可能存在一定的局限性。</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2、此次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做出尽可能可靠的评价结论。</w:t>
      </w:r>
    </w:p>
    <w:p>
      <w:pPr>
        <w:pStyle w:val="11"/>
        <w:shd w:val="clear" w:color="auto" w:fill="FFFFFF"/>
        <w:adjustRightInd w:val="0"/>
        <w:snapToGrid w:val="0"/>
        <w:spacing w:before="0" w:beforeAutospacing="0" w:after="0" w:afterAutospacing="0" w:line="360" w:lineRule="auto"/>
        <w:ind w:firstLine="463"/>
        <w:textAlignment w:val="center"/>
        <w:rPr>
          <w:rFonts w:asciiTheme="majorEastAsia" w:hAnsiTheme="majorEastAsia" w:eastAsiaTheme="majorEastAsia"/>
          <w:color w:val="000000"/>
          <w:kern w:val="2"/>
          <w:sz w:val="28"/>
          <w:szCs w:val="28"/>
          <w:shd w:val="clear" w:color="auto" w:fill="FFFFFF"/>
        </w:rPr>
      </w:pPr>
      <w:r>
        <w:rPr>
          <w:rFonts w:hint="eastAsia" w:asciiTheme="majorEastAsia" w:hAnsiTheme="majorEastAsia" w:eastAsiaTheme="majorEastAsia"/>
          <w:color w:val="000000"/>
          <w:kern w:val="2"/>
          <w:sz w:val="28"/>
          <w:szCs w:val="28"/>
          <w:shd w:val="clear" w:color="auto" w:fill="FFFFFF"/>
        </w:rPr>
        <w:t>3、对社会公众满意调查采取随机抽查访问，而社会信息的不对等性，可能导致评价结果出现差异。如发放调查问卷时，面对社会公众，而社会公众对单位情况不了解，导致调查欠全面，具有一定的局限性。</w:t>
      </w:r>
    </w:p>
    <w:p>
      <w:pPr>
        <w:pStyle w:val="25"/>
        <w:adjustRightInd w:val="0"/>
        <w:snapToGrid w:val="0"/>
        <w:spacing w:line="360" w:lineRule="auto"/>
        <w:rPr>
          <w:rFonts w:cs="宋体" w:asciiTheme="majorEastAsia" w:hAnsiTheme="majorEastAsia" w:eastAsiaTheme="majorEastAsia"/>
          <w:sz w:val="28"/>
          <w:szCs w:val="28"/>
        </w:rPr>
      </w:pPr>
      <w:r>
        <w:rPr>
          <w:rFonts w:hint="eastAsia" w:cs="宋体" w:asciiTheme="majorEastAsia" w:hAnsiTheme="majorEastAsia" w:eastAsiaTheme="majorEastAsia"/>
          <w:b/>
          <w:bCs/>
          <w:sz w:val="28"/>
          <w:szCs w:val="28"/>
        </w:rPr>
        <w:t xml:space="preserve">  　 三、绩效分析及绩效评价结论</w:t>
      </w:r>
    </w:p>
    <w:p>
      <w:pPr>
        <w:pStyle w:val="11"/>
        <w:shd w:val="clear" w:color="auto" w:fill="FFFFFF"/>
        <w:adjustRightInd w:val="0"/>
        <w:snapToGrid w:val="0"/>
        <w:spacing w:before="0" w:beforeAutospacing="0" w:after="0" w:afterAutospacing="0" w:line="360" w:lineRule="auto"/>
        <w:ind w:firstLine="463"/>
        <w:textAlignment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（一）绩效分析</w:t>
      </w:r>
    </w:p>
    <w:p>
      <w:pPr>
        <w:pStyle w:val="25"/>
        <w:adjustRightInd w:val="0"/>
        <w:snapToGrid w:val="0"/>
        <w:spacing w:line="360" w:lineRule="auto"/>
        <w:ind w:firstLine="560" w:firstLineChars="200"/>
        <w:rPr>
          <w:rFonts w:cs="宋体" w:asciiTheme="majorEastAsia" w:hAnsiTheme="majorEastAsia" w:eastAsiaTheme="majorEastAsia"/>
          <w:color w:val="333333"/>
          <w:kern w:val="0"/>
          <w:sz w:val="28"/>
          <w:szCs w:val="28"/>
          <w:shd w:val="clear" w:color="auto" w:fill="FFFFFF"/>
        </w:rPr>
      </w:pPr>
      <w:r>
        <w:rPr>
          <w:rFonts w:hint="eastAsia" w:cs="宋体" w:asciiTheme="majorEastAsia" w:hAnsiTheme="majorEastAsia" w:eastAsiaTheme="majorEastAsia"/>
          <w:color w:val="333333"/>
          <w:kern w:val="0"/>
          <w:sz w:val="28"/>
          <w:szCs w:val="28"/>
          <w:shd w:val="clear" w:color="auto" w:fill="FFFFFF"/>
        </w:rPr>
        <w:t>1、决策-项目立项（满分6分）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项目决策依据为随发改发[2010]155号文件。随着县城发展，人口不断涌向县城，生活垃圾亟待处理,为避免垃圾围城,随县生活垃圾处理场的正常运转迫在眉睫。随县生活垃圾处理场场址地势开阔，交通便利，可满足人们生产生活需要。</w:t>
      </w:r>
    </w:p>
    <w:p>
      <w:pPr>
        <w:adjustRightInd w:val="0"/>
        <w:snapToGrid w:val="0"/>
        <w:spacing w:line="360" w:lineRule="auto"/>
        <w:ind w:firstLine="560" w:firstLineChars="200"/>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项目经过专家论证、反复讨论成熟，建议批准立项建设，我们认为该项目的定位准确，项目依据充分，项目目标明确，预定目标设置合理。符合国家、县区及部门发展规划，内容全面完整，与投入资金相匹配，决策依据充分、程序合法，并呈报领导批准同意和取得批复文件，各项审批手续完整，符合国家相关法律法规规定。</w:t>
      </w:r>
    </w:p>
    <w:p>
      <w:pPr>
        <w:adjustRightInd w:val="0"/>
        <w:snapToGrid w:val="0"/>
        <w:spacing w:line="360" w:lineRule="auto"/>
        <w:ind w:firstLine="560" w:firstLineChars="200"/>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根据评分标准，本项指标得6分。</w:t>
      </w:r>
    </w:p>
    <w:p>
      <w:pPr>
        <w:adjustRightInd w:val="0"/>
        <w:snapToGrid w:val="0"/>
        <w:spacing w:line="360" w:lineRule="auto"/>
        <w:ind w:firstLine="560" w:firstLineChars="200"/>
        <w:textAlignment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2、决策-绩效目标（满分6分）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随县城市管理执法局2021年城区生活垃圾转运市场运行经费</w:t>
      </w:r>
      <w:r>
        <w:rPr>
          <w:rFonts w:hint="eastAsia" w:cs="宋体" w:asciiTheme="majorEastAsia" w:hAnsiTheme="majorEastAsia" w:eastAsiaTheme="majorEastAsia"/>
          <w:color w:val="333333"/>
          <w:kern w:val="0"/>
          <w:sz w:val="28"/>
          <w:szCs w:val="28"/>
          <w:shd w:val="clear" w:color="auto" w:fill="FFFFFF"/>
        </w:rPr>
        <w:t>一个常年性、持续性项目，目标制定合理，清晰、明确：目标1：</w:t>
      </w:r>
      <w:r>
        <w:rPr>
          <w:rFonts w:hint="eastAsia" w:cs="宋体" w:asciiTheme="majorEastAsia" w:hAnsiTheme="majorEastAsia" w:eastAsiaTheme="majorEastAsia"/>
          <w:sz w:val="28"/>
          <w:szCs w:val="28"/>
        </w:rPr>
        <w:t>全年共转运生活垃圾8万余吨，无任何安全事故和责任事故。</w:t>
      </w:r>
      <w:r>
        <w:rPr>
          <w:rFonts w:hint="eastAsia" w:cs="宋体" w:asciiTheme="majorEastAsia" w:hAnsiTheme="majorEastAsia" w:eastAsiaTheme="majorEastAsia"/>
          <w:color w:val="333333"/>
          <w:kern w:val="0"/>
          <w:sz w:val="28"/>
          <w:szCs w:val="28"/>
          <w:shd w:val="clear" w:color="auto" w:fill="FFFFFF"/>
        </w:rPr>
        <w:t>目标2：</w:t>
      </w:r>
      <w:r>
        <w:rPr>
          <w:rFonts w:hint="eastAsia" w:cs="宋体" w:asciiTheme="majorEastAsia" w:hAnsiTheme="majorEastAsia" w:eastAsiaTheme="majorEastAsia"/>
          <w:sz w:val="28"/>
          <w:szCs w:val="28"/>
        </w:rPr>
        <w:t>改善清运车辆倾倒环境，及时购买砖渣及石渣对库区临时道路进行修整。目标3：为了确保垃圾清运车辆有序倾倒，安全生产，加强司机职业训练。目标4：强化日常管理，制定一系列的规章制度，并督促落实，发挥效益，场区整体面貌发生根本性的变化。</w:t>
      </w:r>
    </w:p>
    <w:p>
      <w:pPr>
        <w:pStyle w:val="25"/>
        <w:adjustRightInd w:val="0"/>
        <w:snapToGrid w:val="0"/>
        <w:spacing w:line="360" w:lineRule="auto"/>
        <w:ind w:firstLine="560" w:firstLineChars="200"/>
        <w:rPr>
          <w:rFonts w:cs="仿宋_GB2312" w:asciiTheme="majorEastAsia" w:hAnsiTheme="majorEastAsia" w:eastAsiaTheme="majorEastAsia"/>
          <w:sz w:val="28"/>
          <w:szCs w:val="28"/>
        </w:rPr>
      </w:pPr>
      <w:r>
        <w:rPr>
          <w:rFonts w:hint="eastAsia" w:cs="宋体" w:asciiTheme="majorEastAsia" w:hAnsiTheme="majorEastAsia" w:eastAsiaTheme="majorEastAsia"/>
          <w:sz w:val="28"/>
          <w:szCs w:val="28"/>
        </w:rPr>
        <w:t>随县城市管理执法局2021年城区生活垃圾转运市场运行经费项目绩效目标未细分，制定数量、质量、效益等指标不清晰扣3分。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根据评分标准，本项指标得3分。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3、决策-资金投入（满分6分）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项目预算资金900万元，预算内容与项目内容匹配，预算确定的项目投资额与工作任务相匹配。</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根据评分标准，本项指标得6分。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4、过程（20分）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（1）资金到位率（满分4分）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根据随县城市管理执法局财务部门提供的数据，该项目预算资金900万元，实际拨入498.95万元，已于2021年12月前拨付到位。</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资金到位率=（实际到位资金/预算资金）*100%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=（498.95万/900万）*100%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=55.44%</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根据评分标准，本项指标得0分。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（2）预算执行率（满分4分）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截止2021年12月31日，2021年度 城区生活垃圾转运市场运行经费项目实际支出498.95万元。</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预算执行率=（实际支出资金/实际到位资金）*100%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=（498.95万/498.95万）*100%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 100%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（3）资金使用合规性（满分4分）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项目资金的拨付有完整的审批程序和手续，符合国家财经法规和财务管理制度以及有关专项资金管理办法的规定，专款专用。</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（4）管理制度健全性（满分4分）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随县城市管理执法局执行《专项资金管理办法》，制定了《随县城市管理执法局制度汇编》，确保了项目顺利实施。</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（5）制度执行有效性（满分4分）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严格执行专款专用的规定，制度执行有效性较高。</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5、项目产出（32分）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（1）项目产出数量指标（满分8分）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数量指标1：日转运生活垃圾≥220吨；</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满足城区垃圾处理要求,实现生活垃圾无害化、减量化、资源化。2021年累计转运无害化处理生活垃圾91927.04吨，日处理生活垃圾251.85吨。</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数量指标2：日残留生活垃圾为0。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2021年疫情严重时部分社区封闭时间较长，垃圾处理困难，被封闭的小区有垃圾残留现象。</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（2）项目产出质量指标（满分8分）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质量指标1：垃圾日产日清保洁率达100%。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质量指标2：城区垃圾无害化处理平均率100%、农村生活垃圾无害化处理平均率90%以上。</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2021年疫情严重时部分社区封闭时间较长，垃圾处理困难，垃圾日产日清保洁率达99%。</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城乡生活垃圾治理体系已基本完成，顺利通过农村生活垃圾无害化处理全达标省级第三方验收。</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根据评分标准，本项指标得4分。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（3）项目产出时效指标（满分8分）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2021年度城区生活垃圾转运市场运行经费，按照规定在2021年底全面完成，完成及时性100%。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根据评分标准，本项指标得8分。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（4）项目产出成本节约率（满分8分）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2021年全年城区生活垃圾转运市场运行经费成本未超出预算。 </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根据评分标准，本项指标得8分。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6、项目效果（30分）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（1）社会效益（满分12分） </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目标1：城乡生活垃圾治理体系基本完成，通过农村生活垃圾无害化处理全达标省级第三方验收。</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2021年完成了城乡生活垃圾无害化处理达标任务。按照“户分类、组保洁、镇收集、县运处”的运行管理模式，今年累计转运无害化处理生活垃圾9万余吨，城区垃圾无害化处理率达100%,农村生活垃圾无害化处理率达90%以上。治理体系已基本完成，顺利通过农村生活垃圾无害化处理全达标省级第三方验收。</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目标2：有序推进数字城管。</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探索常规管理模式创新，抓好“数字城管”运用。探索发挥数字城管指挥中心平台巡查上报、监督审核、组织协调、综合调度等功能，运用执法记录仪、视频监控、“城管通”等设施设备，提升执法进度和效率，共受理各类城市管理线索640起，事件处理率达90%。</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根据评分标准，本项指标得12分。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（2）可持续性影响（满分6分）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项目的实施进一步加快推进城市管理体制改革。一是推行城管综合执法。对城区规划、市容、环卫渣土、市政、园林实行综合执法，统一组织市政、园林日常管理工作；二是有序推进了城管下乡。深入推进文明城市创建工作，争取创建省级卫生城市。</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根据评分标准，本项指标得6分。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（3）社会公众或服务对象满意度（满分12分）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社会公众服务满意度≥85%</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该项目的建成将有效解决城市生活垃圾污染,改善城市环境,城乡生活垃圾治理体系基本完成，顺利通过农村生活垃圾无害化处理全达标省级第三方验收,并在灯塔社区和星升社区示范开展城乡生活垃圾分类工作。社会公众或服务对象满意度：向群众发放调查问卷50份，收回50份。经统计，评价为“满意”45份。该项指标实际得分8分。</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（二）评分结论</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1、评分结果</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经综合评价，该项目财政预算资金支出绩效评价结果为81分，评分结果良（按各项目得分率与资金额度加权平均确定），具体情况如下表：</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628"/>
        <w:gridCol w:w="155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评价内容</w:t>
            </w:r>
          </w:p>
        </w:tc>
        <w:tc>
          <w:tcPr>
            <w:tcW w:w="1628" w:type="dxa"/>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权重</w:t>
            </w:r>
          </w:p>
        </w:tc>
        <w:tc>
          <w:tcPr>
            <w:tcW w:w="1554" w:type="dxa"/>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标准分值</w:t>
            </w:r>
          </w:p>
        </w:tc>
        <w:tc>
          <w:tcPr>
            <w:tcW w:w="2421" w:type="dxa"/>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决策</w:t>
            </w:r>
          </w:p>
        </w:tc>
        <w:tc>
          <w:tcPr>
            <w:tcW w:w="1628"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18%</w:t>
            </w:r>
          </w:p>
        </w:tc>
        <w:tc>
          <w:tcPr>
            <w:tcW w:w="1554"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18</w:t>
            </w:r>
          </w:p>
        </w:tc>
        <w:tc>
          <w:tcPr>
            <w:tcW w:w="2421"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过程</w:t>
            </w:r>
          </w:p>
        </w:tc>
        <w:tc>
          <w:tcPr>
            <w:tcW w:w="1628"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20%</w:t>
            </w:r>
          </w:p>
        </w:tc>
        <w:tc>
          <w:tcPr>
            <w:tcW w:w="1554"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20</w:t>
            </w:r>
          </w:p>
        </w:tc>
        <w:tc>
          <w:tcPr>
            <w:tcW w:w="2421"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619"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产出</w:t>
            </w:r>
          </w:p>
        </w:tc>
        <w:tc>
          <w:tcPr>
            <w:tcW w:w="1628"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32%</w:t>
            </w:r>
          </w:p>
        </w:tc>
        <w:tc>
          <w:tcPr>
            <w:tcW w:w="1554"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32</w:t>
            </w:r>
          </w:p>
        </w:tc>
        <w:tc>
          <w:tcPr>
            <w:tcW w:w="2421"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19"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效果</w:t>
            </w:r>
          </w:p>
        </w:tc>
        <w:tc>
          <w:tcPr>
            <w:tcW w:w="1628"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30%</w:t>
            </w:r>
          </w:p>
        </w:tc>
        <w:tc>
          <w:tcPr>
            <w:tcW w:w="1554"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30</w:t>
            </w:r>
          </w:p>
        </w:tc>
        <w:tc>
          <w:tcPr>
            <w:tcW w:w="2421"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综合绩效</w:t>
            </w:r>
          </w:p>
        </w:tc>
        <w:tc>
          <w:tcPr>
            <w:tcW w:w="1628"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100%</w:t>
            </w:r>
          </w:p>
        </w:tc>
        <w:tc>
          <w:tcPr>
            <w:tcW w:w="1554" w:type="dxa"/>
            <w:vAlign w:val="center"/>
          </w:tcPr>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100</w:t>
            </w:r>
          </w:p>
        </w:tc>
        <w:tc>
          <w:tcPr>
            <w:tcW w:w="2421" w:type="dxa"/>
            <w:vAlign w:val="center"/>
          </w:tcPr>
          <w:p>
            <w:pPr>
              <w:adjustRightInd w:val="0"/>
              <w:snapToGrid w:val="0"/>
              <w:spacing w:line="360" w:lineRule="auto"/>
              <w:ind w:firstLine="840" w:firstLineChars="3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81</w:t>
            </w:r>
          </w:p>
        </w:tc>
      </w:tr>
    </w:tbl>
    <w:p>
      <w:pPr>
        <w:adjustRightInd w:val="0"/>
        <w:snapToGrid w:val="0"/>
        <w:spacing w:line="360" w:lineRule="auto"/>
        <w:ind w:firstLine="560" w:firstLineChars="200"/>
        <w:textAlignment w:val="center"/>
        <w:rPr>
          <w:rFonts w:cs="宋体" w:asciiTheme="majorEastAsia" w:hAnsiTheme="majorEastAsia" w:eastAsiaTheme="majorEastAsia"/>
          <w:color w:val="333333"/>
          <w:kern w:val="0"/>
          <w:sz w:val="28"/>
          <w:szCs w:val="28"/>
          <w:shd w:val="clear" w:color="auto" w:fill="FFFFFF"/>
        </w:rPr>
      </w:pPr>
      <w:r>
        <w:rPr>
          <w:rFonts w:hint="eastAsia" w:cs="宋体" w:asciiTheme="majorEastAsia" w:hAnsiTheme="majorEastAsia" w:eastAsiaTheme="majorEastAsia"/>
          <w:color w:val="333333"/>
          <w:kern w:val="0"/>
          <w:sz w:val="28"/>
          <w:szCs w:val="28"/>
          <w:shd w:val="clear" w:color="auto" w:fill="FFFFFF"/>
        </w:rPr>
        <w:t>注：根据湖北省财政厅《关于印发全面实施预算绩效管理系列制度的通知》 (鄂财绩发[2020]3号) 附件4《湖北省预算绩效评价管理暂行办法》第三十九条规定的评定等级标准，评价结果级别为优、良、中、差。</w:t>
      </w:r>
    </w:p>
    <w:p>
      <w:pPr>
        <w:adjustRightInd w:val="0"/>
        <w:snapToGrid w:val="0"/>
        <w:spacing w:line="360" w:lineRule="auto"/>
        <w:ind w:firstLine="560" w:firstLineChars="200"/>
        <w:textAlignment w:val="center"/>
        <w:rPr>
          <w:rFonts w:cs="宋体" w:asciiTheme="majorEastAsia" w:hAnsiTheme="majorEastAsia" w:eastAsiaTheme="majorEastAsia"/>
          <w:color w:val="333333"/>
          <w:kern w:val="0"/>
          <w:sz w:val="28"/>
          <w:szCs w:val="28"/>
          <w:shd w:val="clear" w:color="auto" w:fill="FFFFFF"/>
        </w:rPr>
      </w:pPr>
      <w:r>
        <w:rPr>
          <w:rFonts w:hint="eastAsia" w:cs="宋体" w:asciiTheme="majorEastAsia" w:hAnsiTheme="majorEastAsia" w:eastAsiaTheme="majorEastAsia"/>
          <w:color w:val="333333"/>
          <w:kern w:val="0"/>
          <w:sz w:val="28"/>
          <w:szCs w:val="28"/>
          <w:shd w:val="clear" w:color="auto" w:fill="FFFFFF"/>
        </w:rPr>
        <w:t>具体参照下表：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评价评分结果</w:t>
            </w:r>
          </w:p>
        </w:tc>
        <w:tc>
          <w:tcPr>
            <w:tcW w:w="4253" w:type="dxa"/>
            <w:vAlign w:val="center"/>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评价结果级别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90分-100分（含90分）</w:t>
            </w:r>
          </w:p>
        </w:tc>
        <w:tc>
          <w:tcPr>
            <w:tcW w:w="4253" w:type="dxa"/>
            <w:vAlign w:val="center"/>
          </w:tcPr>
          <w:p>
            <w:pPr>
              <w:adjustRightInd w:val="0"/>
              <w:snapToGrid w:val="0"/>
              <w:spacing w:line="360" w:lineRule="auto"/>
              <w:ind w:firstLine="1960" w:firstLineChars="7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80分-90分（含80分）</w:t>
            </w:r>
          </w:p>
        </w:tc>
        <w:tc>
          <w:tcPr>
            <w:tcW w:w="4253" w:type="dxa"/>
            <w:vAlign w:val="center"/>
          </w:tcPr>
          <w:p>
            <w:pPr>
              <w:adjustRightInd w:val="0"/>
              <w:snapToGrid w:val="0"/>
              <w:spacing w:line="360" w:lineRule="auto"/>
              <w:ind w:firstLine="1960" w:firstLineChars="7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60分-80分（含60分）</w:t>
            </w:r>
          </w:p>
        </w:tc>
        <w:tc>
          <w:tcPr>
            <w:tcW w:w="4253" w:type="dxa"/>
            <w:vAlign w:val="center"/>
          </w:tcPr>
          <w:p>
            <w:pPr>
              <w:adjustRightInd w:val="0"/>
              <w:snapToGrid w:val="0"/>
              <w:spacing w:line="360" w:lineRule="auto"/>
              <w:ind w:firstLine="1960" w:firstLineChars="7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adjustRightInd w:val="0"/>
              <w:snapToGrid w:val="0"/>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60分以下</w:t>
            </w:r>
          </w:p>
        </w:tc>
        <w:tc>
          <w:tcPr>
            <w:tcW w:w="4253" w:type="dxa"/>
            <w:vAlign w:val="center"/>
          </w:tcPr>
          <w:p>
            <w:pPr>
              <w:adjustRightInd w:val="0"/>
              <w:snapToGrid w:val="0"/>
              <w:spacing w:line="360" w:lineRule="auto"/>
              <w:ind w:firstLine="1960" w:firstLineChars="7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差</w:t>
            </w:r>
          </w:p>
        </w:tc>
      </w:tr>
    </w:tbl>
    <w:p>
      <w:pPr>
        <w:adjustRightInd w:val="0"/>
        <w:snapToGrid w:val="0"/>
        <w:spacing w:line="360" w:lineRule="auto"/>
        <w:ind w:firstLine="560" w:firstLineChars="200"/>
        <w:textAlignment w:val="center"/>
        <w:rPr>
          <w:rFonts w:cs="宋体" w:asciiTheme="majorEastAsia" w:hAnsiTheme="majorEastAsia" w:eastAsiaTheme="majorEastAsia"/>
          <w:color w:val="333333"/>
          <w:kern w:val="0"/>
          <w:sz w:val="28"/>
          <w:szCs w:val="28"/>
          <w:shd w:val="clear" w:color="auto" w:fill="FFFFFF"/>
        </w:rPr>
      </w:pPr>
      <w:r>
        <w:rPr>
          <w:rFonts w:hint="eastAsia" w:cs="宋体" w:asciiTheme="majorEastAsia" w:hAnsiTheme="majorEastAsia" w:eastAsiaTheme="majorEastAsia"/>
          <w:color w:val="333333"/>
          <w:kern w:val="0"/>
          <w:sz w:val="28"/>
          <w:szCs w:val="28"/>
          <w:shd w:val="clear" w:color="auto" w:fill="FFFFFF"/>
        </w:rPr>
        <w:t>2、主要结论</w:t>
      </w:r>
    </w:p>
    <w:p>
      <w:pPr>
        <w:adjustRightInd w:val="0"/>
        <w:snapToGrid w:val="0"/>
        <w:spacing w:line="360" w:lineRule="auto"/>
        <w:ind w:firstLine="560" w:firstLineChars="200"/>
        <w:textAlignment w:val="center"/>
        <w:rPr>
          <w:rFonts w:cs="宋体" w:asciiTheme="majorEastAsia" w:hAnsiTheme="majorEastAsia" w:eastAsiaTheme="majorEastAsia"/>
          <w:color w:val="333333"/>
          <w:kern w:val="0"/>
          <w:sz w:val="28"/>
          <w:szCs w:val="28"/>
          <w:shd w:val="clear" w:color="auto" w:fill="FFFFFF"/>
        </w:rPr>
      </w:pPr>
      <w:r>
        <w:rPr>
          <w:rFonts w:hint="eastAsia" w:cs="宋体" w:asciiTheme="majorEastAsia" w:hAnsiTheme="majorEastAsia" w:eastAsiaTheme="majorEastAsia"/>
          <w:color w:val="333333"/>
          <w:kern w:val="0"/>
          <w:sz w:val="28"/>
          <w:szCs w:val="28"/>
          <w:shd w:val="clear" w:color="auto" w:fill="FFFFFF"/>
        </w:rPr>
        <w:t>我们认为，2021年度城区生活垃圾转运市场运行经费项目立项规范、合理，管理制度健全，并得到了有效地实施。社会效益明显。</w:t>
      </w:r>
    </w:p>
    <w:p>
      <w:pPr>
        <w:adjustRightInd w:val="0"/>
        <w:snapToGrid w:val="0"/>
        <w:spacing w:line="360" w:lineRule="auto"/>
        <w:ind w:firstLine="560" w:firstLineChars="200"/>
        <w:textAlignment w:val="center"/>
        <w:rPr>
          <w:rFonts w:cs="宋体" w:asciiTheme="majorEastAsia" w:hAnsiTheme="majorEastAsia" w:eastAsiaTheme="majorEastAsia"/>
          <w:color w:val="333333"/>
          <w:kern w:val="0"/>
          <w:sz w:val="28"/>
          <w:szCs w:val="28"/>
          <w:shd w:val="clear" w:color="auto" w:fill="FFFFFF"/>
        </w:rPr>
      </w:pPr>
      <w:r>
        <w:rPr>
          <w:rFonts w:hint="eastAsia" w:cs="宋体" w:asciiTheme="majorEastAsia" w:hAnsiTheme="majorEastAsia" w:eastAsiaTheme="majorEastAsia"/>
          <w:color w:val="333333"/>
          <w:kern w:val="0"/>
          <w:sz w:val="28"/>
          <w:szCs w:val="28"/>
          <w:shd w:val="clear" w:color="auto" w:fill="FFFFFF"/>
        </w:rPr>
        <w:t>经综合评分，2021年度城区生活垃圾转运市场运行经费项目综合绩效评分“81”分，评价结果为“良”。</w:t>
      </w:r>
    </w:p>
    <w:p>
      <w:pPr>
        <w:adjustRightInd w:val="0"/>
        <w:snapToGrid w:val="0"/>
        <w:spacing w:line="360" w:lineRule="auto"/>
        <w:textAlignment w:val="center"/>
        <w:rPr>
          <w:rFonts w:cs="宋体" w:asciiTheme="majorEastAsia" w:hAnsiTheme="majorEastAsia" w:eastAsiaTheme="majorEastAsia"/>
          <w:b/>
          <w:sz w:val="28"/>
          <w:szCs w:val="28"/>
        </w:rPr>
      </w:pPr>
      <w:r>
        <w:rPr>
          <w:rFonts w:hint="eastAsia" w:cs="宋体" w:asciiTheme="majorEastAsia" w:hAnsiTheme="majorEastAsia" w:eastAsiaTheme="majorEastAsia"/>
          <w:b/>
          <w:bCs/>
          <w:sz w:val="28"/>
          <w:szCs w:val="28"/>
        </w:rPr>
        <w:t>四、</w:t>
      </w:r>
      <w:r>
        <w:rPr>
          <w:rFonts w:hint="eastAsia" w:cs="宋体" w:asciiTheme="majorEastAsia" w:hAnsiTheme="majorEastAsia" w:eastAsiaTheme="majorEastAsia"/>
          <w:b/>
          <w:color w:val="000000"/>
          <w:sz w:val="28"/>
          <w:szCs w:val="28"/>
        </w:rPr>
        <w:t>经验教训和建议</w:t>
      </w:r>
    </w:p>
    <w:p>
      <w:pPr>
        <w:adjustRightInd w:val="0"/>
        <w:snapToGrid w:val="0"/>
        <w:spacing w:line="360" w:lineRule="auto"/>
        <w:ind w:firstLine="422" w:firstLineChars="150"/>
        <w:textAlignment w:val="center"/>
        <w:rPr>
          <w:rFonts w:cs="宋体" w:asciiTheme="majorEastAsia" w:hAnsiTheme="majorEastAsia" w:eastAsiaTheme="majorEastAsia"/>
          <w:b/>
          <w:color w:val="0C0C0C"/>
          <w:sz w:val="28"/>
          <w:szCs w:val="28"/>
        </w:rPr>
      </w:pPr>
      <w:r>
        <w:rPr>
          <w:rFonts w:hint="eastAsia" w:cs="宋体" w:asciiTheme="majorEastAsia" w:hAnsiTheme="majorEastAsia" w:eastAsiaTheme="majorEastAsia"/>
          <w:b/>
          <w:color w:val="0C0C0C"/>
          <w:sz w:val="28"/>
          <w:szCs w:val="28"/>
        </w:rPr>
        <w:t>（一）经验</w:t>
      </w:r>
    </w:p>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1、提升了执法队伍水平。坚持党建引领，以</w:t>
      </w:r>
      <w:r>
        <w:rPr>
          <w:rFonts w:hint="eastAsia" w:cs="宋体" w:asciiTheme="majorEastAsia" w:hAnsiTheme="majorEastAsia" w:eastAsiaTheme="majorEastAsia"/>
          <w:sz w:val="28"/>
          <w:szCs w:val="28"/>
          <w:lang w:eastAsia="zh-CN"/>
        </w:rPr>
        <w:t>党史学习教育</w:t>
      </w:r>
      <w:r>
        <w:rPr>
          <w:rFonts w:hint="eastAsia" w:cs="宋体" w:asciiTheme="majorEastAsia" w:hAnsiTheme="majorEastAsia" w:eastAsiaTheme="majorEastAsia"/>
          <w:sz w:val="28"/>
          <w:szCs w:val="28"/>
        </w:rPr>
        <w:t>为契机，举办读书班4期，开展红色教育现场教学1次，分别组织党员干部参加系统内部测试和全县党史知识竞赛1次，不断提升基层执法队伍政治品质。</w:t>
      </w:r>
    </w:p>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2、提升了执法办案能力。重拳打击县城规划违法建设，坚持做到“逢违必拆”今年上半年累计拆除36起，拆除面积约3102平方米，成功解决市县纪委交办件、群众信访案件9起。</w:t>
      </w:r>
    </w:p>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探索常规管理模式创新，抓好“数字城管”运用。探索发挥数字城管指挥中心平台巡查上报、监督审核、组织协调、综合调度等功能，运用执法记录仪、视频监控、“城管通”等设施设备，提升执法进度和效率，共受理各类城市管理线索640起，事件处理率达90%。</w:t>
      </w:r>
    </w:p>
    <w:p>
      <w:pPr>
        <w:adjustRightInd w:val="0"/>
        <w:snapToGrid w:val="0"/>
        <w:spacing w:line="360" w:lineRule="auto"/>
        <w:ind w:firstLine="562" w:firstLineChars="200"/>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(二) 存在的问题</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1、随县城市管理执法局未按照《县财政局关于2021年开展县本级财政支出绩效评价工作的通知》（随县财发〔2022〕11号）等文件要求编制项目绩效自评表，未编制项目绩效自评报告，且未在2021年决算报告中公开项目绩效。</w:t>
      </w:r>
    </w:p>
    <w:p>
      <w:pPr>
        <w:pStyle w:val="25"/>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2、在疫情常态化情况下县城生活垃圾收集、分类、处置能力面临新的挑战，垃圾转运成本高，城乡垃圾分类工作推进十分缓慢。</w:t>
      </w:r>
    </w:p>
    <w:p>
      <w:pPr>
        <w:pStyle w:val="25"/>
        <w:adjustRightInd w:val="0"/>
        <w:snapToGrid w:val="0"/>
        <w:spacing w:line="360" w:lineRule="auto"/>
        <w:rPr>
          <w:rFonts w:cs="宋体" w:asciiTheme="majorEastAsia" w:hAnsiTheme="majorEastAsia" w:eastAsiaTheme="majorEastAsia"/>
          <w:b/>
          <w:bCs/>
          <w:sz w:val="28"/>
          <w:szCs w:val="28"/>
        </w:rPr>
      </w:pPr>
      <w:r>
        <w:rPr>
          <w:rFonts w:hint="eastAsia" w:cs="宋体" w:asciiTheme="majorEastAsia" w:hAnsiTheme="majorEastAsia" w:eastAsiaTheme="majorEastAsia"/>
          <w:sz w:val="28"/>
          <w:szCs w:val="28"/>
        </w:rPr>
        <w:t xml:space="preserve"> </w:t>
      </w:r>
      <w:r>
        <w:rPr>
          <w:rFonts w:hint="eastAsia" w:cs="宋体" w:asciiTheme="majorEastAsia" w:hAnsiTheme="majorEastAsia" w:eastAsiaTheme="majorEastAsia"/>
          <w:b/>
          <w:bCs/>
          <w:sz w:val="28"/>
          <w:szCs w:val="28"/>
        </w:rPr>
        <w:t>（三）</w:t>
      </w:r>
      <w:r>
        <w:rPr>
          <w:rFonts w:hint="eastAsia" w:cs="宋体" w:asciiTheme="majorEastAsia" w:hAnsiTheme="majorEastAsia" w:eastAsiaTheme="majorEastAsia"/>
          <w:b/>
          <w:color w:val="0C0C0C"/>
          <w:sz w:val="28"/>
          <w:szCs w:val="28"/>
        </w:rPr>
        <w:t>建议和改进举措</w:t>
      </w:r>
    </w:p>
    <w:p>
      <w:pPr>
        <w:autoSpaceDN w:val="0"/>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1、在绩效管理方面，加强部门预算之间的统筹，科学合理制定项目绩效考核指标，定期做好支出预算财务分析，做好部门整体支出预算评价工作；要加强监督检查和考核，建立可持续性绩效考核，使财政资金产生更大的经济效益和社会效益。规范项目申报，科学制定绩效目标，提升项目绩效预算编制工作的质量和效率，项目绩效预算编制的数量和资金规模应与项目绩效目标相适应，绩效目标要做到内容完整、清晰，指标细化、具体，附件齐备。</w:t>
      </w:r>
    </w:p>
    <w:p>
      <w:pPr>
        <w:pStyle w:val="25"/>
        <w:adjustRightInd w:val="0"/>
        <w:snapToGrid w:val="0"/>
        <w:spacing w:line="360" w:lineRule="auto"/>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  2、县城生活垃圾收集、分类、处置能力有待提升。目前县城区垃圾中转站共有两座，分别位于洪山大道和振兴路，建成时间较早，需进行改造后才能投入使用，拟计划在县人民医院东规划建设标准化垃圾压缩和垃圾分类再生资源分拣中心，在确保县城及乡镇生活垃圾能够及时运至市生活垃圾焚烧发电厂进行处理和推进落实城乡生活垃圾分类工作的同时，缩短到市焚烧发电厂的转运距离，每年可节约转运资金20余万元。</w:t>
      </w:r>
    </w:p>
    <w:p>
      <w:pPr>
        <w:adjustRightInd w:val="0"/>
        <w:snapToGrid w:val="0"/>
        <w:spacing w:line="360" w:lineRule="auto"/>
        <w:textAlignment w:val="center"/>
        <w:rPr>
          <w:rFonts w:cs="宋体" w:asciiTheme="majorEastAsia" w:hAnsiTheme="majorEastAsia" w:eastAsiaTheme="majorEastAsia"/>
          <w:color w:val="000000"/>
          <w:sz w:val="28"/>
          <w:szCs w:val="28"/>
        </w:rPr>
      </w:pPr>
      <w:bookmarkStart w:id="0" w:name="_Toc452659715"/>
      <w:r>
        <w:rPr>
          <w:rFonts w:hint="eastAsia" w:cs="宋体" w:asciiTheme="majorEastAsia" w:hAnsiTheme="majorEastAsia" w:eastAsiaTheme="majorEastAsia"/>
          <w:b/>
          <w:sz w:val="28"/>
          <w:szCs w:val="28"/>
        </w:rPr>
        <w:t>五、其它需要说明的问题</w:t>
      </w:r>
    </w:p>
    <w:p>
      <w:pPr>
        <w:adjustRightInd w:val="0"/>
        <w:snapToGrid w:val="0"/>
        <w:spacing w:line="360" w:lineRule="auto"/>
        <w:ind w:firstLine="560" w:firstLineChars="200"/>
        <w:textAlignment w:val="center"/>
        <w:rPr>
          <w:rFonts w:cs="宋体" w:asciiTheme="majorEastAsia" w:hAnsiTheme="majorEastAsia" w:eastAsiaTheme="majorEastAsia"/>
          <w:color w:val="000000"/>
          <w:sz w:val="28"/>
          <w:szCs w:val="28"/>
        </w:rPr>
      </w:pPr>
      <w:r>
        <w:rPr>
          <w:rFonts w:hint="eastAsia" w:cs="宋体" w:asciiTheme="majorEastAsia" w:hAnsiTheme="majorEastAsia" w:eastAsiaTheme="majorEastAsia"/>
          <w:color w:val="000000"/>
          <w:sz w:val="28"/>
          <w:szCs w:val="28"/>
        </w:rPr>
        <w:t>本项目评价小组采用抽查的形式，重点查看了相关记录表、会计凭证、审批资料等，因核查内容不全面和评价人员能力有限，评价报告可能存在一定的局限性。</w:t>
      </w:r>
    </w:p>
    <w:bookmarkEnd w:id="0"/>
    <w:p>
      <w:pPr>
        <w:adjustRightInd w:val="0"/>
        <w:snapToGrid w:val="0"/>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附件：</w:t>
      </w:r>
    </w:p>
    <w:p>
      <w:pPr>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sz w:val="28"/>
          <w:szCs w:val="28"/>
        </w:rPr>
        <w:t>1、</w:t>
      </w:r>
      <w:r>
        <w:rPr>
          <w:rFonts w:hint="eastAsia" w:cs="宋体" w:asciiTheme="majorEastAsia" w:hAnsiTheme="majorEastAsia" w:eastAsiaTheme="majorEastAsia"/>
          <w:color w:val="000000"/>
          <w:sz w:val="28"/>
          <w:szCs w:val="28"/>
          <w:shd w:val="clear" w:color="auto" w:fill="FFFFFF"/>
        </w:rPr>
        <w:t>项目支出绩效评价指标表</w:t>
      </w:r>
    </w:p>
    <w:p>
      <w:pPr>
        <w:spacing w:line="360" w:lineRule="auto"/>
        <w:ind w:firstLine="560" w:firstLineChars="200"/>
        <w:textAlignment w:val="center"/>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2、第三方评价机构营业执照和资质证书</w:t>
      </w:r>
    </w:p>
    <w:p>
      <w:pPr>
        <w:spacing w:line="360" w:lineRule="auto"/>
        <w:ind w:firstLine="943" w:firstLineChars="337"/>
        <w:rPr>
          <w:rFonts w:asciiTheme="majorEastAsia" w:hAnsiTheme="majorEastAsia" w:eastAsiaTheme="majorEastAsia"/>
          <w:sz w:val="28"/>
          <w:szCs w:val="28"/>
        </w:rPr>
      </w:pPr>
    </w:p>
    <w:p>
      <w:pPr>
        <w:spacing w:line="360" w:lineRule="auto"/>
        <w:ind w:firstLine="943" w:firstLineChars="337"/>
        <w:rPr>
          <w:rFonts w:asciiTheme="majorEastAsia" w:hAnsiTheme="majorEastAsia" w:eastAsiaTheme="majorEastAsia"/>
          <w:sz w:val="28"/>
          <w:szCs w:val="28"/>
        </w:rPr>
      </w:pPr>
    </w:p>
    <w:p>
      <w:pPr>
        <w:spacing w:line="360" w:lineRule="auto"/>
        <w:ind w:firstLine="943" w:firstLineChars="337"/>
        <w:rPr>
          <w:rFonts w:asciiTheme="majorEastAsia" w:hAnsiTheme="majorEastAsia" w:eastAsiaTheme="majorEastAsia"/>
          <w:sz w:val="28"/>
          <w:szCs w:val="28"/>
        </w:rPr>
      </w:pPr>
    </w:p>
    <w:p>
      <w:pPr>
        <w:spacing w:line="360" w:lineRule="auto"/>
        <w:ind w:firstLine="3463" w:firstLineChars="1237"/>
        <w:rPr>
          <w:rFonts w:cs="宋体" w:asciiTheme="majorEastAsia" w:hAnsiTheme="majorEastAsia" w:eastAsiaTheme="majorEastAsia"/>
          <w:color w:val="000000"/>
          <w:sz w:val="28"/>
          <w:szCs w:val="28"/>
          <w:shd w:val="clear" w:color="auto" w:fill="FFFFFF"/>
        </w:rPr>
      </w:pPr>
      <w:r>
        <w:rPr>
          <w:rFonts w:cs="宋体" w:asciiTheme="majorEastAsia" w:hAnsiTheme="majorEastAsia" w:eastAsiaTheme="majorEastAsia"/>
          <w:color w:val="000000"/>
          <w:sz w:val="28"/>
          <w:szCs w:val="28"/>
          <w:shd w:val="clear" w:color="auto" w:fill="FFFFFF"/>
        </w:rPr>
        <w:t>湖北德佳会计师事务所（普通合伙）</w:t>
      </w:r>
    </w:p>
    <w:p>
      <w:pPr>
        <w:spacing w:line="360" w:lineRule="auto"/>
        <w:ind w:firstLine="3743" w:firstLineChars="1337"/>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二0二二年十二月十一日</w:t>
      </w:r>
    </w:p>
    <w:p>
      <w:pPr>
        <w:adjustRightInd w:val="0"/>
        <w:snapToGrid w:val="0"/>
        <w:spacing w:line="360" w:lineRule="auto"/>
        <w:ind w:firstLine="943" w:firstLineChars="337"/>
        <w:rPr>
          <w:rFonts w:ascii="宋体" w:hAnsi="宋体" w:cs="宋体"/>
          <w:sz w:val="28"/>
          <w:szCs w:val="28"/>
        </w:rPr>
      </w:pPr>
    </w:p>
    <w:p>
      <w:pPr>
        <w:adjustRightInd w:val="0"/>
        <w:snapToGrid w:val="0"/>
        <w:spacing w:line="360" w:lineRule="auto"/>
        <w:ind w:firstLine="482"/>
        <w:rPr>
          <w:rFonts w:ascii="宋体" w:hAnsi="宋体" w:cs="宋体"/>
          <w:sz w:val="28"/>
          <w:szCs w:val="28"/>
        </w:rPr>
      </w:pPr>
    </w:p>
    <w:p>
      <w:pPr>
        <w:widowControl/>
        <w:adjustRightInd w:val="0"/>
        <w:snapToGrid w:val="0"/>
        <w:spacing w:line="360" w:lineRule="auto"/>
        <w:jc w:val="left"/>
        <w:rPr>
          <w:rFonts w:asciiTheme="minorEastAsia" w:hAnsiTheme="minorEastAsia" w:eastAsiaTheme="minorEastAsia"/>
          <w:sz w:val="28"/>
          <w:szCs w:val="2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101893"/>
    </w:sdtPr>
    <w:sdtContent>
      <w:p>
        <w:pPr>
          <w:pStyle w:val="9"/>
          <w:jc w:val="center"/>
        </w:pPr>
        <w:r>
          <w:fldChar w:fldCharType="begin"/>
        </w:r>
        <w:r>
          <w:instrText xml:space="preserve">PAGE   \* MERGEFORMAT</w:instrText>
        </w:r>
        <w:r>
          <w:fldChar w:fldCharType="separate"/>
        </w:r>
        <w:r>
          <w:rPr>
            <w:lang w:val="zh-CN"/>
          </w:rPr>
          <w:t>16</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70C5D"/>
    <w:multiLevelType w:val="singleLevel"/>
    <w:tmpl w:val="CCE70C5D"/>
    <w:lvl w:ilvl="0" w:tentative="0">
      <w:start w:val="1"/>
      <w:numFmt w:val="decimal"/>
      <w:suff w:val="nothing"/>
      <w:lvlText w:val="（%1）"/>
      <w:lvlJc w:val="left"/>
    </w:lvl>
  </w:abstractNum>
  <w:abstractNum w:abstractNumId="1">
    <w:nsid w:val="4B00106A"/>
    <w:multiLevelType w:val="multilevel"/>
    <w:tmpl w:val="4B00106A"/>
    <w:lvl w:ilvl="0" w:tentative="0">
      <w:start w:val="1"/>
      <w:numFmt w:val="bullet"/>
      <w:lvlText w:val=""/>
      <w:lvlJc w:val="left"/>
      <w:pPr>
        <w:tabs>
          <w:tab w:val="left" w:pos="1022"/>
        </w:tabs>
        <w:ind w:left="1022" w:hanging="420"/>
      </w:pPr>
      <w:rPr>
        <w:rFonts w:hint="default" w:ascii="Wingdings" w:hAnsi="Wingdings"/>
        <w:sz w:val="21"/>
      </w:rPr>
    </w:lvl>
    <w:lvl w:ilvl="1" w:tentative="0">
      <w:start w:val="1"/>
      <w:numFmt w:val="bullet"/>
      <w:lvlText w:val=""/>
      <w:lvlJc w:val="left"/>
      <w:pPr>
        <w:tabs>
          <w:tab w:val="left" w:pos="1442"/>
        </w:tabs>
        <w:ind w:left="1442" w:hanging="420"/>
      </w:pPr>
      <w:rPr>
        <w:rFonts w:hint="default" w:ascii="Wingdings" w:hAnsi="Wingdings"/>
      </w:rPr>
    </w:lvl>
    <w:lvl w:ilvl="2" w:tentative="0">
      <w:start w:val="1"/>
      <w:numFmt w:val="bullet"/>
      <w:lvlText w:val=""/>
      <w:lvlJc w:val="left"/>
      <w:pPr>
        <w:tabs>
          <w:tab w:val="left" w:pos="1862"/>
        </w:tabs>
        <w:ind w:left="1862" w:hanging="420"/>
      </w:pPr>
      <w:rPr>
        <w:rFonts w:hint="default" w:ascii="Wingdings" w:hAnsi="Wingdings"/>
      </w:rPr>
    </w:lvl>
    <w:lvl w:ilvl="3" w:tentative="0">
      <w:start w:val="1"/>
      <w:numFmt w:val="bullet"/>
      <w:lvlText w:val=""/>
      <w:lvlJc w:val="left"/>
      <w:pPr>
        <w:tabs>
          <w:tab w:val="left" w:pos="2282"/>
        </w:tabs>
        <w:ind w:left="2282" w:hanging="420"/>
      </w:pPr>
      <w:rPr>
        <w:rFonts w:hint="default" w:ascii="Wingdings" w:hAnsi="Wingdings"/>
      </w:rPr>
    </w:lvl>
    <w:lvl w:ilvl="4" w:tentative="0">
      <w:start w:val="1"/>
      <w:numFmt w:val="bullet"/>
      <w:lvlText w:val=""/>
      <w:lvlJc w:val="left"/>
      <w:pPr>
        <w:tabs>
          <w:tab w:val="left" w:pos="2702"/>
        </w:tabs>
        <w:ind w:left="2702" w:hanging="420"/>
      </w:pPr>
      <w:rPr>
        <w:rFonts w:hint="default" w:ascii="Wingdings" w:hAnsi="Wingdings"/>
      </w:rPr>
    </w:lvl>
    <w:lvl w:ilvl="5" w:tentative="0">
      <w:start w:val="1"/>
      <w:numFmt w:val="bullet"/>
      <w:lvlText w:val=""/>
      <w:lvlJc w:val="left"/>
      <w:pPr>
        <w:tabs>
          <w:tab w:val="left" w:pos="3122"/>
        </w:tabs>
        <w:ind w:left="3122" w:hanging="420"/>
      </w:pPr>
      <w:rPr>
        <w:rFonts w:hint="default" w:ascii="Wingdings" w:hAnsi="Wingdings"/>
      </w:rPr>
    </w:lvl>
    <w:lvl w:ilvl="6" w:tentative="0">
      <w:start w:val="1"/>
      <w:numFmt w:val="bullet"/>
      <w:lvlText w:val=""/>
      <w:lvlJc w:val="left"/>
      <w:pPr>
        <w:tabs>
          <w:tab w:val="left" w:pos="3542"/>
        </w:tabs>
        <w:ind w:left="3542" w:hanging="420"/>
      </w:pPr>
      <w:rPr>
        <w:rFonts w:hint="default" w:ascii="Wingdings" w:hAnsi="Wingdings"/>
      </w:rPr>
    </w:lvl>
    <w:lvl w:ilvl="7" w:tentative="0">
      <w:start w:val="1"/>
      <w:numFmt w:val="bullet"/>
      <w:lvlText w:val=""/>
      <w:lvlJc w:val="left"/>
      <w:pPr>
        <w:tabs>
          <w:tab w:val="left" w:pos="3962"/>
        </w:tabs>
        <w:ind w:left="3962" w:hanging="420"/>
      </w:pPr>
      <w:rPr>
        <w:rFonts w:hint="default" w:ascii="Wingdings" w:hAnsi="Wingdings"/>
      </w:rPr>
    </w:lvl>
    <w:lvl w:ilvl="8" w:tentative="0">
      <w:start w:val="1"/>
      <w:numFmt w:val="bullet"/>
      <w:lvlText w:val=""/>
      <w:lvlJc w:val="left"/>
      <w:pPr>
        <w:tabs>
          <w:tab w:val="left" w:pos="4382"/>
        </w:tabs>
        <w:ind w:left="4382" w:hanging="420"/>
      </w:pPr>
      <w:rPr>
        <w:rFonts w:hint="default" w:ascii="Wingdings" w:hAnsi="Wingdings"/>
      </w:rPr>
    </w:lvl>
  </w:abstractNum>
  <w:abstractNum w:abstractNumId="2">
    <w:nsid w:val="5BA7767B"/>
    <w:multiLevelType w:val="singleLevel"/>
    <w:tmpl w:val="5BA7767B"/>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iZGRiNzU3NTA5MzkwYjY0NTc2YTQ2ZTQ3YmViZjUifQ=="/>
  </w:docVars>
  <w:rsids>
    <w:rsidRoot w:val="000D3C97"/>
    <w:rsid w:val="00001204"/>
    <w:rsid w:val="0002738F"/>
    <w:rsid w:val="0003279D"/>
    <w:rsid w:val="0005329B"/>
    <w:rsid w:val="000565FB"/>
    <w:rsid w:val="00056B6F"/>
    <w:rsid w:val="00057614"/>
    <w:rsid w:val="000605A8"/>
    <w:rsid w:val="000611F8"/>
    <w:rsid w:val="00062797"/>
    <w:rsid w:val="000634BD"/>
    <w:rsid w:val="000751A6"/>
    <w:rsid w:val="00081A40"/>
    <w:rsid w:val="000B1720"/>
    <w:rsid w:val="000C3C17"/>
    <w:rsid w:val="000D0C53"/>
    <w:rsid w:val="000D3C97"/>
    <w:rsid w:val="000E5969"/>
    <w:rsid w:val="000E6451"/>
    <w:rsid w:val="000E77AA"/>
    <w:rsid w:val="000F66E8"/>
    <w:rsid w:val="001075B7"/>
    <w:rsid w:val="00120944"/>
    <w:rsid w:val="00132273"/>
    <w:rsid w:val="00155C48"/>
    <w:rsid w:val="001621CB"/>
    <w:rsid w:val="001825DE"/>
    <w:rsid w:val="00191446"/>
    <w:rsid w:val="0019284C"/>
    <w:rsid w:val="001A4CAE"/>
    <w:rsid w:val="001D1F79"/>
    <w:rsid w:val="001F109B"/>
    <w:rsid w:val="001F24BD"/>
    <w:rsid w:val="00202647"/>
    <w:rsid w:val="00214A81"/>
    <w:rsid w:val="0021748A"/>
    <w:rsid w:val="00220369"/>
    <w:rsid w:val="00223A64"/>
    <w:rsid w:val="00235F68"/>
    <w:rsid w:val="00240B79"/>
    <w:rsid w:val="00241CD8"/>
    <w:rsid w:val="00243BE8"/>
    <w:rsid w:val="00244F82"/>
    <w:rsid w:val="00250025"/>
    <w:rsid w:val="00255380"/>
    <w:rsid w:val="00256E90"/>
    <w:rsid w:val="002577B1"/>
    <w:rsid w:val="00264366"/>
    <w:rsid w:val="00273BC1"/>
    <w:rsid w:val="0027661B"/>
    <w:rsid w:val="00276794"/>
    <w:rsid w:val="002834A4"/>
    <w:rsid w:val="00286634"/>
    <w:rsid w:val="00286BFE"/>
    <w:rsid w:val="00287B69"/>
    <w:rsid w:val="002A6A6D"/>
    <w:rsid w:val="002A74B9"/>
    <w:rsid w:val="002A7844"/>
    <w:rsid w:val="002A7C31"/>
    <w:rsid w:val="002B304C"/>
    <w:rsid w:val="002B72AD"/>
    <w:rsid w:val="002C712D"/>
    <w:rsid w:val="002D17F6"/>
    <w:rsid w:val="002D2D4C"/>
    <w:rsid w:val="002D32B2"/>
    <w:rsid w:val="002E0546"/>
    <w:rsid w:val="002E0664"/>
    <w:rsid w:val="002E0B50"/>
    <w:rsid w:val="002E1B4C"/>
    <w:rsid w:val="002E3E6A"/>
    <w:rsid w:val="002F764A"/>
    <w:rsid w:val="00301702"/>
    <w:rsid w:val="00301E87"/>
    <w:rsid w:val="0030562C"/>
    <w:rsid w:val="003167B1"/>
    <w:rsid w:val="003232F1"/>
    <w:rsid w:val="00335394"/>
    <w:rsid w:val="003362BF"/>
    <w:rsid w:val="0034015A"/>
    <w:rsid w:val="00347602"/>
    <w:rsid w:val="00362C31"/>
    <w:rsid w:val="00367B4E"/>
    <w:rsid w:val="00385D1A"/>
    <w:rsid w:val="00393C33"/>
    <w:rsid w:val="003A7F28"/>
    <w:rsid w:val="003B38DF"/>
    <w:rsid w:val="003D7366"/>
    <w:rsid w:val="003E2290"/>
    <w:rsid w:val="003E2C09"/>
    <w:rsid w:val="003E7D49"/>
    <w:rsid w:val="0040219D"/>
    <w:rsid w:val="00402223"/>
    <w:rsid w:val="00433D7D"/>
    <w:rsid w:val="00445DC0"/>
    <w:rsid w:val="0044673D"/>
    <w:rsid w:val="00446EDD"/>
    <w:rsid w:val="0047685B"/>
    <w:rsid w:val="00481735"/>
    <w:rsid w:val="00481957"/>
    <w:rsid w:val="00482E91"/>
    <w:rsid w:val="00482EC0"/>
    <w:rsid w:val="004868D0"/>
    <w:rsid w:val="00486AA4"/>
    <w:rsid w:val="004943F9"/>
    <w:rsid w:val="004B4064"/>
    <w:rsid w:val="004C108F"/>
    <w:rsid w:val="004C7BAC"/>
    <w:rsid w:val="004E4F60"/>
    <w:rsid w:val="004E5FA4"/>
    <w:rsid w:val="004F1DEE"/>
    <w:rsid w:val="005022E8"/>
    <w:rsid w:val="00504046"/>
    <w:rsid w:val="005420F1"/>
    <w:rsid w:val="00557C14"/>
    <w:rsid w:val="0057524B"/>
    <w:rsid w:val="00581D82"/>
    <w:rsid w:val="005872EB"/>
    <w:rsid w:val="005B2721"/>
    <w:rsid w:val="005B40BC"/>
    <w:rsid w:val="005C4BB1"/>
    <w:rsid w:val="005C6B16"/>
    <w:rsid w:val="005D22F3"/>
    <w:rsid w:val="005E2467"/>
    <w:rsid w:val="005F50C9"/>
    <w:rsid w:val="005F63E5"/>
    <w:rsid w:val="0063138C"/>
    <w:rsid w:val="00637585"/>
    <w:rsid w:val="00652981"/>
    <w:rsid w:val="00666A1A"/>
    <w:rsid w:val="006728EE"/>
    <w:rsid w:val="00683BAD"/>
    <w:rsid w:val="006B0C9D"/>
    <w:rsid w:val="006B438D"/>
    <w:rsid w:val="006B7590"/>
    <w:rsid w:val="006D4BFC"/>
    <w:rsid w:val="006E5F60"/>
    <w:rsid w:val="006F5F5C"/>
    <w:rsid w:val="00701172"/>
    <w:rsid w:val="007072F9"/>
    <w:rsid w:val="00710FB8"/>
    <w:rsid w:val="007179D0"/>
    <w:rsid w:val="007300A5"/>
    <w:rsid w:val="00735FFF"/>
    <w:rsid w:val="00752F07"/>
    <w:rsid w:val="00764839"/>
    <w:rsid w:val="0077009A"/>
    <w:rsid w:val="0078262A"/>
    <w:rsid w:val="00787012"/>
    <w:rsid w:val="00790CC6"/>
    <w:rsid w:val="00790E73"/>
    <w:rsid w:val="007A5101"/>
    <w:rsid w:val="007B0059"/>
    <w:rsid w:val="007C2010"/>
    <w:rsid w:val="007D0DE6"/>
    <w:rsid w:val="007E3845"/>
    <w:rsid w:val="007E4933"/>
    <w:rsid w:val="007F6660"/>
    <w:rsid w:val="007F687C"/>
    <w:rsid w:val="008021CC"/>
    <w:rsid w:val="008174E7"/>
    <w:rsid w:val="00820F82"/>
    <w:rsid w:val="008232D6"/>
    <w:rsid w:val="00824DED"/>
    <w:rsid w:val="008307B8"/>
    <w:rsid w:val="00832996"/>
    <w:rsid w:val="00834AA1"/>
    <w:rsid w:val="00854A8C"/>
    <w:rsid w:val="00860009"/>
    <w:rsid w:val="00863DB5"/>
    <w:rsid w:val="00881B88"/>
    <w:rsid w:val="008A3B0B"/>
    <w:rsid w:val="008B7897"/>
    <w:rsid w:val="008C2B02"/>
    <w:rsid w:val="008C5EFA"/>
    <w:rsid w:val="008D08F2"/>
    <w:rsid w:val="008D24EB"/>
    <w:rsid w:val="008D315C"/>
    <w:rsid w:val="008D52AA"/>
    <w:rsid w:val="008E2D18"/>
    <w:rsid w:val="008E3734"/>
    <w:rsid w:val="008E6C58"/>
    <w:rsid w:val="008F4F7D"/>
    <w:rsid w:val="00907359"/>
    <w:rsid w:val="0092775F"/>
    <w:rsid w:val="00930CDC"/>
    <w:rsid w:val="009359E5"/>
    <w:rsid w:val="009438CC"/>
    <w:rsid w:val="00946932"/>
    <w:rsid w:val="00951629"/>
    <w:rsid w:val="00961336"/>
    <w:rsid w:val="00961E3A"/>
    <w:rsid w:val="009635CA"/>
    <w:rsid w:val="0097188A"/>
    <w:rsid w:val="00982136"/>
    <w:rsid w:val="009A4CA1"/>
    <w:rsid w:val="009C1A4E"/>
    <w:rsid w:val="009C69AD"/>
    <w:rsid w:val="009D5B08"/>
    <w:rsid w:val="009E5FDA"/>
    <w:rsid w:val="009F11B5"/>
    <w:rsid w:val="009F782D"/>
    <w:rsid w:val="00A07FFA"/>
    <w:rsid w:val="00A1488C"/>
    <w:rsid w:val="00A161F9"/>
    <w:rsid w:val="00A17360"/>
    <w:rsid w:val="00A20868"/>
    <w:rsid w:val="00A219DE"/>
    <w:rsid w:val="00A300A6"/>
    <w:rsid w:val="00A32B5D"/>
    <w:rsid w:val="00A33BD5"/>
    <w:rsid w:val="00A46EA9"/>
    <w:rsid w:val="00A52030"/>
    <w:rsid w:val="00A538D0"/>
    <w:rsid w:val="00A86B4B"/>
    <w:rsid w:val="00A9542A"/>
    <w:rsid w:val="00AA3C8F"/>
    <w:rsid w:val="00AC32D0"/>
    <w:rsid w:val="00AC6DCB"/>
    <w:rsid w:val="00AD2771"/>
    <w:rsid w:val="00AD478D"/>
    <w:rsid w:val="00AD5A2D"/>
    <w:rsid w:val="00AE142B"/>
    <w:rsid w:val="00AE349C"/>
    <w:rsid w:val="00AF461D"/>
    <w:rsid w:val="00B1152A"/>
    <w:rsid w:val="00B11F12"/>
    <w:rsid w:val="00B12CBD"/>
    <w:rsid w:val="00B2050E"/>
    <w:rsid w:val="00B2738D"/>
    <w:rsid w:val="00B55B71"/>
    <w:rsid w:val="00B56215"/>
    <w:rsid w:val="00B5694A"/>
    <w:rsid w:val="00B65F0F"/>
    <w:rsid w:val="00B67D4D"/>
    <w:rsid w:val="00B77930"/>
    <w:rsid w:val="00B84388"/>
    <w:rsid w:val="00B9732B"/>
    <w:rsid w:val="00BA1B54"/>
    <w:rsid w:val="00BD12E3"/>
    <w:rsid w:val="00BD5DC6"/>
    <w:rsid w:val="00BE5367"/>
    <w:rsid w:val="00BF081A"/>
    <w:rsid w:val="00C116A0"/>
    <w:rsid w:val="00C15C45"/>
    <w:rsid w:val="00C17C1D"/>
    <w:rsid w:val="00C17F25"/>
    <w:rsid w:val="00C210C1"/>
    <w:rsid w:val="00C213CE"/>
    <w:rsid w:val="00C27E4A"/>
    <w:rsid w:val="00C36A55"/>
    <w:rsid w:val="00C4171C"/>
    <w:rsid w:val="00C47626"/>
    <w:rsid w:val="00C52FD2"/>
    <w:rsid w:val="00C55884"/>
    <w:rsid w:val="00C60E34"/>
    <w:rsid w:val="00C73836"/>
    <w:rsid w:val="00C7770E"/>
    <w:rsid w:val="00C91786"/>
    <w:rsid w:val="00C932B2"/>
    <w:rsid w:val="00CD0409"/>
    <w:rsid w:val="00CD17EF"/>
    <w:rsid w:val="00CD319F"/>
    <w:rsid w:val="00CD33D1"/>
    <w:rsid w:val="00CD66B6"/>
    <w:rsid w:val="00CE60EC"/>
    <w:rsid w:val="00CF5085"/>
    <w:rsid w:val="00CF62DC"/>
    <w:rsid w:val="00D117D7"/>
    <w:rsid w:val="00D13388"/>
    <w:rsid w:val="00D2391C"/>
    <w:rsid w:val="00D3673F"/>
    <w:rsid w:val="00D470EB"/>
    <w:rsid w:val="00D506DD"/>
    <w:rsid w:val="00D54CE4"/>
    <w:rsid w:val="00D60B45"/>
    <w:rsid w:val="00D650DA"/>
    <w:rsid w:val="00D82CE0"/>
    <w:rsid w:val="00D954FA"/>
    <w:rsid w:val="00DB4849"/>
    <w:rsid w:val="00DC540C"/>
    <w:rsid w:val="00DC6399"/>
    <w:rsid w:val="00DD1BD9"/>
    <w:rsid w:val="00DD242F"/>
    <w:rsid w:val="00DD3059"/>
    <w:rsid w:val="00DD58AD"/>
    <w:rsid w:val="00DE3036"/>
    <w:rsid w:val="00DF4327"/>
    <w:rsid w:val="00E001A8"/>
    <w:rsid w:val="00E01CB4"/>
    <w:rsid w:val="00E05469"/>
    <w:rsid w:val="00E12D54"/>
    <w:rsid w:val="00E14E26"/>
    <w:rsid w:val="00E151A0"/>
    <w:rsid w:val="00E71B27"/>
    <w:rsid w:val="00E846D2"/>
    <w:rsid w:val="00EB0861"/>
    <w:rsid w:val="00EB302A"/>
    <w:rsid w:val="00EC5D99"/>
    <w:rsid w:val="00ED0941"/>
    <w:rsid w:val="00ED3AA7"/>
    <w:rsid w:val="00EE0DE0"/>
    <w:rsid w:val="00EE701B"/>
    <w:rsid w:val="00EF2C3C"/>
    <w:rsid w:val="00EF51ED"/>
    <w:rsid w:val="00F170D6"/>
    <w:rsid w:val="00F2237F"/>
    <w:rsid w:val="00F3115C"/>
    <w:rsid w:val="00F32466"/>
    <w:rsid w:val="00F605A4"/>
    <w:rsid w:val="00F61ECD"/>
    <w:rsid w:val="00FA3732"/>
    <w:rsid w:val="00FB2A29"/>
    <w:rsid w:val="00FB5663"/>
    <w:rsid w:val="00FC4F10"/>
    <w:rsid w:val="00FD151D"/>
    <w:rsid w:val="00FD3F20"/>
    <w:rsid w:val="00FF2283"/>
    <w:rsid w:val="00FF420D"/>
    <w:rsid w:val="00FF4402"/>
    <w:rsid w:val="015737F9"/>
    <w:rsid w:val="0302474C"/>
    <w:rsid w:val="0388150F"/>
    <w:rsid w:val="04C4304D"/>
    <w:rsid w:val="05037714"/>
    <w:rsid w:val="085E2CB5"/>
    <w:rsid w:val="10880929"/>
    <w:rsid w:val="11150BC6"/>
    <w:rsid w:val="121238F9"/>
    <w:rsid w:val="12260C10"/>
    <w:rsid w:val="130F073C"/>
    <w:rsid w:val="144C1DF3"/>
    <w:rsid w:val="16C374FE"/>
    <w:rsid w:val="196A3780"/>
    <w:rsid w:val="1AAB5F29"/>
    <w:rsid w:val="1B081BCA"/>
    <w:rsid w:val="23131BD2"/>
    <w:rsid w:val="23551E9B"/>
    <w:rsid w:val="241B7A98"/>
    <w:rsid w:val="254866AA"/>
    <w:rsid w:val="2C6E7ED4"/>
    <w:rsid w:val="2D4F1023"/>
    <w:rsid w:val="2E617B26"/>
    <w:rsid w:val="3146357B"/>
    <w:rsid w:val="33EF3EC0"/>
    <w:rsid w:val="42FA1329"/>
    <w:rsid w:val="46D00C1A"/>
    <w:rsid w:val="46FC39F0"/>
    <w:rsid w:val="48300231"/>
    <w:rsid w:val="4D78237D"/>
    <w:rsid w:val="4D882B72"/>
    <w:rsid w:val="4ECB6BE3"/>
    <w:rsid w:val="526E2797"/>
    <w:rsid w:val="53C578B3"/>
    <w:rsid w:val="53DD4E29"/>
    <w:rsid w:val="554A65FD"/>
    <w:rsid w:val="57D46D59"/>
    <w:rsid w:val="66EB7F49"/>
    <w:rsid w:val="693D556C"/>
    <w:rsid w:val="6ADA6292"/>
    <w:rsid w:val="6D1F33D4"/>
    <w:rsid w:val="6DB121B8"/>
    <w:rsid w:val="6DBE10E0"/>
    <w:rsid w:val="711D2F05"/>
    <w:rsid w:val="77DC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qFormat/>
    <w:uiPriority w:val="99"/>
  </w:style>
  <w:style w:type="paragraph" w:styleId="6">
    <w:name w:val="Body Text Indent"/>
    <w:basedOn w:val="1"/>
    <w:qFormat/>
    <w:uiPriority w:val="0"/>
    <w:pPr>
      <w:spacing w:after="120"/>
      <w:ind w:left="420" w:leftChars="200"/>
    </w:pPr>
  </w:style>
  <w:style w:type="paragraph" w:styleId="7">
    <w:name w:val="Date"/>
    <w:basedOn w:val="1"/>
    <w:next w:val="1"/>
    <w:link w:val="20"/>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paragraph" w:customStyle="1" w:styleId="17">
    <w:name w:val="列表段落1"/>
    <w:basedOn w:val="1"/>
    <w:qFormat/>
    <w:uiPriority w:val="34"/>
    <w:pPr>
      <w:ind w:firstLine="420" w:firstLineChars="200"/>
    </w:pPr>
  </w:style>
  <w:style w:type="character" w:customStyle="1" w:styleId="18">
    <w:name w:val="页眉 Char"/>
    <w:basedOn w:val="15"/>
    <w:link w:val="10"/>
    <w:semiHidden/>
    <w:qFormat/>
    <w:uiPriority w:val="99"/>
    <w:rPr>
      <w:kern w:val="2"/>
      <w:sz w:val="18"/>
      <w:szCs w:val="18"/>
    </w:rPr>
  </w:style>
  <w:style w:type="character" w:customStyle="1" w:styleId="19">
    <w:name w:val="页脚 Char"/>
    <w:basedOn w:val="15"/>
    <w:link w:val="9"/>
    <w:qFormat/>
    <w:uiPriority w:val="99"/>
    <w:rPr>
      <w:kern w:val="2"/>
      <w:sz w:val="18"/>
      <w:szCs w:val="18"/>
    </w:rPr>
  </w:style>
  <w:style w:type="character" w:customStyle="1" w:styleId="20">
    <w:name w:val="日期 Char"/>
    <w:basedOn w:val="15"/>
    <w:link w:val="7"/>
    <w:semiHidden/>
    <w:qFormat/>
    <w:uiPriority w:val="99"/>
    <w:rPr>
      <w:kern w:val="2"/>
      <w:sz w:val="21"/>
      <w:szCs w:val="22"/>
    </w:rPr>
  </w:style>
  <w:style w:type="paragraph" w:customStyle="1" w:styleId="21">
    <w:name w:val="p0"/>
    <w:basedOn w:val="1"/>
    <w:qFormat/>
    <w:uiPriority w:val="0"/>
    <w:pPr>
      <w:widowControl/>
      <w:jc w:val="left"/>
    </w:pPr>
    <w:rPr>
      <w:rFonts w:ascii="Times New Roman" w:hAnsi="Times New Roman"/>
      <w:kern w:val="0"/>
      <w:szCs w:val="21"/>
    </w:rPr>
  </w:style>
  <w:style w:type="character" w:customStyle="1" w:styleId="22">
    <w:name w:val="标题 1 Char"/>
    <w:basedOn w:val="15"/>
    <w:link w:val="4"/>
    <w:qFormat/>
    <w:uiPriority w:val="99"/>
    <w:rPr>
      <w:rFonts w:ascii="宋体" w:hAnsi="宋体" w:cs="宋体"/>
      <w:b/>
      <w:bCs/>
      <w:kern w:val="36"/>
      <w:sz w:val="48"/>
      <w:szCs w:val="48"/>
    </w:rPr>
  </w:style>
  <w:style w:type="character" w:customStyle="1" w:styleId="23">
    <w:name w:val="标题 2 Char"/>
    <w:basedOn w:val="15"/>
    <w:link w:val="5"/>
    <w:qFormat/>
    <w:uiPriority w:val="99"/>
    <w:rPr>
      <w:rFonts w:ascii="Cambria" w:hAnsi="Cambria"/>
      <w:b/>
      <w:bCs/>
      <w:kern w:val="2"/>
      <w:sz w:val="32"/>
      <w:szCs w:val="32"/>
    </w:rPr>
  </w:style>
  <w:style w:type="character" w:customStyle="1" w:styleId="24">
    <w:name w:val="批注框文本 Char"/>
    <w:basedOn w:val="15"/>
    <w:link w:val="8"/>
    <w:semiHidden/>
    <w:qFormat/>
    <w:uiPriority w:val="99"/>
    <w:rPr>
      <w:kern w:val="2"/>
      <w:sz w:val="18"/>
      <w:szCs w:val="18"/>
    </w:r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26">
    <w:name w:val="网格型1"/>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32E29E-E5EC-4386-8395-99CEDCC079B6}">
  <ds:schemaRefs/>
</ds:datastoreItem>
</file>

<file path=docProps/app.xml><?xml version="1.0" encoding="utf-8"?>
<Properties xmlns="http://schemas.openxmlformats.org/officeDocument/2006/extended-properties" xmlns:vt="http://schemas.openxmlformats.org/officeDocument/2006/docPropsVTypes">
  <Template>Normal</Template>
  <Pages>26</Pages>
  <Words>2237</Words>
  <Characters>12753</Characters>
  <Lines>106</Lines>
  <Paragraphs>29</Paragraphs>
  <TotalTime>58</TotalTime>
  <ScaleCrop>false</ScaleCrop>
  <LinksUpToDate>false</LinksUpToDate>
  <CharactersWithSpaces>14961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2017-04-19T03:00:00Z</dcterms:created>
  <dc:creator>Administrator</dc:creator>
  <cp:lastModifiedBy>猫咪酱(≧▽≦)</cp:lastModifiedBy>
  <cp:lastPrinted>2017-12-15T07:19:00Z</cp:lastPrinted>
  <dcterms:modified xsi:type="dcterms:W3CDTF">2023-10-09T08:37:46Z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2DFEA3811F2C4D459A05E4A0C4C4F848_13</vt:lpwstr>
  </property>
</Properties>
</file>