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20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23</w:t>
      </w:r>
      <w:r>
        <w:rPr>
          <w:rFonts w:hint="eastAsia" w:ascii="华文中宋" w:hAnsi="华文中宋" w:eastAsia="华文中宋"/>
          <w:sz w:val="44"/>
          <w:szCs w:val="44"/>
        </w:rPr>
        <w:t>年县级部门项目（绩效目标）申报文本</w:t>
      </w:r>
    </w:p>
    <w:p>
      <w:pPr>
        <w:jc w:val="center"/>
        <w:rPr>
          <w:rFonts w:hint="eastAsia" w:ascii="方正大标宋简体" w:eastAsia="方正大标宋简体"/>
          <w:sz w:val="44"/>
          <w:szCs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Cs w:val="32"/>
          <w:lang w:eastAsia="zh-CN"/>
        </w:rPr>
      </w:pPr>
      <w:r>
        <w:rPr>
          <w:rFonts w:hint="eastAsia"/>
          <w:szCs w:val="32"/>
        </w:rPr>
        <w:t>项目名称：</w:t>
      </w:r>
      <w:r>
        <w:rPr>
          <w:rFonts w:hint="eastAsia"/>
          <w:szCs w:val="32"/>
          <w:lang w:eastAsia="zh-CN"/>
        </w:rPr>
        <w:t>随县镇级农产品质量安全监督管理站建设经费</w:t>
      </w:r>
    </w:p>
    <w:p>
      <w:pPr>
        <w:rPr>
          <w:rFonts w:hint="eastAsia"/>
          <w:szCs w:val="32"/>
        </w:rPr>
      </w:pPr>
      <w:r>
        <w:rPr>
          <w:rFonts w:hint="eastAsia"/>
          <w:szCs w:val="32"/>
        </w:rPr>
        <w:t>项目编码：</w:t>
      </w:r>
      <w:r>
        <w:rPr>
          <w:rFonts w:hint="eastAsia" w:ascii="宋体" w:hAnsi="宋体" w:eastAsia="宋体"/>
          <w:szCs w:val="32"/>
        </w:rPr>
        <w:t>20</w:t>
      </w:r>
      <w:r>
        <w:rPr>
          <w:rFonts w:hint="eastAsia" w:ascii="宋体" w:hAnsi="宋体" w:eastAsia="宋体"/>
          <w:szCs w:val="32"/>
          <w:lang w:val="en-US" w:eastAsia="zh-CN"/>
        </w:rPr>
        <w:t>23</w:t>
      </w:r>
      <w:r>
        <w:rPr>
          <w:rFonts w:hint="eastAsia"/>
          <w:szCs w:val="32"/>
        </w:rPr>
        <w:t>—部门编码—单位编码—顺序号</w:t>
      </w:r>
    </w:p>
    <w:p>
      <w:pPr>
        <w:rPr>
          <w:rFonts w:hint="eastAsia"/>
          <w:szCs w:val="32"/>
        </w:rPr>
      </w:pPr>
      <w:r>
        <w:rPr>
          <w:rFonts w:hint="eastAsia"/>
          <w:szCs w:val="32"/>
        </w:rPr>
        <w:t>项目单位：</w:t>
      </w:r>
      <w:r>
        <w:rPr>
          <w:rFonts w:hint="eastAsia"/>
          <w:szCs w:val="32"/>
          <w:lang w:eastAsia="zh-CN"/>
        </w:rPr>
        <w:t>县农业农村局农产品质量安全监管股</w:t>
      </w:r>
    </w:p>
    <w:p>
      <w:pPr>
        <w:ind w:firstLine="1280" w:firstLineChars="400"/>
        <w:rPr>
          <w:rFonts w:hint="eastAsia"/>
          <w:szCs w:val="32"/>
        </w:rPr>
      </w:pPr>
    </w:p>
    <w:p>
      <w:pPr>
        <w:ind w:firstLine="1280" w:firstLineChars="400"/>
        <w:rPr>
          <w:rFonts w:hint="eastAsia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 xml:space="preserve">申报日期 </w:t>
      </w:r>
      <w:r>
        <w:rPr>
          <w:rFonts w:hint="eastAsia"/>
          <w:szCs w:val="32"/>
          <w:lang w:val="en-US" w:eastAsia="zh-CN"/>
        </w:rPr>
        <w:t>2023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 xml:space="preserve"> 月</w:t>
      </w:r>
      <w:r>
        <w:rPr>
          <w:rFonts w:hint="eastAsia"/>
          <w:szCs w:val="32"/>
          <w:lang w:val="en-US" w:eastAsia="zh-CN"/>
        </w:rPr>
        <w:t>8</w:t>
      </w:r>
      <w:r>
        <w:rPr>
          <w:rFonts w:hint="eastAsia"/>
          <w:szCs w:val="32"/>
        </w:rPr>
        <w:t>日</w:t>
      </w: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rFonts w:hint="eastAsia" w:ascii="宋体" w:hAnsi="宋体" w:eastAsia="宋体"/>
          <w:sz w:val="40"/>
          <w:szCs w:val="40"/>
        </w:rPr>
      </w:pPr>
    </w:p>
    <w:p>
      <w:pPr>
        <w:jc w:val="center"/>
        <w:rPr>
          <w:rFonts w:hint="eastAsia" w:ascii="宋体" w:hAnsi="宋体" w:eastAsia="宋体"/>
          <w:sz w:val="40"/>
          <w:szCs w:val="40"/>
        </w:rPr>
      </w:pPr>
    </w:p>
    <w:p>
      <w:pPr>
        <w:jc w:val="center"/>
        <w:rPr>
          <w:rFonts w:hint="eastAsia" w:ascii="宋体" w:hAnsi="宋体" w:eastAsia="宋体"/>
          <w:sz w:val="40"/>
          <w:szCs w:val="40"/>
        </w:rPr>
      </w:pPr>
    </w:p>
    <w:p>
      <w:pPr>
        <w:jc w:val="center"/>
        <w:rPr>
          <w:rFonts w:hint="eastAsia" w:ascii="宋体" w:hAnsi="宋体" w:eastAsia="宋体"/>
          <w:sz w:val="40"/>
          <w:szCs w:val="40"/>
        </w:rPr>
      </w:pPr>
      <w:r>
        <w:rPr>
          <w:rFonts w:hint="eastAsia" w:ascii="宋体" w:hAnsi="宋体" w:eastAsia="宋体"/>
          <w:sz w:val="40"/>
          <w:szCs w:val="40"/>
        </w:rPr>
        <w:t>项目（绩效目标）申报表</w:t>
      </w:r>
    </w:p>
    <w:p>
      <w:pPr>
        <w:ind w:firstLine="7080" w:firstLineChars="2950"/>
        <w:rPr>
          <w:rFonts w:hint="eastAsia"/>
          <w:sz w:val="24"/>
        </w:rPr>
      </w:pPr>
      <w:r>
        <w:rPr>
          <w:rFonts w:hint="eastAsia"/>
          <w:sz w:val="24"/>
        </w:rPr>
        <w:t>单位：万元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203"/>
        <w:gridCol w:w="1599"/>
        <w:gridCol w:w="330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5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随县镇级农产品质量安全监督管理站建设经费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项目主管部门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县农业农村局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项目执行单位</w:t>
            </w:r>
          </w:p>
        </w:tc>
        <w:tc>
          <w:tcPr>
            <w:tcW w:w="3244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县农产品质量安全监管股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李艾平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44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15271355881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随县农业农村局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244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项目属性</w:t>
            </w:r>
          </w:p>
        </w:tc>
        <w:tc>
          <w:tcPr>
            <w:tcW w:w="7356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1、持续性项目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2、新增性项目 </w:t>
            </w:r>
            <w:r>
              <w:rPr>
                <w:rFonts w:hint="eastAsia"/>
                <w:sz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7356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1、常年性项目 </w:t>
            </w: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 xml:space="preserve">     3、一次性项目 □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2、延续性项目 □（从    年至     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支出功能分类</w:t>
            </w:r>
          </w:p>
        </w:tc>
        <w:tc>
          <w:tcPr>
            <w:tcW w:w="378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类</w:t>
            </w:r>
          </w:p>
        </w:tc>
        <w:tc>
          <w:tcPr>
            <w:tcW w:w="3574" w:type="dxa"/>
            <w:gridSpan w:val="2"/>
            <w:noWrap w:val="0"/>
            <w:vAlign w:val="top"/>
          </w:tcPr>
          <w:p>
            <w:pPr>
              <w:spacing w:line="440" w:lineRule="exact"/>
              <w:ind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项目申请理由</w:t>
            </w:r>
          </w:p>
        </w:tc>
        <w:tc>
          <w:tcPr>
            <w:tcW w:w="7356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为推动随县农产品质量安全示范县建设，根据《农产品质量安全法》要求，压实属地管理责任，健全基层监管机构，</w:t>
            </w:r>
            <w:r>
              <w:rPr>
                <w:rFonts w:hint="eastAsia" w:ascii="宋体" w:hAnsi="宋体"/>
                <w:sz w:val="24"/>
                <w:szCs w:val="24"/>
              </w:rPr>
              <w:t>更好地开展农产品质量安全监督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管理和监测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保障农产品质量安全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项目主要内容</w:t>
            </w:r>
          </w:p>
        </w:tc>
        <w:tc>
          <w:tcPr>
            <w:tcW w:w="7356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按照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《农产品安全法》规定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落实属地管理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责任，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健全基层监管机构，</w:t>
            </w:r>
            <w:r>
              <w:rPr>
                <w:rFonts w:hint="eastAsia" w:ascii="宋体" w:hAnsi="宋体"/>
                <w:sz w:val="24"/>
                <w:szCs w:val="24"/>
              </w:rPr>
              <w:t>开展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/>
                <w:sz w:val="24"/>
                <w:szCs w:val="24"/>
              </w:rPr>
              <w:t>农业投入品、生产环境和农产品质量安全等方面的监督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管理及对生产农产品进行监测，推动随县农产品质量安全示范县创建。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项目总预算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180万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项目当年预算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项目前两年 预算及当年 预算变动情况</w:t>
            </w:r>
          </w:p>
        </w:tc>
        <w:tc>
          <w:tcPr>
            <w:tcW w:w="7356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1、前两年预算安排情况</w:t>
            </w:r>
            <w:r>
              <w:rPr>
                <w:rFonts w:hint="eastAsia"/>
                <w:sz w:val="24"/>
                <w:lang w:eastAsia="zh-CN"/>
              </w:rPr>
              <w:t>：由于多种原因，前两年未落实基层站建设，无经费。</w:t>
            </w:r>
          </w:p>
          <w:p>
            <w:pPr>
              <w:spacing w:line="44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2、当年预算变动情况及理由是：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根据《农产品质量安全法》要求，压实属地管理责任，健全基层监管机构。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1800"/>
        <w:gridCol w:w="1863"/>
        <w:gridCol w:w="1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项目资金来源</w:t>
            </w: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来源项目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一般公共预算财政拨款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其中：申请当年预算拨款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政府性基金预算财政拨款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其他资金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其中：使用上年度财政拨款结转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  目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算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算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据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细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算</w:t>
            </w: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项目支出明细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eastAsia="zh-CN"/>
              </w:rPr>
              <w:t>农产品检验检测仪设备等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、农产品质量监管理工作经费</w:t>
            </w:r>
            <w:bookmarkStart w:id="0" w:name="_GoBack"/>
            <w:bookmarkEnd w:id="0"/>
          </w:p>
        </w:tc>
        <w:tc>
          <w:tcPr>
            <w:tcW w:w="18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测算  依据  及说明</w:t>
            </w:r>
          </w:p>
        </w:tc>
        <w:tc>
          <w:tcPr>
            <w:tcW w:w="7378" w:type="dxa"/>
            <w:gridSpan w:val="4"/>
            <w:noWrap w:val="0"/>
            <w:vAlign w:val="center"/>
          </w:tcPr>
          <w:p>
            <w:pPr>
              <w:pStyle w:val="2"/>
              <w:bidi w:val="0"/>
              <w:spacing w:line="240" w:lineRule="auto"/>
              <w:jc w:val="left"/>
              <w:rPr>
                <w:rStyle w:val="5"/>
                <w:rFonts w:hint="eastAsia" w:ascii="仿宋_GB2312" w:hAnsi="仿宋_GB2312" w:eastAsia="黑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根据《中华人民共和国农产品质量安全法》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第六条之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规定，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县级以上地方人民政府对本行政区域的农产品质量安全负责，统一领导、组织、协调本区域的农产品质量安全工作、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建立健全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农产品质量安全工作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机制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，提高农产品质量水平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依据相关单位建设标准、工作需要和设备单位报价进行测算。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0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项目采购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是否属新增  资产配置预算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一年一批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180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</w:tr>
    </w:tbl>
    <w:p>
      <w:pPr>
        <w:rPr>
          <w:rFonts w:hint="eastAsia"/>
          <w:sz w:val="24"/>
        </w:rPr>
      </w:pPr>
    </w:p>
    <w:tbl>
      <w:tblPr>
        <w:tblStyle w:val="4"/>
        <w:tblpPr w:leftFromText="180" w:rightFromText="180" w:vertAnchor="text" w:horzAnchor="page" w:tblpX="1422" w:tblpY="2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26"/>
        <w:gridCol w:w="2241"/>
        <w:gridCol w:w="1667"/>
        <w:gridCol w:w="1299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项目绩效  总目标</w:t>
            </w:r>
          </w:p>
        </w:tc>
        <w:tc>
          <w:tcPr>
            <w:tcW w:w="346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长期目标（截止年）</w:t>
            </w:r>
          </w:p>
        </w:tc>
        <w:tc>
          <w:tcPr>
            <w:tcW w:w="4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</w:trPr>
        <w:tc>
          <w:tcPr>
            <w:tcW w:w="154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67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目标1：</w:t>
            </w:r>
            <w:r>
              <w:rPr>
                <w:rFonts w:hint="eastAsia"/>
                <w:sz w:val="24"/>
                <w:lang w:eastAsia="zh-CN"/>
              </w:rPr>
              <w:t>农产品质量安全示范县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目标2：</w:t>
            </w:r>
            <w:r>
              <w:rPr>
                <w:rFonts w:hint="eastAsia"/>
                <w:sz w:val="24"/>
                <w:lang w:eastAsia="zh-CN"/>
              </w:rPr>
              <w:t>农产品质量安全指标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目标3：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4267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目标1：</w:t>
            </w:r>
            <w:r>
              <w:rPr>
                <w:rFonts w:hint="eastAsia"/>
                <w:sz w:val="24"/>
                <w:lang w:eastAsia="zh-CN"/>
              </w:rPr>
              <w:t>农产品质量安全示范县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目标2：</w:t>
            </w:r>
            <w:r>
              <w:rPr>
                <w:rFonts w:hint="eastAsia"/>
                <w:sz w:val="24"/>
                <w:lang w:eastAsia="zh-CN"/>
              </w:rPr>
              <w:t>农产品质量安全指标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目标3：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4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长期目标1：</w:t>
            </w:r>
          </w:p>
        </w:tc>
        <w:tc>
          <w:tcPr>
            <w:tcW w:w="7734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农产品质量安全示范县创建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农产品质量安全指标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长期绩效  指    标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一级指标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二级指标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指标名称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指标值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</w:trPr>
        <w:tc>
          <w:tcPr>
            <w:tcW w:w="154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农产品质量安全示范县创建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质量</w:t>
            </w:r>
            <w:r>
              <w:rPr>
                <w:rFonts w:hint="eastAsia"/>
                <w:sz w:val="24"/>
              </w:rPr>
              <w:t>指标</w:t>
            </w:r>
          </w:p>
        </w:tc>
        <w:tc>
          <w:tcPr>
            <w:tcW w:w="1667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种植产品残留监测合格率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98%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154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质量</w:t>
            </w:r>
            <w:r>
              <w:rPr>
                <w:rFonts w:hint="eastAsia"/>
                <w:sz w:val="24"/>
              </w:rPr>
              <w:t>指标</w:t>
            </w:r>
          </w:p>
        </w:tc>
        <w:tc>
          <w:tcPr>
            <w:tcW w:w="1667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兽药和“瘦肉精”残留监测合格率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98%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54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质量</w:t>
            </w:r>
            <w:r>
              <w:rPr>
                <w:rFonts w:hint="eastAsia"/>
                <w:sz w:val="24"/>
              </w:rPr>
              <w:t>指标</w:t>
            </w:r>
          </w:p>
        </w:tc>
        <w:tc>
          <w:tcPr>
            <w:tcW w:w="1667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水产品药物残留监测合格率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98%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</w:trPr>
        <w:tc>
          <w:tcPr>
            <w:tcW w:w="154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效益指标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社会效益</w:t>
            </w:r>
            <w:r>
              <w:rPr>
                <w:rFonts w:hint="eastAsia"/>
                <w:sz w:val="24"/>
              </w:rPr>
              <w:t>指标</w:t>
            </w:r>
          </w:p>
        </w:tc>
        <w:tc>
          <w:tcPr>
            <w:tcW w:w="1667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服务满意度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100%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</w:trPr>
        <w:tc>
          <w:tcPr>
            <w:tcW w:w="154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指标</w:t>
            </w:r>
          </w:p>
        </w:tc>
        <w:tc>
          <w:tcPr>
            <w:tcW w:w="16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19" w:tblpY="2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264"/>
        <w:gridCol w:w="1157"/>
        <w:gridCol w:w="1581"/>
        <w:gridCol w:w="941"/>
        <w:gridCol w:w="7"/>
        <w:gridCol w:w="836"/>
        <w:gridCol w:w="1039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</w:trPr>
        <w:tc>
          <w:tcPr>
            <w:tcW w:w="910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年度目标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7614" w:type="dxa"/>
            <w:gridSpan w:val="8"/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农产品质量安全指标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年度绩效  指   标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一级指标</w:t>
            </w:r>
          </w:p>
        </w:tc>
        <w:tc>
          <w:tcPr>
            <w:tcW w:w="11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二级指标</w:t>
            </w: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指标名称</w:t>
            </w:r>
          </w:p>
        </w:tc>
        <w:tc>
          <w:tcPr>
            <w:tcW w:w="282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指标值</w:t>
            </w:r>
          </w:p>
        </w:tc>
        <w:tc>
          <w:tcPr>
            <w:tcW w:w="78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绩效    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7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  <w:u w:val="single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项目近两年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指标值</w:t>
            </w: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预期  当年  实现值</w:t>
            </w:r>
          </w:p>
        </w:tc>
        <w:tc>
          <w:tcPr>
            <w:tcW w:w="78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7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  <w:u w:val="single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22年</w:t>
            </w:r>
            <w:r>
              <w:rPr>
                <w:rFonts w:hint="eastAsia"/>
                <w:sz w:val="24"/>
                <w:u w:val="single"/>
                <w:lang w:eastAsia="zh-CN"/>
              </w:rPr>
              <w:t>的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23年5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exac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产出指标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质量</w:t>
            </w:r>
            <w:r>
              <w:rPr>
                <w:rFonts w:hint="eastAsia"/>
                <w:sz w:val="24"/>
              </w:rPr>
              <w:t>指标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种植产品残留监测合格率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98%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98%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98%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行业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exac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质量</w:t>
            </w:r>
            <w:r>
              <w:rPr>
                <w:rFonts w:hint="eastAsia"/>
                <w:sz w:val="24"/>
              </w:rPr>
              <w:t>指标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兽药和“瘦肉精”残留监测合格率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98.3%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98%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98%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行业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exac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质量</w:t>
            </w:r>
            <w:r>
              <w:rPr>
                <w:rFonts w:hint="eastAsia"/>
                <w:sz w:val="24"/>
              </w:rPr>
              <w:t>指标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水产品药物残留监测合格率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98%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98%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98%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效益指标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社会效益</w:t>
            </w:r>
            <w:r>
              <w:rPr>
                <w:rFonts w:hint="eastAsia"/>
                <w:sz w:val="24"/>
              </w:rPr>
              <w:t>指标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服务满意度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100%</w:t>
            </w: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100%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100%</w:t>
            </w:r>
          </w:p>
        </w:tc>
        <w:tc>
          <w:tcPr>
            <w:tcW w:w="789" w:type="dxa"/>
            <w:noWrap w:val="0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行业标准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指标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line="240" w:lineRule="exact"/>
        <w:rPr>
          <w:rFonts w:hint="eastAsia"/>
          <w:sz w:val="24"/>
        </w:rPr>
      </w:pPr>
    </w:p>
    <w:p/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jcwYzRjM2NiNTczNDAyMDA4YjE4NmNmOTA3NGYifQ=="/>
  </w:docVars>
  <w:rsids>
    <w:rsidRoot w:val="75867CB5"/>
    <w:rsid w:val="06E56528"/>
    <w:rsid w:val="0B7F7B23"/>
    <w:rsid w:val="101A606C"/>
    <w:rsid w:val="16C54C29"/>
    <w:rsid w:val="18BC1C41"/>
    <w:rsid w:val="27C202A4"/>
    <w:rsid w:val="2C99700B"/>
    <w:rsid w:val="38E4138A"/>
    <w:rsid w:val="3D870FC7"/>
    <w:rsid w:val="462710D2"/>
    <w:rsid w:val="73905147"/>
    <w:rsid w:val="7586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1243</Words>
  <Characters>1323</Characters>
  <Lines>0</Lines>
  <Paragraphs>0</Paragraphs>
  <TotalTime>6</TotalTime>
  <ScaleCrop>false</ScaleCrop>
  <LinksUpToDate>false</LinksUpToDate>
  <CharactersWithSpaces>1427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2023-02-08T00:27:00Z</dcterms:created>
  <dc:creator>Administrator</dc:creator>
  <cp:lastModifiedBy>Administrator</cp:lastModifiedBy>
  <cp:lastPrinted>2023-02-08T02:59:00Z</cp:lastPrinted>
  <dcterms:modified xsi:type="dcterms:W3CDTF">2023-03-03T07:20:47Z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5B7CE6CF557543F3B7AB9854BFFB8B4C</vt:lpwstr>
  </property>
</Properties>
</file>