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kern w:val="0"/>
          <w:sz w:val="44"/>
          <w:szCs w:val="44"/>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b/>
          <w:bCs/>
          <w:kern w:val="0"/>
          <w:sz w:val="96"/>
          <w:szCs w:val="96"/>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b/>
          <w:bCs/>
          <w:kern w:val="0"/>
          <w:sz w:val="144"/>
          <w:szCs w:val="1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default" w:ascii="黑体" w:hAnsi="黑体" w:eastAsia="黑体" w:cs="黑体"/>
          <w:b/>
          <w:bCs/>
          <w:kern w:val="0"/>
          <w:sz w:val="96"/>
          <w:szCs w:val="96"/>
          <w:lang w:val="en-US" w:eastAsia="zh-CN" w:bidi="ar"/>
        </w:rPr>
      </w:pPr>
      <w:r>
        <w:rPr>
          <w:rFonts w:hint="eastAsia" w:ascii="黑体" w:hAnsi="黑体" w:eastAsia="黑体" w:cs="黑体"/>
          <w:b/>
          <w:bCs/>
          <w:kern w:val="0"/>
          <w:sz w:val="96"/>
          <w:szCs w:val="96"/>
          <w:lang w:val="en-US" w:eastAsia="zh-CN" w:bidi="ar"/>
        </w:rPr>
        <w:t>一、重大政策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b/>
          <w:bCs/>
          <w:kern w:val="0"/>
          <w:sz w:val="56"/>
          <w:szCs w:val="56"/>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b/>
          <w:bCs/>
          <w:kern w:val="0"/>
          <w:sz w:val="56"/>
          <w:szCs w:val="56"/>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both"/>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kern w:val="0"/>
          <w:sz w:val="44"/>
          <w:szCs w:val="44"/>
          <w:lang w:val="en-US" w:eastAsia="zh-CN" w:bidi="ar"/>
        </w:rPr>
      </w:pPr>
      <w:r>
        <w:rPr>
          <w:rFonts w:hint="eastAsia" w:ascii="黑体" w:hAnsi="黑体" w:eastAsia="黑体" w:cs="黑体"/>
          <w:kern w:val="0"/>
          <w:sz w:val="44"/>
          <w:szCs w:val="44"/>
          <w:lang w:val="en-US" w:eastAsia="zh-CN" w:bidi="ar"/>
        </w:rPr>
        <w:t>县人民政府办公室关于印发 2023年度工业经济高质量发展实施方案的通知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450" w:beforeAutospacing="0" w:after="226" w:afterAutospacing="0" w:line="480" w:lineRule="atLeast"/>
        <w:ind w:left="0" w:right="0" w:firstLine="0"/>
        <w:jc w:val="both"/>
        <w:textAlignment w:val="auto"/>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0"/>
        <w:jc w:val="left"/>
        <w:rPr>
          <w:sz w:val="24"/>
          <w:szCs w:val="24"/>
        </w:rPr>
      </w:pPr>
      <w:r>
        <w:rPr>
          <w:sz w:val="24"/>
          <w:szCs w:val="24"/>
        </w:rPr>
        <w:t>各镇人民政府、万福店农场，各风景名胜区、开发区管委会，县政府各部门：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《2023年度工业经济高质量发展实施方案》，现印发给你们，请遵照执行。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right"/>
        <w:rPr>
          <w:sz w:val="24"/>
          <w:szCs w:val="24"/>
        </w:rPr>
      </w:pPr>
      <w:r>
        <w:rPr>
          <w:sz w:val="24"/>
          <w:szCs w:val="24"/>
        </w:rPr>
        <w:t>2023年4月3日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righ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center"/>
        <w:rPr>
          <w:sz w:val="24"/>
          <w:szCs w:val="24"/>
        </w:rPr>
      </w:pPr>
      <w:r>
        <w:rPr>
          <w:rFonts w:hint="eastAsia" w:ascii="宋体" w:hAnsi="宋体" w:eastAsia="宋体" w:cs="宋体"/>
          <w:sz w:val="36"/>
          <w:szCs w:val="36"/>
        </w:rPr>
        <w:t>2023年度工业经济高质量发展实施方案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为加快推动随县工业经济高质量发展，结合我县实际，特制定如下方案。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一、总体思路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坚持以习近平新时代中国特色社会主义思想为指导，把握“稳字当头、稳中求进”工作总基调，落实工业经济“123456”发展新思路，即紧扣“高质量发展”一个主题，锚定“县域再进位，中部争百强”两个目标，做大“经济开发区、石材循环经济产业园、国家现代农业产业园”三大平台，强化“招商引资、项目建设、产业升级、营商环境”四个支撑，实现“总量、数量、体量、份量、贡献量”五大突破，实施“传统产业提升、特色产业强链、新兴产业壮大、企业技改提能、中小企业成长、企业信用培植”六大工程，围绕“5511”产业体系坚定不移深化“三抓一优”，不断提升工业经济发展水平，为实现争创“中部百强县”的战略目标提供坚强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力争在2023年实现“七个突破”：规模以上工业总产值增长12％，突破640亿元；社会消费品零售总额增长12％，突破100亿元，其中限额以上社会消费品零售总额突破30亿元；外贸出口突破6．5亿美元；新增规模以上工业企业突破26家，新增限额以上商贸单位突破25家；培育高新技术企业突破17家，国家级</w:t>
      </w:r>
      <w:r>
        <w:rPr>
          <w:rFonts w:hint="eastAsia"/>
          <w:sz w:val="24"/>
          <w:szCs w:val="24"/>
          <w:lang w:eastAsia="zh-CN"/>
        </w:rPr>
        <w:t>专精特新“小巨人”</w:t>
      </w:r>
      <w:r>
        <w:rPr>
          <w:sz w:val="24"/>
          <w:szCs w:val="24"/>
        </w:rPr>
        <w:t>企业1家，省级“专精特新”中小企业4家，制造业单项冠军企业2家；税收超2000万元工业制造业企业突破2家，税收超1000万元工业制造业企业突破5家；技改投资占工业投资比重突破30％。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一）精准实施招商引资。围绕构建“5511”产业体系，深化产业链招商、园区招商，平台招商，大力实施“回归工程”，科创园、中小企业创业园“满园计划”，举办形式多样的联谊、推介活动，促进企业回乡、人才回归、资金回流。推动随县（武汉）离岸科创中心规范运营，孵化一批注册在随县、税收在随县、工作在武汉的科创企业。力争全年招引亿元以上项目50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二）全力推动项目建设。聚焦项目建设主战场，优化完善“周会商、月通报、季评比、年考核”工作机制，进一步健全项目“签约—开工—建设—投产”全生命周期服务体系，强化日常调度和要素服务保障，着力解决项目建设审批、用地、用工、资金等实际困难，确保完成固定资产投资224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三）做大三大平台。坚持“部门围着园区转、园区围着企业转、企业围着项目转”，整合提升“一区两园”能级，加快园区基础设施提档升级和循环化改造，强化综合承载功能。推进以先进制造业为方向的县经济开发区和以特色产业为方向的石材产业园、农产品深加工产业园做大做强，力争2023年县经济开发区规模以上工业总产值突破135亿元，石材产业园产值突破300亿元，农产品深加工产业园产值突破250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四）实施传统产业提升工程。用好随县“稻米油之乡”金字招牌，打造好“两香一油”品牌，以湖北现代农业、意亚食品等公司为依托，培育产业集群，重点推进米糠油提取谷维素－阿魏酸脂研发产业化项目、生猪屠宰分割、熟食加工与冷链物流产业链项目投产达效，力争粮油食品加工产业2023年产值突破85亿元。加大厉山纺织工业园升级改造，打造服装纺织完整产业链，力争纺织服装产业2023年产值突破50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五）实施特色产业强链工程。推进香菇产业集群发展，以产业基地为载体、产业集群为依托，打造区域核心品牌。重点依托裕国菇业、耀兴大海等龙头企业，推动随县香菇精深加工及出口，构建具有全国竞争力的香菇生产加工出口基地和产品集散地，力争2023年产值突破105亿元。推进石材全产业链有序发展，完成花岗岩明阳塘矿区和钾长石矿权出让，启动建设华中石材博览园、钾长石科技产业园，推动中润石材二期、鸿盛石业、华亿丰综合利用等项目建成投产，支持石材企业技改升级、兼并重组，争取更多市场份额，力争石材产业产值突破300亿元。推进专汽及零部件产业错位发展，加大企业技改和扩能力度，重点发展房车、电力应急车、环卫车和关键零部件，推动长沣（湖北）专用汽车制造、昊飞汽车年产八千吨房车零配件生产线等项目投产达效，力争2023年产值突破55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六）实施新兴产业壮大工程。围绕高端装备、生物医药、电子信息、新材料等领域，重点推动泰熠光电高端显示屏制造项目、坤石特种容器制造项目、福鑫钢化玻璃生产项目建设，力争先进制造业产值达到90亿元。加快发展新能源产业，优化风光水储等新能源产业布局，提升风电、光电规模，推进国能长源随县百万千瓦新能源多能互补项目、随县徐家湾抽水蓄能电站项目等一批新能源项目落地，努力建成绿色综合能源示范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七）实施企业技改提能工程。实施企业技改提能工程，聚焦新兴产业发展方向，大力实施“机器换人、设备换芯、生产换线”行动，推动工业智能化、绿色化、集群化、服务化、安全化转型，巩固提升传统产业发展动能。争取省、市技改政策支持，每年由县财政拿出专项资金支持技改项目，力争2023年工业技改投资占工业投资比重突破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八）实施中小企业成长工程。实施企业择优扶强，遴选有发展潜力、有创新能力的企业，分别纳入专精特新、单项冠军企业培育库，提供有针对性地“专精特新”培育指导工作，力争新增国家级专精特新“小巨人”企业1家、省级“专精特新”中小企业4家、制造业单项冠军企业2家；加快企业进规培育，各部门加强协作，密切配合，严格落实会商制度，加强分类指导和全程帮扶，做好小微企业的定向培育、数据统计和申报进规工作，力争2023年新增规模以上工业企业突破26家。引导中小企业“走出去”发展创汇经济，力争新增出口备案企业突破20家，新增出口实绩企业6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（九）实施企业信用培植工程。进一步加强企业推介与企业辅导，推动中小微企业入库，遵循“存量控制，滚动推进”的工作方式，争取全县入库企业达到30家。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十）健全县域商业体系。实施县域商业建设行动。支持各镇（场、开发区）改造提升乡镇商贸中心、集贸市场、便民商店，增强县域商业服务能力，构建新型农村消费市场网络。力争2023年新建或改造提升乡镇商贸中心2个，县级物流配送中心1个。〖J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十一）推进企业科技创新。实施创新驱动发展战略，加大科技创新资金扶持，力争2023年高新技术企业累计达到30家、科技型中小企业达到120家，高新技术产业总产值达到160亿元，增加值38．5亿元，高新技术产业增加值占GDP比重达到12．5％，全年转化应用科技成果突破7项，技术合同成交额达到10亿元。〖J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十二）持续优化营商环境。持续深化“放管服”改革，进一步落实“领导带部门包企业”工作机制，认真开展“四个一”（“一企一策”和“一事一议”）服务，当好服务企业“有呼必应、无事不扰”的“店小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四、考核调度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（一）完善考核办法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1．按照县绩效办制定的考核指标体系，结合我县实际，对我县经济商务指标通过“规企产值”“新增规企个数”“限上社会消费品零售总额”“新增限上商贸企业个数”“外贸出口额”五个指标进行考核。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2．规企产值和新增规企个数合并按100分计分，其中规企产值70分，新增规企30分；限额以上社零总额和新增限上商贸企业个数按100分计分，其中限额以上社零总额70分，新增限上商贸企业30分；外贸出口额按100分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3．每季度对各镇（场、景区、开发区）经济商务指标按平均完成进度进行打分，以简报形式进行通报；年终按照绩效办制定的考核指标体系对各镇（场、景区、开发区）所承载的目标任务按百分制乘以权重进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（二）建立调度机制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由县招商服务中心牵头，县发改、科经、财政、税务、统计等相关部门参加，每月3日、13日、23日组织一次会商调度活动，以“一企一策”现场办公形式和集中会议会商形式进行，主要对招商项目可行性进行论证，对项目建设、企业生产经营、工业经济商务运行中遇到的困难和问题进行会商研究。落实各部门责任分工，及时解决各环节的“急难愁盼”问题，注重实效、解决“难点”、打通“堵点”、消除“痛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五、政策支持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一）鼓励企业进规进限。支持引导经营能力强、效益好的小微企业等市场主体快成长上规模，对新纳入的规上工业企业、限上商贸企业、规模以上服务业，每户由县财政一次性奖励3万元，每净增一家规上、限上企业由县级财政补助镇（场、景区、开发区）工作经费1万元，补助县级主管部门工作经费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二）加大技改支持力度。每年从财政资金安排500万元支持技改项目，凡新增设备投资额达500万元以上，在“湖北省工业和技术改造项目管理系统”平台上完成数据录入，且进入我县统计部门工业投资和技术改造项目库的技改项目，给予实际设备投资额5％的补贴，单个项目补贴最高不超过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三）鼓励企业试点示范。对获得湖北省支柱产业细分领域隐形冠军的企业，县财政一次性奖励10万元；对获得国家级、省级专精特新“小巨人”的企业分别一次性奖励20万元、10万元；对获得国家级、省级智能制造试点示范企业的企业分别奖励20万元、10万元；对评定为湖北省信息化和工业化融合试点示范企业的企业一次性奖补10万元；持续推进“万企上云”工程，对获得省级上云标杆企业的企业，每家奖励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四）鼓励企业多做贡献。对生产经营年度纳税达到500万元及以上的规上工业制造业企业（不含资源性企业），按照实际纳税额进行奖励，年纳税500－1000万元的奖励5万元，1000－2000万元的奖励10万元，2000万元以上的税收每增加1000万元增加奖励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五）鼓励发展“飞地经济”。由乡镇引进落户开发区的企业，乡镇承担投入和兑现奖励的，所有经济指标及税收留成归属招引乡镇；不承担投入和兑现奖励的，所有经济指标归属招引乡镇，企业缴纳税收的地方留成部分30％归属招引乡镇，70％归属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（六）支持企业进入资本市场。对在主板上市的企业一次性奖励300万元，对在“新三板”挂牌且实现税收的企业给予一次性奖励50万元。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（七）支持市场体系建设。对于建成后达标使用的乡镇便民农贸市场，每个一次性奖励30万元。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八）支持企业拓展境外市场。自营出口企业每出口1美元奖励0．04元人民币（企业在享受我县与税收挂钩的奖励政策期间，不再享受此项政策），对首次新开口企业且出口额超过200万美元的另外给予一次性奖励2万元人民币。对新注册设立并实际投产的外资企业，直接利用外资500－1000万美元的，一次性奖励5万元；直接利用外资1000万美元及以上的，一次性奖励10万元，利用外资额需经省商务厅认定（企业股本含有国资性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九）支持科技创新平台建设。对获得认定的产业技术研究院、重点实验室的主要参建企业给予奖励，其中国家级和省级的当年一次性分别奖励30万元、20万元；对获得认定的省级及以上产业创新联合体、科技成果转化中试研究基地一次性奖励10万元；对获得认定的省级及以上创新型企业、专业型研究所（公司）、企校联合创新中心、乡村振兴科技创新示范基地、知识产权示范企业，一次性奖励5万元；对获得认定的科技企业孵化器、众创空间给予奖励，其中国家级和省级的当年一次性分别奖励10万元、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十）支持企业研发投入。对首次认定为高新技术企业的奖励5万元，重新认定为高新技术企业的奖励2万元。年度研发投入超过100万元（含），且完成年度研发费用加计扣除备案，并享受税前加计扣除政策的，按核定研发费用的2％给予奖励，最高不超过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十一）鼓励企业产学研合作。对转化应用高等院校、科研院所或其他非产权关联企业及个人的科技成果投入生产的企业给予其相应补贴。属于技术交易的，依据其成果有效证件、技术交易合同、交易结算手续，按成果交易额（10万元以上）的10％给予补贴；属于技术入股的，依据其成果有效证件、协议文件、股权证明，按成果作价（或股权折算）出资额（10万元以上）的10％给予补贴；属于合作开发的，依据其成果有效证件、合作协议、支付凭证，按技术服务费的10％给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六、组织保障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一）提高思想认识。全县各地各部门要充分认识到做好2023年工业经济高质量发展工作的重要性，增强紧迫感、责任感和使命感，坚定信心、齐心协力、埋头苦干、狠抓落实，确保完成全年各项目标任务，促进全县工业经济平稳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二）压实工作责任。各地各部门要根据工作方案确定的工作目标，认真研究分析，摸清底数，做到早谋划、早落实、早推进，细化工作任务，明确具体工作措施和工作完成时限，全面落实工作责任，做到目标到位、责任到位、措施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三）强化督察服务。加强对工业经济高质量发展的全过程服务，继续实施县级领导联系重点企业制度，组织开展专题调研督查工作，深入一线调研解决企业发展中遇到的难题，督促各职能部门履行助推工业发展政策落地的责任，形成共抓工业发展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sz w:val="24"/>
          <w:szCs w:val="24"/>
        </w:rPr>
        <w:t>本方案自发布之日起执行，此前随县人民政府办公室印发的关于工业经济高质量发展的实施方案同时废止。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right"/>
        <w:rPr>
          <w:sz w:val="24"/>
          <w:szCs w:val="24"/>
        </w:rPr>
      </w:pPr>
      <w:r>
        <w:rPr>
          <w:sz w:val="24"/>
          <w:szCs w:val="24"/>
        </w:rPr>
        <w:t>随县人民政府办公室  2023年4月3日印发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0"/>
        <w:rPr>
          <w:sz w:val="24"/>
          <w:szCs w:val="24"/>
        </w:rPr>
      </w:pPr>
    </w:p>
    <w:p>
      <w:pPr>
        <w:pStyle w:val="2"/>
        <w:keepNext w:val="0"/>
        <w:keepLines w:val="0"/>
        <w:widowControl/>
        <w:suppressLineNumbers w:val="0"/>
        <w:spacing w:before="0" w:beforeAutospacing="0" w:line="315" w:lineRule="atLeast"/>
        <w:ind w:left="0" w:firstLine="0"/>
        <w:jc w:val="both"/>
        <w:rPr>
          <w:rFonts w:hint="default" w:ascii="sans-serif" w:hAnsi="sans-serif" w:eastAsia="sans-serif" w:cs="sans-serif"/>
          <w:i w:val="0"/>
          <w:iCs w:val="0"/>
          <w:caps w:val="0"/>
          <w:color w:val="000000"/>
          <w:spacing w:val="0"/>
          <w:sz w:val="27"/>
          <w:szCs w:val="27"/>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rFonts w:ascii="宋体" w:hAnsi="宋体" w:eastAsia="宋体" w:cs="宋体"/>
          <w:b/>
          <w:bCs/>
          <w:kern w:val="0"/>
          <w:sz w:val="42"/>
          <w:szCs w:val="4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0" w:lineRule="atLeast"/>
        <w:ind w:left="0" w:right="0"/>
        <w:jc w:val="center"/>
        <w:textAlignment w:val="auto"/>
        <w:rPr>
          <w:b/>
          <w:bCs/>
          <w:sz w:val="42"/>
          <w:szCs w:val="42"/>
        </w:rPr>
      </w:pPr>
      <w:r>
        <w:rPr>
          <w:rFonts w:ascii="宋体" w:hAnsi="宋体" w:eastAsia="宋体" w:cs="宋体"/>
          <w:b/>
          <w:bCs/>
          <w:kern w:val="0"/>
          <w:sz w:val="42"/>
          <w:szCs w:val="42"/>
          <w:lang w:val="en-US" w:eastAsia="zh-CN" w:bidi="ar"/>
        </w:rPr>
        <w:t>县人民政府办公室 关于印发随县政府投资项目管理办法的通知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0"/>
        <w:jc w:val="center"/>
        <w:rPr>
          <w:sz w:val="24"/>
          <w:szCs w:val="24"/>
        </w:rPr>
      </w:pPr>
      <w:r>
        <w:rPr>
          <w:rFonts w:ascii="楷体_GB2312" w:eastAsia="楷体_GB2312" w:cs="楷体_GB2312"/>
          <w:sz w:val="31"/>
          <w:szCs w:val="31"/>
        </w:rPr>
        <w:t>（随县政办发〔2023〕13号）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0"/>
        <w:jc w:val="left"/>
        <w:rPr>
          <w:sz w:val="24"/>
          <w:szCs w:val="24"/>
        </w:rPr>
      </w:pPr>
      <w:r>
        <w:rPr>
          <w:rFonts w:ascii="仿宋_GB2312" w:eastAsia="仿宋_GB2312" w:cs="仿宋_GB2312"/>
          <w:sz w:val="31"/>
          <w:szCs w:val="31"/>
        </w:rPr>
        <w:t>各镇人民政府、万福店农场，各风景名胜区、开发区管委会，县政府各部门：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《随县政府投资项目管理办法》已经县人民政府同意，现印发给你们，请遵照执行。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right"/>
        <w:rPr>
          <w:sz w:val="24"/>
          <w:szCs w:val="24"/>
        </w:rPr>
      </w:pPr>
      <w:r>
        <w:rPr>
          <w:rFonts w:hint="default" w:ascii="仿宋_GB2312" w:eastAsia="仿宋_GB2312" w:cs="仿宋_GB2312"/>
          <w:sz w:val="31"/>
          <w:szCs w:val="31"/>
        </w:rPr>
        <w:t>2023年6月29日    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righ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center"/>
        <w:rPr>
          <w:sz w:val="24"/>
          <w:szCs w:val="24"/>
        </w:rPr>
      </w:pPr>
      <w:r>
        <w:rPr>
          <w:rFonts w:hint="eastAsia" w:ascii="宋体" w:hAnsi="宋体" w:eastAsia="宋体" w:cs="宋体"/>
          <w:sz w:val="36"/>
          <w:szCs w:val="36"/>
        </w:rPr>
        <w:t>随县政府投资项目管理办法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一条为进一步加强政府投资项目管理，不断提高政府投资项目管理水平，增进投资决策科学化、民主化，增强项目可行性、可操作性，降低投资成本、防范投资风险、预防投资腐败和提高投资效益，结合随县实际，制定本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二条本办法所称的政府投资项目，是指财政预算内工程建设项目，国有资本占控股地位或者主导地位的企业、政府投融资平台公司投资的重点工程建设项目，政府以特殊国有资源和优惠政策与社会资本合作建设的公共工程项目，贯彻落实国家重大政策措施情况的工程建设项目，其他涉及国家战略和公共安全、重大社会公共利益的公共工程项目。上级投资补助和贷款贴息方式的政府投资项目，按照有关规定执行，但需报经县政府同意后方可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三条政府投资应当符合国民经济和社会发展规划，坚持科学统筹、突出重点、量力而行、公开透明、注重实效的原则，体现政府经济调节、市场监管、社会管理和公共服务职能，推进基本公共服务均等化和优化经济结构，促进经济社会全面协调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第四条各行业主管部门应当编制行业发展规划，建立本行业的项目储备库。县发改局结合各行业的项目储备库，建立全县政府投资项目储备库，作为项目决策和政府投资计划安排的重要依据。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县发改、财政、审计、住建等部门及其他与政府投资项目建设有关的单位和个人应当配合并协助做好政府投资项目管理工作，并各自承担相应的管理责任。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第二章　计划编制和项目审批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五条政府投资项目实行年度计划管理和中长期储备制度。各行业主管部门于每年9月底前编制行业发展规划，建立本行业的项目储备库，并向县发改局提出下一年度项目投资计划。县发改局和县财政局等部门于每年第四季度拟定下一年度政府投资计划，报县政府常务会审议。政府投资项目储备库实行常年筛选、动态跟踪、滚动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六条年度政府投资项目计划经批准后，县发改局应当及时向各项目业主下达投资计划，并将投资计划抄送县审计局备案。项目投资计划一经批准，必须严格执行。计划执行过程中，确需调整年度政府投资额或增减开工项目的，由建设项目单位提出申请，报县政府审批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第七条政府投资项目应当由建设单位按照下列规定履行审批程序。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（一）总投资500万元以上（含500万元）的，应当报送项目建议书、可行性研究报告和初步设计，送县发改局审查，县政府审批；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（二）总投资200万元以上（含200万元）500万元以下的，应当报送可行性研究报告和初步设计，送县发改局审查，县政府审批；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（三）总投资50万元以上（含50万元）200万元以下的，应当报送初步设计，送县发改局审查，县政府审批。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八条项目建议书、项目可行性研究报告可由建设单位自行编制，或委托符合资质要求的咨询机构编制；项目初步设计由建设单位委托符合资质要求的咨询机构编制。县发改部门委托符合资质的咨询机构评估认证，征询行业主管部门意见后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九条〖JP3〗建设单位根据批复的初步设计，委托或通过公开招标的方式选择符合资质要求的设计单位开展施工图设计，委托或通过公开招标的方式选择符合资质要求的咨询机构编制预算；项目预算须经财政部门投资评审机构或建设单位组织拦标（招标控制）价审核，并按审核后的招标控制价作为投标最高限价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第十条除涉及国家秘密的项目外，各行业主管部门应当使用湖北省投资和重大项目智慧应用平台（以下简称智慧平台）生成的项目代码办理县级政府投资项目审批手续。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各行业主管部门应当通过智慧平台列明与政府投资有关的规划、产业政策等，公开政府投资项目审批的办理流程、办理时限、办理要件等，并为项目单位提供相关咨询服务。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第三章　项目招标与建设管理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第十一条依法必须进行招标的政府投资建设项目，统一进入县公共资源交易中心进行招标，并接受县公共资源交易监督管理局全程监督和管理。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列入年度计划的政府投资项目，应当尽早完成各项前期准备工作，按照县发改局核准的招标范围、招标方式和招标组织形式进行招标。招标标底和招标控制价应当控制在批准的概算内。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第十二条勘察、设计、施工、监理以及与工程建设有关的重要设备、材料等的采购达到下列标准之一的，必须招标：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（一）施工单项合同估算价在400万元以上；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（二）重要设备、材料等货物的采购，单项合同估算价在200万元以上；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（三）勘察、设计、监理等服务的采购，单项合同估算价在100万元以上。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同一项目中可以合并进行的勘察、设计、施工、监理以及与工程建设有关的重要设备、材料等的采购，合同估算价合计达到前款规定标准的，必须招标。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第十三条经批准采用其他融资模式的政府投资项目，建设单位应通过公开招标确定投资人，并对项目勘测、设计、监理进行招标。项目施工、设备材料采购由投资人依法进行招标。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十四条在招标过程中，提交投标文件的投标人少于三个的，建设单位应调整建设方案，并提交县公共资源交易监督管理局会审后依法重新招标。重新招标后，提交投标文件的投标人仍少于三个的，报经原审批、核准部门批准后，可以不再进行招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第十五条确定中标人后，政府投资项目的勘测、设计、监理和施工均应签订书面合同。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第四章投资控制与资金拨付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第十六条严格控制政府投资项目建设规模和投资。初步设计的建设内容、建设标准不得超过可行性研究报告批复的范围，概算总投资原则上不得超过可行性研究报告批复的投资估算。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在建设过程中，因设计变更、不可抗力等因素造成工程造价增加，经过工程监理、施工单位和建设单位项目负责人等三方签证后，单项10万元以下的，建设单位上报县政府分管领导审批后方可增加；单项10万元以上（含10万元）50万元以下（含50万元）的，建设单位上报县政府领导会签后方可增加；单项超过50万元或总造价超过县发改局概算批复10％的，县财政局和建设单位进行重新评审后，县发改局会同县财政局提出调整方案，报县政府批准后调整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十七条建设项目应按项目计划预算、工程进度、合同约定及有关规定拨付工程款。政府投资项目资金实行专款专用、专账管理和直接支付制度。工程款、勘测、设计、监理等费用不低于已完成工程价款的80％。工程项目在概算调整期内，暂停拨付建设资金，调整概算批复后恢复资金拨付（可在总概算调整后的80％以内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第十八条政府投资项目建设工程完工后，施工单位应及时编制工程竣工结算书，并报监理机构和建设单位审核。结算书按分类管理规定组织审计后，由县发改局组织项目评价后报县财政局批复决算。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第五章监督管理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第十九条政府投资项目实行工程质量终身负责制。政府投资项目的建设单位、项目法人代表和勘测、设计、施工以及监理单位的相关责任人，按各自的职责对工程质量终身负责。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第二十条县发改局负责政府投资项目的项目建议书、可行性研究报告、初步设计审批，组织项目竣工验收、重大项目后评价及政府投资项目储备库建设管理工作。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县财政局负责提出县政府用于项目建设的总规模及县政府年度投资计划建议；负责财政投资评审、决算批复、国库集中支付平台及专户管理，建立完善资金审批及拨付制度和流程，并对项目资金使用全过程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县自然资源和规划局负责政府投资项目的前期规划、勘察设计。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县住建局负责政府投资项目的质量检查、工程竣工验收、建筑施工安全生产检查等工作。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县纪委、公安局、检察院等执纪执法机关负责对相关部门落实工程监管情况进行检查，对履职不到位、违反有关规定的问题依照相关规定实施责任追究；对收到的举报函件及审计移送处理书，应当依法调查处理。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市生态环境局随县分局、县应急管理局、县公共资源交易监督管理局等相关职能部门按照各自职责对政府投资项目进行管理。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二十一条县审计局对政府投资项目实行审计监督。对政府重点投资项目开展竣工决算审计，对建设周期长、资金量大〔概算批复5000万元（含5000万元）以上的〕的交通、水利、城市路网、能源工程等重点基础设施和公共工程，经建设单位申请，县审计委员会审议通过，纳入年度审计项目计划，实施跟踪审计。重点关注项目规划、投资审批、征地拆迁、环境保护、工程招标投标、物资采购、资金管理使用和工程质量管理等环节，加强政府投资建设项目绩效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第六章　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第二十二条建立政府投资项目责任追究制度。各职能部门依法依纪查处政府投资项目决策、项目立项审批和项目组织实施全过程中的违法违纪行为。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第二十三条招投标各方、各职能部门相关人员有违反招标投标规定的，由县公共资源交易监督管理局依法处理；需要给予纪律处分的，移送县纪检监察机关处理；涉嫌犯罪的，移送司法机关追究相应责任。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第二十四条在政府投资项目建设管理中，建设单位、施工单位及监理、勘测、设计、招标代理等单位及有关人员失职、　渎职或未按程序报批的，应追究相关人员的责任；构成犯罪的，由司法机关追究刑事责任。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第二十五条本办法在实施过程中，如国家、省有新规定从其规定。原县政府投资项目管理有关规定与本办法不一致的，以本办法为准。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第二十六条本办法自印发之日起施行，有效期5年。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r>
        <w:rPr>
          <w:rFonts w:hint="default" w:ascii="仿宋_GB2312" w:eastAsia="仿宋_GB2312" w:cs="仿宋_GB2312"/>
          <w:sz w:val="31"/>
          <w:szCs w:val="31"/>
        </w:rPr>
        <w:t>第二十七条本办法由县发改局、县财政局负责解释。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left"/>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420"/>
        <w:jc w:val="right"/>
        <w:rPr>
          <w:sz w:val="24"/>
          <w:szCs w:val="24"/>
        </w:rPr>
      </w:pPr>
      <w:r>
        <w:rPr>
          <w:rFonts w:hint="default" w:ascii="仿宋_GB2312" w:eastAsia="仿宋_GB2312" w:cs="仿宋_GB2312"/>
          <w:sz w:val="31"/>
          <w:szCs w:val="31"/>
        </w:rPr>
        <w:t>随县人民政府办公室  2023年6月29日印发    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226" w:afterAutospacing="0" w:line="480" w:lineRule="atLeast"/>
        <w:ind w:left="0" w:right="0" w:firstLine="0"/>
        <w:rPr>
          <w:sz w:val="24"/>
          <w:szCs w:val="24"/>
        </w:rPr>
      </w:pPr>
    </w:p>
    <w:p>
      <w:pPr>
        <w:pStyle w:val="2"/>
        <w:keepNext w:val="0"/>
        <w:keepLines w:val="0"/>
        <w:widowControl/>
        <w:suppressLineNumbers w:val="0"/>
        <w:spacing w:line="315" w:lineRule="atLeast"/>
        <w:ind w:left="0" w:firstLine="420"/>
        <w:jc w:val="center"/>
        <w:rPr>
          <w:rFonts w:hint="eastAsia" w:ascii="宋体" w:hAnsi="宋体" w:eastAsia="宋体" w:cs="宋体"/>
          <w:i w:val="0"/>
          <w:iCs w:val="0"/>
          <w:caps w:val="0"/>
          <w:color w:val="000000"/>
          <w:spacing w:val="0"/>
          <w:sz w:val="43"/>
          <w:szCs w:val="43"/>
        </w:rPr>
      </w:pPr>
    </w:p>
    <w:p>
      <w:pPr>
        <w:pStyle w:val="2"/>
        <w:keepNext w:val="0"/>
        <w:keepLines w:val="0"/>
        <w:widowControl/>
        <w:suppressLineNumbers w:val="0"/>
        <w:spacing w:line="315" w:lineRule="atLeast"/>
        <w:ind w:left="0" w:firstLine="420"/>
        <w:jc w:val="center"/>
        <w:rPr>
          <w:rFonts w:hint="eastAsia" w:ascii="宋体" w:hAnsi="宋体" w:eastAsia="宋体" w:cs="宋体"/>
          <w:i w:val="0"/>
          <w:iCs w:val="0"/>
          <w:caps w:val="0"/>
          <w:color w:val="000000"/>
          <w:spacing w:val="0"/>
          <w:sz w:val="43"/>
          <w:szCs w:val="43"/>
        </w:rPr>
      </w:pPr>
    </w:p>
    <w:p>
      <w:pPr>
        <w:pStyle w:val="2"/>
        <w:keepNext w:val="0"/>
        <w:keepLines w:val="0"/>
        <w:widowControl/>
        <w:suppressLineNumbers w:val="0"/>
        <w:spacing w:line="315" w:lineRule="atLeast"/>
        <w:ind w:left="0" w:firstLine="420"/>
        <w:jc w:val="center"/>
        <w:rPr>
          <w:rFonts w:hint="eastAsia" w:ascii="宋体" w:hAnsi="宋体" w:eastAsia="宋体" w:cs="宋体"/>
          <w:i w:val="0"/>
          <w:iCs w:val="0"/>
          <w:caps w:val="0"/>
          <w:color w:val="000000"/>
          <w:spacing w:val="0"/>
          <w:sz w:val="43"/>
          <w:szCs w:val="43"/>
        </w:rPr>
      </w:pPr>
    </w:p>
    <w:p>
      <w:pPr>
        <w:pStyle w:val="2"/>
        <w:keepNext w:val="0"/>
        <w:keepLines w:val="0"/>
        <w:widowControl/>
        <w:suppressLineNumbers w:val="0"/>
        <w:spacing w:line="315" w:lineRule="atLeast"/>
        <w:ind w:left="0" w:firstLine="420"/>
        <w:jc w:val="center"/>
        <w:rPr>
          <w:rFonts w:hint="eastAsia" w:ascii="宋体" w:hAnsi="宋体" w:eastAsia="宋体" w:cs="宋体"/>
          <w:i w:val="0"/>
          <w:iCs w:val="0"/>
          <w:caps w:val="0"/>
          <w:color w:val="000000"/>
          <w:spacing w:val="0"/>
          <w:sz w:val="43"/>
          <w:szCs w:val="43"/>
        </w:rPr>
      </w:pPr>
    </w:p>
    <w:p>
      <w:pPr>
        <w:pStyle w:val="2"/>
        <w:keepNext w:val="0"/>
        <w:keepLines w:val="0"/>
        <w:widowControl/>
        <w:suppressLineNumbers w:val="0"/>
        <w:spacing w:line="315" w:lineRule="atLeast"/>
        <w:ind w:left="0" w:firstLine="420"/>
        <w:jc w:val="center"/>
        <w:rPr>
          <w:rFonts w:hint="eastAsia" w:ascii="宋体" w:hAnsi="宋体" w:eastAsia="宋体" w:cs="宋体"/>
          <w:i w:val="0"/>
          <w:iCs w:val="0"/>
          <w:caps w:val="0"/>
          <w:color w:val="000000"/>
          <w:spacing w:val="0"/>
          <w:sz w:val="43"/>
          <w:szCs w:val="43"/>
        </w:rPr>
      </w:pPr>
    </w:p>
    <w:p>
      <w:pPr>
        <w:pStyle w:val="2"/>
        <w:keepNext w:val="0"/>
        <w:keepLines w:val="0"/>
        <w:widowControl/>
        <w:suppressLineNumbers w:val="0"/>
        <w:spacing w:line="315" w:lineRule="atLeast"/>
        <w:ind w:left="0" w:firstLine="420"/>
        <w:jc w:val="center"/>
        <w:rPr>
          <w:rFonts w:hint="eastAsia" w:ascii="宋体" w:hAnsi="宋体" w:eastAsia="宋体" w:cs="宋体"/>
          <w:i w:val="0"/>
          <w:iCs w:val="0"/>
          <w:caps w:val="0"/>
          <w:color w:val="000000"/>
          <w:spacing w:val="0"/>
          <w:sz w:val="43"/>
          <w:szCs w:val="43"/>
        </w:rPr>
      </w:pPr>
    </w:p>
    <w:p>
      <w:pPr>
        <w:pStyle w:val="2"/>
        <w:keepNext w:val="0"/>
        <w:keepLines w:val="0"/>
        <w:widowControl/>
        <w:suppressLineNumbers w:val="0"/>
        <w:spacing w:line="315" w:lineRule="atLeast"/>
        <w:ind w:left="0" w:firstLine="420"/>
        <w:jc w:val="center"/>
        <w:rPr>
          <w:rFonts w:hint="eastAsia" w:ascii="宋体" w:hAnsi="宋体" w:eastAsia="宋体" w:cs="宋体"/>
          <w:i w:val="0"/>
          <w:iCs w:val="0"/>
          <w:caps w:val="0"/>
          <w:color w:val="000000"/>
          <w:spacing w:val="0"/>
          <w:sz w:val="43"/>
          <w:szCs w:val="43"/>
        </w:rPr>
      </w:pPr>
    </w:p>
    <w:p>
      <w:pPr>
        <w:pStyle w:val="2"/>
        <w:keepNext w:val="0"/>
        <w:keepLines w:val="0"/>
        <w:widowControl/>
        <w:suppressLineNumbers w:val="0"/>
        <w:spacing w:line="315" w:lineRule="atLeast"/>
        <w:ind w:left="0" w:firstLine="420"/>
        <w:jc w:val="center"/>
        <w:rPr>
          <w:rFonts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县人民政府办公室印发</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关于随县知识产权促进高质量发展企业奖补政策</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实施办法的通知</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Fonts w:ascii="楷体" w:hAnsi="楷体" w:eastAsia="楷体" w:cs="楷体"/>
          <w:i w:val="0"/>
          <w:iCs w:val="0"/>
          <w:caps w:val="0"/>
          <w:color w:val="000000"/>
          <w:spacing w:val="0"/>
          <w:sz w:val="31"/>
          <w:szCs w:val="31"/>
        </w:rPr>
        <w:t>随县政办发〔2023〕15号</w:t>
      </w:r>
    </w:p>
    <w:p>
      <w:pPr>
        <w:pStyle w:val="2"/>
        <w:keepNext w:val="0"/>
        <w:keepLines w:val="0"/>
        <w:widowControl/>
        <w:suppressLineNumbers w:val="0"/>
        <w:spacing w:after="270" w:afterAutospacing="0" w:line="315" w:lineRule="atLeast"/>
        <w:ind w:left="0" w:firstLine="0"/>
        <w:jc w:val="left"/>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各镇人民政府、万福店农场，各风景名胜区、开发区管委会，县政府各部门：</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《随县知识产权促进高质量发展企业奖补政策实施办法》已经县政府同意，现印发给你们，请遵照执行。</w:t>
      </w: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2023年8月22日</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随县知识产权促进高质量发展企业奖补政策实施办法</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第一章  总则</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第一条  为充分运用知识产权提升全县企业核心竞争力，提高全县知识产权创造、运用、保护、管理、服务能力和水平，特制定本办法。　</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第二条  本办法奖励的对象是随县行政区域内取得知识产权证书上所载的第一权利人。</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第二章  范围及标准</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第三条  奖补范围</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每年对上年度知识产权工作情况进行奖补。发明专利授权时间以授权公告日为准，商标和品牌以注册或认定时间为准。</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第四条  奖补标准</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一）专利授权补贴。获得授权发明专利权的，每件给予5000元奖励。获得授权实用新型专利的，专利权人为企事业单位的，每件给予500元奖励。获得授权实用新型专利的，专利权人为学生、医务人员的，每件给予500元奖励。对事业单位（医院、学校等）所属人员当年累计授权专利5件（含5件）以上的，一次性给予2000元奖励。　</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（二）PCT专利授权补贴。对通过专利合作条约（PCT）途径在境外获得授权的专利，每件给予5万元奖励。</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（三）国家、省知识产权企业认定奖励。对新认定的国家知识产权示范企业、国家知识产权优势企业、省知识产权优势企业，分别给予20万元、10万元、5万元一次性奖励。</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（四）知识产权园区、双创基地认定奖励。对新认定的国家级知识产权示范园区、省级知识产权示范园区，分别给予　30万元、10万元的一次性奖励；对认定为省级知识产权双创服务基地建设机构，认定当年补助经费5万元。</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（五）贯标补贴。对开展《企业知识产权管理规范》（GB／T29490－2013）贯标工作，通过国家级认证的企业，一次性给予3万元补贴。　</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（六）示范试点学校认定补贴。对纳入国家、省中小学知识产权教育示范的学校，认定当年分别补助经费10万元、5万元。</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七）商标、品牌奖励。对首次被评为中国驰名商标的企业奖励20万元；对新核准注册的地理标志集体商标、证明商标的商标主体（协会或社团组织）奖励8万元；对新获得国家地理标志保护产品的单位或企业奖励8万元。</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八）高质量发明专利转化运用。全县发明专利权利人，正在实施或许可实施该专利权利人的高维持发明专利（从专利申请日起算，截至上年底超过10年，目前仍处于有效状态的国内发明专利），经确认后每件给予2000元奖励。　</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九）知识产权质押融资贴息贴费。开展知识产权质押融资贷款，借款企业在还本付息后，可享受不高于合同签订当日贷款市场报价利率（LPR）的30％贷款利息补贴（单个企业最高不超过10万元）；对因知识产权质押贷款形成的知识产权价值评估费用，给予全额补助。</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（十）服务机构奖补。加大对知识产权服务机构的引进、培育和帮扶，对上年度被省知识产权局评定AAAA级以上专利代理机构，给予2万元奖励。</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（十一）专利获奖奖励。对本年度获得国家专利金奖、银奖，每件分别给予专利权人5万元、3万元奖励。对获得省专利金奖、银奖，每件分别给予专利权人3万元、2万元奖励。</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十二）专利转移转化补贴。对本县中小微企业以转化实施为目的，通过转让、许可、作价入股等方式从高等学校、科研机构及中央、省属国有企业获取专利技术，并在国家知识产权局办理完成专利权转移或许可合同备案手续的，按不超过专利转让、许可合同实付专利技术交易金额的30％给予补贴，单个企业年度补贴不超过10万元。</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（十三）专利项目补贴。对认定为省级高价值专利培育、转化和产业化项目的承担单位，认定当年补助经费3万元。</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第三章  申报及审核</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第五条  随县市场监管局每年下发开展知识产权奖励申报工作的通知，对申报时间、程序及其他事项予以具体规定，未在规定时间内申报的不予奖励。对于纳入免申即享的奖补事项参照其他规定执行。</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第六条  申报奖励资金的企事业单位或个人，应当提交以下材料：</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（一）知识产权奖励申报表。</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（二）企业营业执照或事业单位法人资格证书的复印件，或个人身份证明复印件。　</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（三）组织机构代码证复印件。　</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（四）知识产权证书复印件。</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（五）有效发明专利最后一次交年费发票复印件。</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（六）申请奖励总额达到10万元的企业提交纳税证明材料。</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（七）获得国家、省级奖励的需要提交获得国家、省有关行政主管部门颁发的相关荣誉证书或批准文件复印件。</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（八）开展《企业知识产权管理规范》（GB／T29490－2013）贯标工作，并通过国家级认证的企业需要提交验收材料、认证证书、认证费或监督审核费用发票。</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（九）需要提交的其他材料。</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第四章  管理与监督</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第七条  申报单位和个人应当确保提供材料和相关证明的真实性。以虚报、冒领等手段骗取专利奖励资金的，一经查实，将全额收回专利奖补资金，并取消其三年内申报各类专利奖补的资格。</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第八条  相关单位和责任人应做到规范办理、严格审核。对因失职渎职而导致违规套取、冒领专利奖补资金的，严肃追究责任部门和责任人的责任，情节严重触犯法律的，移交司法机关处理。</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第五章  附则</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第九条  本办法自发布之日起实施，有效期三年。</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第十条  本办法由随县市场监督管理局、随县财政局负责解释。　</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抄送：县委各部门，县人武部，各人民团体、县人大办，县政协办，县法院，县检察院。</w:t>
      </w:r>
    </w:p>
    <w:p>
      <w:pPr>
        <w:pStyle w:val="2"/>
        <w:keepNext w:val="0"/>
        <w:keepLines w:val="0"/>
        <w:widowControl/>
        <w:suppressLineNumbers w:val="0"/>
        <w:spacing w:line="315" w:lineRule="atLeast"/>
        <w:ind w:left="0" w:firstLine="420"/>
        <w:jc w:val="left"/>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0"/>
        <w:jc w:val="right"/>
        <w:rPr>
          <w:rFonts w:hint="default" w:ascii="sans-serif" w:hAnsi="sans-serif" w:eastAsia="sans-serif" w:cs="sans-serif"/>
          <w:i w:val="0"/>
          <w:iCs w:val="0"/>
          <w:caps w:val="0"/>
          <w:color w:val="000000"/>
          <w:spacing w:val="0"/>
          <w:sz w:val="27"/>
          <w:szCs w:val="27"/>
        </w:rPr>
      </w:pPr>
      <w:r>
        <w:rPr>
          <w:rFonts w:hint="default" w:ascii="仿宋_GB2312" w:hAnsi="sans-serif" w:eastAsia="仿宋_GB2312" w:cs="仿宋_GB2312"/>
          <w:i w:val="0"/>
          <w:iCs w:val="0"/>
          <w:caps w:val="0"/>
          <w:color w:val="000000"/>
          <w:spacing w:val="0"/>
          <w:sz w:val="31"/>
          <w:szCs w:val="31"/>
        </w:rPr>
        <w:t>随县人民政府办公室   2023年8月22日印发</w:t>
      </w: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p>
    <w:p>
      <w:pPr>
        <w:pStyle w:val="2"/>
        <w:keepNext w:val="0"/>
        <w:keepLines w:val="0"/>
        <w:widowControl/>
        <w:suppressLineNumbers w:val="0"/>
        <w:spacing w:before="0" w:beforeAutospacing="0" w:line="315" w:lineRule="atLeast"/>
        <w:ind w:left="0" w:firstLine="0"/>
        <w:jc w:val="center"/>
        <w:rPr>
          <w:rFonts w:hint="eastAsia" w:ascii="黑体" w:hAnsi="黑体" w:eastAsia="黑体" w:cs="黑体"/>
          <w:i w:val="0"/>
          <w:iCs w:val="0"/>
          <w:caps w:val="0"/>
          <w:color w:val="000000"/>
          <w:spacing w:val="0"/>
          <w:sz w:val="44"/>
          <w:szCs w:val="44"/>
        </w:rPr>
      </w:pPr>
      <w:r>
        <w:rPr>
          <w:rFonts w:hint="eastAsia" w:ascii="黑体" w:hAnsi="黑体" w:eastAsia="黑体" w:cs="黑体"/>
          <w:i w:val="0"/>
          <w:iCs w:val="0"/>
          <w:caps w:val="0"/>
          <w:color w:val="000000"/>
          <w:spacing w:val="0"/>
          <w:sz w:val="44"/>
          <w:szCs w:val="44"/>
        </w:rPr>
        <w:t>随县招商引资若干政策规定</w:t>
      </w:r>
    </w:p>
    <w:p>
      <w:pPr>
        <w:pStyle w:val="2"/>
        <w:keepNext w:val="0"/>
        <w:keepLines w:val="0"/>
        <w:widowControl/>
        <w:suppressLineNumbers w:val="0"/>
        <w:spacing w:before="0" w:beforeAutospacing="0" w:line="315" w:lineRule="atLeast"/>
        <w:ind w:left="0" w:firstLine="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line="315" w:lineRule="atLeast"/>
        <w:ind w:left="0" w:firstLine="0"/>
        <w:jc w:val="both"/>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各镇人民政府、万福店农场，各风景名胜区、经济开发区管委会，县政府各部门：</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《随县招商引资若干政策规定》已经县政府常务会议审议通过，现印发给你们，请遵照执行。</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2022年1月27日</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随县招商引资若干政策规定</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第一章总则</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为进一步加大招商引资力度，优化营商环境，拓宽引资渠道，充分调动社会各界参与招商引资的积极性，鼓励和吸引各类投资主体在我县投资兴业，根据《市人民政府关于印发随州市招商引资若干政策规定的通知》（随政发〔2021〕11号）等有关文件规定，结合我县实际，制定本规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第二章项目用地支持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一条准入门槛。落户随县经济开发区自建厂房的工业项目，固定资产投资不低于5000万元人民币，固定资产投资强度不低于150万元／亩，容积率不低于1．0，亩平税收不低于10万元／亩；鼓励建设多层厂房，建设工期不超过18个月。部分有特殊安全间距要求的行业，按照国家相关规定和具备资质的设计单位确定的投资强度和容积率执行。</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二条创新工业用地方式。鼓励采用租赁、先租后让、租让结合的方式取得土地使用权。对一次性固定资产投资达5000万元人民币及以上且符合我县产业发展规划的重点工业项目，可按合同约定分期缴纳土地出让价款，首次缴纳比例不低于50％，一年内缴清。</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三条补贴企业基础设施建设。对新引进固定资产投资在5000万元人民币以上、3亿元人民币以下的工业项目，按照不低于土地出让成交价50％的比例给予基础设施建设补贴；对固定资产投资3亿元人民币以上的工业项目，实行一事一议方式进行基础设施建设补贴。入园工业企业按期建成投产达效的，企业缴纳的耕地占用税奖补给企业用于基础设施建设。入园工业企业，城镇基础设施配套基金全额奖补给企业用于基础设施建设。</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第三章税收贡献奖励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四条实行税收贡献奖励。对按协议约定期限投产且达到协议约定税收额度的工业企业给予奖励，前三年按其缴纳的企业所得税和增值税地方留成部分的100％奖励给企业，第四年、第五年按其缴纳的企业所得税和增值税地方留成部分的50％奖励给企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五条实行企业技改税收贡献奖励。对工业企业技改新增固定资产投资额达500万元以上人民币，所产生的企业所得税和增值税增量部分，前三年按其缴纳的企业所得税和增值税地方留成增量部分的100％奖励给企业，第四年、第五年按其缴纳的企业所得税和增值税地方留成增量部分的50％奖励给企业。</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第四章重资产招商项目政策</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六条有序推进重资产招商。对一次性固定资产投资达到1亿元人民币以上的工业龙头项目，以及带动产业发展、税收前景广阔的优质工业项目，可由项目所在地政府（管委会）为企业代建厂房及配套设施，实现企业轻资产“拎包入驻”。</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企业参与厂房规划设计、工程造价、质量监督、工程决算等，共同锁定建设成本。企业按建设成本的10％缴纳项目保证金（可冲抵回购款），并在厂房交付之日起五年内按照建设成本完成回购。</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七条鼓励企业租用厂房。对租用现有厂房且实现合同约定的税收贡献（每平方米厂房纳税300元及以上）的工业项目，前三年将企业每年所交厂房租金全额奖励给企业，第四、第五年按租金的50％奖励。房租奖励与税收奖励不重复享受，就高不就低。</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第八条对租用厂房需要装修净化车间的企业，按照净化车间装修级别标准给予补贴：十万级给予100元／平方米补贴；万级给予300元／平方米补贴；千级及以上给予500元／平方米补贴。</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第五章物流运输支持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九条鼓励物流企业发展。支持利用工业企业旧厂房、仓库和存量土地建设物流设施或提供物流服务，涉及原划拨土地转让的，可协议办理出让用地手续。租赁国有建设用地的，可分年度缴纳租金。对固定资产投资5000万元人民币以上、2亿元人民币以下（含2亿元人民币）的现代物流项目，原始出资人持股达到40％以上的，可按工业用地价格供地，按照合同约定完成建设任务的，建成后按照总出让地价的50％给予基础设施配套补贴，对固定资产投资2亿元人民币以上的实行一事一议。</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条降低企业物流成本。新引进工业企业三年内每年上缴税收在1000万元人民币及以上的，按照年物流运输费用总额（以随县本级税务部门开具的发票为依据）的5％给予连续三年物流成本补贴。每年补贴额度不超过100万元人民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第六章项目投资奖励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一条补贴企业固定资产投资。对新引进的固定资产投资在1亿元人民币及以上的工业项目和新引进的固定资产投资在5000万元人民币及以上的战略性新兴产业项目（信息技术、高端装备、先进材料、节能环保、数字创意、科技服务等），按实际固定资产投资额的3％给予一次性补贴。补贴金额最高不超过5000万元人民币。　　　</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第十二条加大利用外资力度。对新注册设立并实际投产的外资工业企业，固定资产投资在1000万美元以上的，按实际固定资产投资额的3％给予一次性补贴。补贴金额最高不超过5000万元人民币。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第十三条鼓励农文旅结合项目。对固定资产投资达1亿元人民币及以上的现代农业、文化、旅游结合项目，实行一事一议。</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第七章其他政策</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第十四条给予企业搬迁补贴。对从随县外搬迁落户随县的工业企业，对重要生产设备给予一定的搬迁补贴。具体补贴标准一事一议。</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五条降低企业用电成本。对符合产业政策且年用电量达到100万千瓦时以上、增幅超过10％的重点调度工业企业给予电费补贴。以上年度用电量为基数，对本年度新增用电量按每度0．1元的标准予以补贴，年度补贴最高不超过50万元人民币。</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六条鼓励引进工业企业人才。新引进工业企业副总以上高级管理人员和副高以上的专业技术人员在本县缴纳个人所得税的，按照有关文件规定，五年内对其薪酬部分所缴纳的个人所得税地方留成部分按照100％的标准予以奖励，奖励资金直接划入其个人账户。鼓励上述人员在随县城区购买自持住房，首套房给予每平方米300元补贴，二套房给予每平方米200元补贴。</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第十七条企业高管子女入学保障。对招商引资企业高管子女申请就读义务教育公办学校的，坚持相对就近入学原则，由县教育行政主管部门优先安排到辖区内公办学校就读。</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第八章招商引资工作奖励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八条鼓励发展“飞地经济”。乡镇招引项目可安排到县城规划范围内的产业园落户。乡镇具备支持项目落户条件的，所有经济指标归属招引乡镇；乡镇不具备支持项目落户条件的，所有经济指标归属招引乡镇，企业缴纳税收的地方留成部分30％归属招引乡镇，70％归属县人民政府。</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第十九条为激励社会各界人士积极参与招商，形成全员招商良好氛围，对招商引资工作有实际贡献的给予奖励。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加大引资单位的奖励。对当年新签约落地亿元人民币以上工业项目，且完成投资50％以上的项目，给予引资单位记嘉奖一次；对新引进一次性固定资产投资5000万元人民币以上的工业项目，按期建成投产且达到约定税收后，按实际固定资产投资额的2‰给予引资单位一次性招商引资工作经费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加大引资人员的激励。对新引进固定资产投资5亿元人民币以上工业项目的公职人员，经组织部门考核，符合干部任用条件的，予以提拔重用。对新引进固定资产投资5000万元人民币以上工业项目的村干部及其他非公职人员，按实际固定资产投资额的3‰给予一次性奖励。</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加大中介招商奖励。对引进一次性固定资产投资5000万元人民币及以上、1亿元人民币以下的工业项目（单个，下同），按期建成投产且达到约定税收后，按固定资产投资额的3‰给予项目第一引资人（公职人员除外，下同）或单位一次性奖励；对引进固定资产投资额1亿元人民币及以上、10亿元人民币以下的工业项目，按期建成投产且达到约定税收后，按固定资产投资额的5‰给予项目第一引资人或单位一次性奖励；对引进世界或国内500强企业投资工业项目且投资达到1亿元人民币及以上的工业项目，按期建成投产且达到约定税收后，按固定资产投资额的8‰给予项目第一引资人或单位一次性奖励。以上奖励最高不超过100万元人民币。对招商引资中有重大贡献的干部，在考核评定、评先表模、提拔任用方面优先考虑。</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第九章附则</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本规定自印发之日起施行，有效期3年。原文件与本规定不一致的按本规定执行。原已经签订投资合同，并在优惠政策期内的，继续按照原投资合同执行。</w:t>
      </w:r>
    </w:p>
    <w:p>
      <w:pPr>
        <w:pStyle w:val="2"/>
        <w:keepNext w:val="0"/>
        <w:keepLines w:val="0"/>
        <w:widowControl/>
        <w:suppressLineNumbers w:val="0"/>
        <w:spacing w:line="315"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本规定中的加大招商引资奖励政策条款只认定项目第一引资单位或引资人；所指的企业固定资产实际投资额，由政府公开选取第三方评估机构予以认定。引进风电、光电及资源利用类项目，不享受本招商激励政策。奖励办法执行期间，如遇法律、法规和上级政策调整，以法律、法规和上级政策为准。各项奖补资金由受益地方财政承担。</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     各镇（场、景区、开发区）可参照此规定执行，亦可自行制定并兑现优惠政策。</w:t>
      </w: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315" w:lineRule="atLeast"/>
        <w:ind w:left="0" w:firstLine="0"/>
        <w:jc w:val="both"/>
        <w:rPr>
          <w:rFonts w:hint="default" w:ascii="sans-serif" w:hAnsi="sans-serif" w:eastAsia="sans-serif" w:cs="sans-serif"/>
          <w:i w:val="0"/>
          <w:iCs w:val="0"/>
          <w:caps w:val="0"/>
          <w:color w:val="000000"/>
          <w:spacing w:val="0"/>
          <w:sz w:val="27"/>
          <w:szCs w:val="27"/>
        </w:rPr>
      </w:pPr>
    </w:p>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b/>
          <w:bCs/>
          <w:kern w:val="0"/>
          <w:sz w:val="144"/>
          <w:szCs w:val="1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eastAsia" w:ascii="黑体" w:hAnsi="黑体" w:eastAsia="黑体" w:cs="黑体"/>
          <w:b/>
          <w:bCs/>
          <w:kern w:val="0"/>
          <w:sz w:val="96"/>
          <w:szCs w:val="96"/>
          <w:lang w:val="en-US" w:eastAsia="zh-CN" w:bidi="ar"/>
        </w:rPr>
      </w:pPr>
      <w:r>
        <w:rPr>
          <w:rFonts w:hint="eastAsia" w:ascii="黑体" w:hAnsi="黑体" w:eastAsia="黑体" w:cs="黑体"/>
          <w:b/>
          <w:bCs/>
          <w:kern w:val="0"/>
          <w:sz w:val="96"/>
          <w:szCs w:val="96"/>
          <w:lang w:val="en-US" w:eastAsia="zh-CN" w:bidi="ar"/>
        </w:rPr>
        <w:t>二、重点项目绩效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30" w:lineRule="atLeast"/>
        <w:ind w:left="0" w:right="0"/>
        <w:jc w:val="center"/>
        <w:textAlignment w:val="auto"/>
        <w:rPr>
          <w:rFonts w:hint="default" w:ascii="黑体" w:hAnsi="黑体" w:eastAsia="黑体" w:cs="黑体"/>
          <w:b/>
          <w:bCs/>
          <w:kern w:val="0"/>
          <w:sz w:val="96"/>
          <w:szCs w:val="96"/>
          <w:lang w:val="en-US" w:eastAsia="zh-CN" w:bidi="ar"/>
        </w:rPr>
      </w:pPr>
      <w:r>
        <w:rPr>
          <w:rFonts w:hint="eastAsia" w:ascii="黑体" w:hAnsi="黑体" w:eastAsia="黑体" w:cs="黑体"/>
          <w:b/>
          <w:bCs/>
          <w:kern w:val="0"/>
          <w:sz w:val="96"/>
          <w:szCs w:val="96"/>
          <w:lang w:val="en-US" w:eastAsia="zh-CN" w:bidi="ar"/>
        </w:rPr>
        <w:t>目标</w:t>
      </w: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drawing>
          <wp:inline distT="0" distB="0" distL="114300" distR="114300">
            <wp:extent cx="5266690" cy="3785870"/>
            <wp:effectExtent l="0" t="0" r="10160" b="5080"/>
            <wp:docPr id="3" name="图片 3" descr="医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医保-2"/>
                    <pic:cNvPicPr>
                      <a:picLocks noChangeAspect="1"/>
                    </pic:cNvPicPr>
                  </pic:nvPicPr>
                  <pic:blipFill>
                    <a:blip r:embed="rId4"/>
                    <a:stretch>
                      <a:fillRect/>
                    </a:stretch>
                  </pic:blipFill>
                  <pic:spPr>
                    <a:xfrm>
                      <a:off x="0" y="0"/>
                      <a:ext cx="5266690" cy="3785870"/>
                    </a:xfrm>
                    <a:prstGeom prst="rect">
                      <a:avLst/>
                    </a:prstGeom>
                  </pic:spPr>
                </pic:pic>
              </a:graphicData>
            </a:graphic>
          </wp:inline>
        </w:drawing>
      </w:r>
    </w:p>
    <w:p>
      <w:pPr>
        <w:jc w:val="center"/>
        <w:rPr>
          <w:rFonts w:hint="eastAsia" w:eastAsiaTheme="minorEastAsia"/>
          <w:lang w:eastAsia="zh-CN"/>
        </w:rPr>
      </w:pPr>
      <w:r>
        <w:rPr>
          <w:rFonts w:hint="eastAsia" w:eastAsiaTheme="minorEastAsia"/>
          <w:lang w:eastAsia="zh-CN"/>
        </w:rPr>
        <w:drawing>
          <wp:inline distT="0" distB="0" distL="114300" distR="114300">
            <wp:extent cx="4652645" cy="8859520"/>
            <wp:effectExtent l="0" t="0" r="14605" b="17780"/>
            <wp:docPr id="4" name="图片 4" descr="住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住建-1"/>
                    <pic:cNvPicPr>
                      <a:picLocks noChangeAspect="1"/>
                    </pic:cNvPicPr>
                  </pic:nvPicPr>
                  <pic:blipFill>
                    <a:blip r:embed="rId5"/>
                    <a:stretch>
                      <a:fillRect/>
                    </a:stretch>
                  </pic:blipFill>
                  <pic:spPr>
                    <a:xfrm>
                      <a:off x="0" y="0"/>
                      <a:ext cx="4652645" cy="8859520"/>
                    </a:xfrm>
                    <a:prstGeom prst="rect">
                      <a:avLst/>
                    </a:prstGeom>
                  </pic:spPr>
                </pic:pic>
              </a:graphicData>
            </a:graphic>
          </wp:inline>
        </w:drawing>
      </w:r>
    </w:p>
    <w:p>
      <w:pPr>
        <w:jc w:val="center"/>
        <w:rPr>
          <w:rFonts w:hint="eastAsia" w:eastAsiaTheme="minorEastAsia"/>
          <w:lang w:eastAsia="zh-CN"/>
        </w:rPr>
      </w:pPr>
      <w:r>
        <w:rPr>
          <w:rFonts w:hint="eastAsia" w:eastAsiaTheme="minorEastAsia"/>
          <w:lang w:eastAsia="zh-CN"/>
        </w:rPr>
        <w:drawing>
          <wp:inline distT="0" distB="0" distL="114300" distR="114300">
            <wp:extent cx="2567940" cy="8844280"/>
            <wp:effectExtent l="0" t="0" r="3810" b="13970"/>
            <wp:docPr id="5" name="图片 5" descr="住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住建-2"/>
                    <pic:cNvPicPr>
                      <a:picLocks noChangeAspect="1"/>
                    </pic:cNvPicPr>
                  </pic:nvPicPr>
                  <pic:blipFill>
                    <a:blip r:embed="rId6"/>
                    <a:stretch>
                      <a:fillRect/>
                    </a:stretch>
                  </pic:blipFill>
                  <pic:spPr>
                    <a:xfrm>
                      <a:off x="0" y="0"/>
                      <a:ext cx="2567940" cy="8844280"/>
                    </a:xfrm>
                    <a:prstGeom prst="rect">
                      <a:avLst/>
                    </a:prstGeom>
                  </pic:spPr>
                </pic:pic>
              </a:graphicData>
            </a:graphic>
          </wp:inline>
        </w:drawing>
      </w:r>
    </w:p>
    <w:p>
      <w:pPr>
        <w:jc w:val="center"/>
        <w:rPr>
          <w:rFonts w:hint="eastAsia" w:eastAsiaTheme="minorEastAsia"/>
          <w:lang w:eastAsia="zh-CN"/>
        </w:rPr>
      </w:pPr>
      <w:r>
        <w:rPr>
          <w:rFonts w:hint="eastAsia" w:eastAsiaTheme="minorEastAsia"/>
          <w:lang w:eastAsia="zh-CN"/>
        </w:rPr>
        <w:drawing>
          <wp:inline distT="0" distB="0" distL="114300" distR="114300">
            <wp:extent cx="3408045" cy="8860155"/>
            <wp:effectExtent l="0" t="0" r="1905" b="17145"/>
            <wp:docPr id="1" name="图片 1" descr="W02022031060888808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020220310608888081243"/>
                    <pic:cNvPicPr>
                      <a:picLocks noChangeAspect="1"/>
                    </pic:cNvPicPr>
                  </pic:nvPicPr>
                  <pic:blipFill>
                    <a:blip r:embed="rId7"/>
                    <a:stretch>
                      <a:fillRect/>
                    </a:stretch>
                  </pic:blipFill>
                  <pic:spPr>
                    <a:xfrm>
                      <a:off x="0" y="0"/>
                      <a:ext cx="3408045" cy="8860155"/>
                    </a:xfrm>
                    <a:prstGeom prst="rect">
                      <a:avLst/>
                    </a:prstGeom>
                  </pic:spPr>
                </pic:pic>
              </a:graphicData>
            </a:graphic>
          </wp:inline>
        </w:drawing>
      </w:r>
    </w:p>
    <w:p>
      <w:pPr>
        <w:widowControl/>
        <w:jc w:val="center"/>
        <w:rPr>
          <w:rFonts w:ascii="方正小标宋简体" w:hAnsi="Times New Roman" w:eastAsia="方正小标宋简体" w:cs="Times New Roman"/>
          <w:sz w:val="36"/>
          <w:szCs w:val="36"/>
        </w:rPr>
      </w:pPr>
      <w:r>
        <w:rPr>
          <w:rFonts w:hint="eastAsia" w:ascii="方正小标宋简体" w:hAnsi="Times New Roman" w:eastAsia="方正小标宋简体" w:cs="方正小标宋简体"/>
          <w:sz w:val="36"/>
          <w:szCs w:val="36"/>
        </w:rPr>
        <w:t>计划生育事业费项目</w:t>
      </w:r>
      <w:r>
        <w:rPr>
          <w:rFonts w:hint="eastAsia" w:ascii="方正小标宋简体" w:hAnsi="Times New Roman" w:eastAsia="方正小标宋简体" w:cs="方正小标宋简体"/>
          <w:sz w:val="36"/>
          <w:szCs w:val="36"/>
          <w:lang w:val="en-US" w:eastAsia="zh-CN"/>
        </w:rPr>
        <w:t>(绩效目标)</w:t>
      </w:r>
      <w:r>
        <w:rPr>
          <w:rFonts w:hint="eastAsia" w:ascii="方正小标宋简体" w:hAnsi="Times New Roman" w:eastAsia="方正小标宋简体" w:cs="方正小标宋简体"/>
          <w:sz w:val="36"/>
          <w:szCs w:val="36"/>
        </w:rPr>
        <w:t>申报表</w:t>
      </w:r>
    </w:p>
    <w:p>
      <w:pPr>
        <w:widowControl/>
        <w:snapToGrid w:val="0"/>
        <w:spacing w:line="260" w:lineRule="exact"/>
        <w:jc w:val="center"/>
        <w:rPr>
          <w:rFonts w:ascii="仿宋_GB2312" w:hAnsi="Times New Roman" w:eastAsia="仿宋_GB2312" w:cs="Times New Roman"/>
          <w:sz w:val="32"/>
          <w:szCs w:val="32"/>
        </w:rPr>
      </w:pPr>
    </w:p>
    <w:tbl>
      <w:tblPr>
        <w:tblStyle w:val="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1093"/>
        <w:gridCol w:w="1021"/>
        <w:gridCol w:w="915"/>
        <w:gridCol w:w="1153"/>
        <w:gridCol w:w="1094"/>
        <w:gridCol w:w="1081"/>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48" w:type="dxa"/>
            <w:gridSpan w:val="8"/>
            <w:vAlign w:val="center"/>
          </w:tcPr>
          <w:p>
            <w:pPr>
              <w:widowControl/>
              <w:jc w:val="center"/>
              <w:rPr>
                <w:rFonts w:hint="eastAsia" w:ascii="宋体" w:hAnsi="宋体" w:eastAsia="宋体" w:cs="宋体"/>
                <w:b/>
                <w:bCs/>
                <w:kern w:val="0"/>
              </w:rPr>
            </w:pPr>
            <w:r>
              <w:rPr>
                <w:rFonts w:hint="eastAsia" w:ascii="宋体" w:hAnsi="宋体" w:eastAsia="宋体" w:cs="宋体"/>
                <w:b/>
                <w:bCs/>
                <w:kern w:val="0"/>
              </w:rPr>
              <w:t>项目绩效总目标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lang w:eastAsia="zh-CN"/>
              </w:rPr>
              <w:t>项目</w:t>
            </w:r>
            <w:r>
              <w:rPr>
                <w:rFonts w:hint="eastAsia" w:ascii="宋体" w:hAnsi="宋体" w:eastAsia="宋体" w:cs="宋体"/>
                <w:kern w:val="0"/>
              </w:rPr>
              <w:t>名称</w:t>
            </w:r>
          </w:p>
        </w:tc>
        <w:tc>
          <w:tcPr>
            <w:tcW w:w="6221" w:type="dxa"/>
            <w:gridSpan w:val="6"/>
            <w:vAlign w:val="center"/>
          </w:tcPr>
          <w:p>
            <w:pPr>
              <w:widowControl/>
              <w:jc w:val="center"/>
              <w:rPr>
                <w:rFonts w:hint="eastAsia" w:ascii="宋体" w:hAnsi="宋体" w:eastAsia="宋体" w:cs="宋体"/>
                <w:kern w:val="0"/>
              </w:rPr>
            </w:pPr>
            <w:r>
              <w:rPr>
                <w:rFonts w:hint="eastAsia" w:ascii="宋体" w:hAnsi="宋体" w:eastAsia="宋体" w:cs="宋体"/>
                <w:kern w:val="0"/>
              </w:rPr>
              <w:t>计划生育事业费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2"/>
            <w:vAlign w:val="center"/>
          </w:tcPr>
          <w:p>
            <w:pPr>
              <w:widowControl/>
              <w:jc w:val="left"/>
              <w:rPr>
                <w:rFonts w:hint="eastAsia" w:ascii="宋体" w:hAnsi="宋体" w:eastAsia="宋体" w:cs="宋体"/>
                <w:kern w:val="0"/>
                <w:lang w:eastAsia="zh-CN"/>
              </w:rPr>
            </w:pPr>
            <w:r>
              <w:rPr>
                <w:rFonts w:hint="eastAsia" w:ascii="宋体" w:hAnsi="宋体" w:eastAsia="宋体" w:cs="宋体"/>
                <w:kern w:val="0"/>
                <w:lang w:eastAsia="zh-CN"/>
              </w:rPr>
              <w:t>项目金额</w:t>
            </w:r>
          </w:p>
        </w:tc>
        <w:tc>
          <w:tcPr>
            <w:tcW w:w="6221" w:type="dxa"/>
            <w:gridSpan w:val="6"/>
            <w:vAlign w:val="center"/>
          </w:tcPr>
          <w:p>
            <w:pPr>
              <w:widowControl/>
              <w:jc w:val="center"/>
              <w:rPr>
                <w:rFonts w:hint="default" w:ascii="宋体" w:hAnsi="宋体" w:eastAsia="宋体" w:cs="宋体"/>
                <w:kern w:val="0"/>
                <w:lang w:val="en-US" w:eastAsia="zh-CN"/>
              </w:rPr>
            </w:pPr>
            <w:r>
              <w:rPr>
                <w:rFonts w:hint="eastAsia" w:ascii="宋体" w:hAnsi="宋体" w:eastAsia="宋体" w:cs="宋体"/>
                <w:kern w:val="0"/>
                <w:lang w:val="en-US" w:eastAsia="zh-CN"/>
              </w:rPr>
              <w:t>692万元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2"/>
            <w:vAlign w:val="center"/>
          </w:tcPr>
          <w:p>
            <w:pPr>
              <w:widowControl/>
              <w:jc w:val="left"/>
              <w:rPr>
                <w:rFonts w:hint="eastAsia" w:ascii="宋体" w:hAnsi="宋体" w:eastAsia="宋体" w:cs="宋体"/>
                <w:kern w:val="0"/>
              </w:rPr>
            </w:pPr>
            <w:r>
              <w:rPr>
                <w:rFonts w:hint="eastAsia" w:ascii="宋体" w:hAnsi="宋体" w:eastAsia="宋体" w:cs="宋体"/>
                <w:kern w:val="0"/>
              </w:rPr>
              <w:t>长期绩效目标1</w:t>
            </w:r>
          </w:p>
        </w:tc>
        <w:tc>
          <w:tcPr>
            <w:tcW w:w="6221" w:type="dxa"/>
            <w:gridSpan w:val="6"/>
            <w:vAlign w:val="center"/>
          </w:tcPr>
          <w:p>
            <w:pPr>
              <w:widowControl/>
              <w:jc w:val="left"/>
              <w:rPr>
                <w:rFonts w:hint="eastAsia" w:ascii="宋体" w:hAnsi="宋体" w:eastAsia="宋体" w:cs="宋体"/>
                <w:kern w:val="0"/>
              </w:rPr>
            </w:pPr>
            <w:r>
              <w:rPr>
                <w:rFonts w:hint="eastAsia" w:ascii="宋体" w:hAnsi="宋体" w:eastAsia="宋体" w:cs="宋体"/>
                <w:kern w:val="0"/>
              </w:rPr>
              <w:t>　</w:t>
            </w:r>
            <w:r>
              <w:rPr>
                <w:rFonts w:hint="eastAsia" w:ascii="宋体" w:hAnsi="宋体" w:eastAsia="宋体" w:cs="宋体"/>
                <w:sz w:val="20"/>
                <w:szCs w:val="20"/>
                <w:u w:val="none"/>
              </w:rPr>
              <w:t>农村部分计划生育家庭奖励扶助</w:t>
            </w:r>
            <w:r>
              <w:rPr>
                <w:rFonts w:hint="eastAsia" w:ascii="宋体" w:hAnsi="宋体" w:eastAsia="宋体" w:cs="宋体"/>
                <w:sz w:val="20"/>
                <w:szCs w:val="20"/>
                <w:u w:val="none"/>
                <w:lang w:eastAsia="zh-CN"/>
              </w:rPr>
              <w:t>、特别扶助，计划生育家庭一次性抚慰金、企业退休独生子女补助、计划生育并发症及治疗、其他利益导向费用、免费孕前优生健康检查、婚检费用、计划生育以钱养事、再生育补助、流动人口计划生育管理费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2"/>
            <w:vAlign w:val="center"/>
          </w:tcPr>
          <w:p>
            <w:pPr>
              <w:widowControl/>
              <w:jc w:val="left"/>
              <w:rPr>
                <w:rFonts w:hint="eastAsia" w:ascii="宋体" w:hAnsi="宋体" w:eastAsia="宋体" w:cs="宋体"/>
                <w:kern w:val="0"/>
              </w:rPr>
            </w:pPr>
            <w:r>
              <w:rPr>
                <w:rFonts w:hint="eastAsia" w:ascii="宋体" w:hAnsi="宋体" w:eastAsia="宋体" w:cs="宋体"/>
                <w:kern w:val="0"/>
              </w:rPr>
              <w:t>年度绩效目标1</w:t>
            </w:r>
          </w:p>
        </w:tc>
        <w:tc>
          <w:tcPr>
            <w:tcW w:w="6221" w:type="dxa"/>
            <w:gridSpan w:val="6"/>
            <w:vAlign w:val="center"/>
          </w:tcPr>
          <w:p>
            <w:pPr>
              <w:widowControl/>
              <w:jc w:val="left"/>
              <w:rPr>
                <w:rFonts w:hint="eastAsia" w:ascii="宋体" w:hAnsi="宋体" w:eastAsia="宋体" w:cs="宋体"/>
                <w:kern w:val="0"/>
                <w:lang w:eastAsia="zh-CN"/>
              </w:rPr>
            </w:pPr>
            <w:r>
              <w:rPr>
                <w:rFonts w:hint="eastAsia" w:ascii="宋体" w:hAnsi="宋体" w:eastAsia="宋体" w:cs="宋体"/>
                <w:sz w:val="20"/>
                <w:szCs w:val="20"/>
                <w:u w:val="none"/>
              </w:rPr>
              <w:t>农村部分计划生育家庭奖励扶助</w:t>
            </w:r>
            <w:r>
              <w:rPr>
                <w:rFonts w:hint="eastAsia" w:ascii="宋体" w:hAnsi="宋体" w:eastAsia="宋体" w:cs="宋体"/>
                <w:sz w:val="20"/>
                <w:szCs w:val="20"/>
                <w:u w:val="none"/>
                <w:lang w:eastAsia="zh-CN"/>
              </w:rPr>
              <w:t>、特别扶助，计划生育家庭一次性抚慰金、企业退休独生子女补助、计划生育并发症及治疗、其他利益导向费用、免费孕前优生健康检查、婚检费用、计划生育以钱养事、再生育补助、流动人口计划生育管理费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48" w:type="dxa"/>
            <w:gridSpan w:val="8"/>
            <w:vAlign w:val="center"/>
          </w:tcPr>
          <w:p>
            <w:pPr>
              <w:widowControl/>
              <w:jc w:val="center"/>
              <w:rPr>
                <w:rFonts w:hint="eastAsia" w:ascii="宋体" w:hAnsi="宋体" w:eastAsia="宋体" w:cs="宋体"/>
                <w:b/>
                <w:bCs/>
                <w:kern w:val="0"/>
              </w:rPr>
            </w:pPr>
            <w:r>
              <w:rPr>
                <w:rFonts w:hint="eastAsia" w:ascii="宋体" w:hAnsi="宋体" w:eastAsia="宋体" w:cs="宋体"/>
                <w:b/>
                <w:bCs/>
                <w:kern w:val="0"/>
              </w:rPr>
              <w:t>长期绩效目标表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Align w:val="center"/>
          </w:tcPr>
          <w:p>
            <w:pPr>
              <w:widowControl/>
              <w:jc w:val="center"/>
              <w:rPr>
                <w:rFonts w:hint="eastAsia" w:ascii="宋体" w:hAnsi="宋体" w:eastAsia="宋体" w:cs="宋体"/>
                <w:kern w:val="0"/>
              </w:rPr>
            </w:pPr>
            <w:r>
              <w:rPr>
                <w:rFonts w:hint="eastAsia" w:ascii="宋体" w:hAnsi="宋体" w:eastAsia="宋体" w:cs="宋体"/>
                <w:kern w:val="0"/>
              </w:rPr>
              <w:t>目标名称</w:t>
            </w:r>
          </w:p>
        </w:tc>
        <w:tc>
          <w:tcPr>
            <w:tcW w:w="1093" w:type="dxa"/>
            <w:vAlign w:val="center"/>
          </w:tcPr>
          <w:p>
            <w:pPr>
              <w:widowControl/>
              <w:jc w:val="center"/>
              <w:rPr>
                <w:rFonts w:hint="eastAsia" w:ascii="宋体" w:hAnsi="宋体" w:eastAsia="宋体" w:cs="宋体"/>
                <w:kern w:val="0"/>
              </w:rPr>
            </w:pPr>
            <w:r>
              <w:rPr>
                <w:rFonts w:hint="eastAsia" w:ascii="宋体" w:hAnsi="宋体" w:eastAsia="宋体" w:cs="宋体"/>
                <w:kern w:val="0"/>
              </w:rPr>
              <w:t>一级指标</w:t>
            </w: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二级指标</w:t>
            </w:r>
          </w:p>
        </w:tc>
        <w:tc>
          <w:tcPr>
            <w:tcW w:w="206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rPr>
              <w:t>三级指标</w:t>
            </w:r>
          </w:p>
        </w:tc>
        <w:tc>
          <w:tcPr>
            <w:tcW w:w="1094" w:type="dxa"/>
            <w:vAlign w:val="center"/>
          </w:tcPr>
          <w:p>
            <w:pPr>
              <w:widowControl/>
              <w:jc w:val="center"/>
              <w:rPr>
                <w:rFonts w:hint="eastAsia" w:ascii="宋体" w:hAnsi="宋体" w:eastAsia="宋体" w:cs="宋体"/>
                <w:kern w:val="0"/>
              </w:rPr>
            </w:pPr>
            <w:r>
              <w:rPr>
                <w:rFonts w:hint="eastAsia" w:ascii="宋体" w:hAnsi="宋体" w:eastAsia="宋体" w:cs="宋体"/>
                <w:kern w:val="0"/>
              </w:rPr>
              <w:t>指标值</w:t>
            </w:r>
          </w:p>
        </w:tc>
        <w:tc>
          <w:tcPr>
            <w:tcW w:w="203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长期绩效目标1</w:t>
            </w:r>
          </w:p>
        </w:tc>
        <w:tc>
          <w:tcPr>
            <w:tcW w:w="1093"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产出指标</w:t>
            </w: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数量指标</w:t>
            </w:r>
          </w:p>
        </w:tc>
        <w:tc>
          <w:tcPr>
            <w:tcW w:w="206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lang w:eastAsia="zh-CN"/>
              </w:rPr>
              <w:t>奖励扶助人次</w:t>
            </w:r>
            <w:r>
              <w:rPr>
                <w:rFonts w:hint="eastAsia" w:ascii="宋体" w:hAnsi="宋体" w:eastAsia="宋体" w:cs="宋体"/>
                <w:kern w:val="0"/>
              </w:rPr>
              <w:t>　</w:t>
            </w:r>
          </w:p>
        </w:tc>
        <w:tc>
          <w:tcPr>
            <w:tcW w:w="1094" w:type="dxa"/>
            <w:vAlign w:val="center"/>
          </w:tcPr>
          <w:p>
            <w:pPr>
              <w:widowControl/>
              <w:jc w:val="center"/>
              <w:rPr>
                <w:rFonts w:hint="eastAsia" w:ascii="宋体" w:hAnsi="宋体" w:eastAsia="宋体" w:cs="宋体"/>
                <w:kern w:val="0"/>
              </w:rPr>
            </w:pPr>
            <w:r>
              <w:rPr>
                <w:rFonts w:hint="eastAsia" w:ascii="宋体" w:hAnsi="宋体" w:eastAsia="宋体" w:cs="宋体"/>
                <w:kern w:val="0"/>
                <w:lang w:val="en-US" w:eastAsia="zh-CN"/>
              </w:rPr>
              <w:t>10718</w:t>
            </w:r>
            <w:r>
              <w:rPr>
                <w:rFonts w:hint="eastAsia" w:ascii="宋体" w:hAnsi="宋体" w:eastAsia="宋体" w:cs="宋体"/>
                <w:kern w:val="0"/>
              </w:rPr>
              <w:t>　</w:t>
            </w:r>
          </w:p>
        </w:tc>
        <w:tc>
          <w:tcPr>
            <w:tcW w:w="2038" w:type="dxa"/>
            <w:gridSpan w:val="2"/>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rPr>
              <w:t>湖北省人口与计划生育条例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质量指标</w:t>
            </w:r>
          </w:p>
        </w:tc>
        <w:tc>
          <w:tcPr>
            <w:tcW w:w="206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lang w:eastAsia="zh-CN"/>
              </w:rPr>
              <w:t>补助对象覆盖率</w:t>
            </w:r>
            <w:r>
              <w:rPr>
                <w:rFonts w:hint="eastAsia" w:ascii="宋体" w:hAnsi="宋体" w:eastAsia="宋体" w:cs="宋体"/>
                <w:kern w:val="0"/>
              </w:rPr>
              <w:t>　</w:t>
            </w:r>
          </w:p>
        </w:tc>
        <w:tc>
          <w:tcPr>
            <w:tcW w:w="1094" w:type="dxa"/>
            <w:vAlign w:val="center"/>
          </w:tcPr>
          <w:p>
            <w:pPr>
              <w:widowControl/>
              <w:jc w:val="center"/>
              <w:rPr>
                <w:rFonts w:hint="eastAsia" w:ascii="宋体" w:hAnsi="宋体" w:eastAsia="宋体" w:cs="宋体"/>
                <w:kern w:val="0"/>
              </w:rPr>
            </w:pPr>
            <w:r>
              <w:rPr>
                <w:rFonts w:hint="eastAsia" w:ascii="宋体" w:hAnsi="宋体" w:eastAsia="宋体" w:cs="宋体"/>
                <w:kern w:val="0"/>
                <w:lang w:val="en-US" w:eastAsia="zh-CN"/>
              </w:rPr>
              <w:t>100%</w:t>
            </w:r>
            <w:r>
              <w:rPr>
                <w:rFonts w:hint="eastAsia" w:ascii="宋体" w:hAnsi="宋体" w:eastAsia="宋体" w:cs="宋体"/>
                <w:kern w:val="0"/>
              </w:rPr>
              <w:t>　</w:t>
            </w:r>
          </w:p>
        </w:tc>
        <w:tc>
          <w:tcPr>
            <w:tcW w:w="2038" w:type="dxa"/>
            <w:gridSpan w:val="2"/>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rPr>
              <w:t>湖北省人口与计划生育条例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时效指标</w:t>
            </w:r>
          </w:p>
        </w:tc>
        <w:tc>
          <w:tcPr>
            <w:tcW w:w="206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rPr>
              <w:t>　</w:t>
            </w:r>
          </w:p>
        </w:tc>
        <w:tc>
          <w:tcPr>
            <w:tcW w:w="1094"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p>
        </w:tc>
        <w:tc>
          <w:tcPr>
            <w:tcW w:w="203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成本指标</w:t>
            </w:r>
          </w:p>
        </w:tc>
        <w:tc>
          <w:tcPr>
            <w:tcW w:w="2068" w:type="dxa"/>
            <w:gridSpan w:val="2"/>
            <w:vAlign w:val="center"/>
          </w:tcPr>
          <w:p>
            <w:pPr>
              <w:widowControl/>
              <w:jc w:val="left"/>
              <w:rPr>
                <w:rFonts w:hint="eastAsia" w:ascii="宋体" w:hAnsi="宋体" w:eastAsia="宋体" w:cs="宋体"/>
                <w:kern w:val="0"/>
              </w:rPr>
            </w:pPr>
            <w:r>
              <w:rPr>
                <w:rFonts w:hint="eastAsia" w:ascii="宋体" w:hAnsi="宋体" w:eastAsia="宋体" w:cs="宋体"/>
                <w:kern w:val="0"/>
              </w:rPr>
              <w:t>　奖励扶助</w:t>
            </w:r>
            <w:r>
              <w:rPr>
                <w:rFonts w:hint="eastAsia" w:ascii="宋体" w:hAnsi="宋体" w:eastAsia="宋体" w:cs="宋体"/>
                <w:kern w:val="0"/>
              </w:rPr>
              <w:tab/>
            </w:r>
          </w:p>
        </w:tc>
        <w:tc>
          <w:tcPr>
            <w:tcW w:w="1094" w:type="dxa"/>
            <w:vAlign w:val="center"/>
          </w:tcPr>
          <w:p>
            <w:pPr>
              <w:widowControl/>
              <w:jc w:val="left"/>
              <w:rPr>
                <w:rFonts w:hint="eastAsia" w:ascii="宋体" w:hAnsi="宋体" w:eastAsia="宋体" w:cs="宋体"/>
                <w:kern w:val="0"/>
              </w:rPr>
            </w:pPr>
            <w:r>
              <w:rPr>
                <w:rFonts w:hint="eastAsia" w:ascii="宋体" w:hAnsi="宋体" w:eastAsia="宋体" w:cs="宋体"/>
                <w:kern w:val="0"/>
              </w:rPr>
              <w:t>960元/人</w:t>
            </w:r>
          </w:p>
        </w:tc>
        <w:tc>
          <w:tcPr>
            <w:tcW w:w="2038" w:type="dxa"/>
            <w:gridSpan w:val="2"/>
            <w:vAlign w:val="center"/>
          </w:tcPr>
          <w:p>
            <w:pPr>
              <w:widowControl/>
              <w:jc w:val="left"/>
              <w:rPr>
                <w:rFonts w:hint="eastAsia" w:ascii="宋体" w:hAnsi="宋体" w:eastAsia="宋体" w:cs="宋体"/>
                <w:kern w:val="0"/>
              </w:rPr>
            </w:pPr>
            <w:r>
              <w:rPr>
                <w:rFonts w:hint="eastAsia" w:ascii="宋体" w:hAnsi="宋体" w:eastAsia="宋体" w:cs="宋体"/>
                <w:kern w:val="0"/>
              </w:rPr>
              <w:t>鄂财教发〔2012〕15号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效益指标</w:t>
            </w: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经济效益</w:t>
            </w:r>
          </w:p>
          <w:p>
            <w:pPr>
              <w:widowControl/>
              <w:jc w:val="center"/>
              <w:rPr>
                <w:rFonts w:hint="eastAsia" w:ascii="宋体" w:hAnsi="宋体" w:eastAsia="宋体" w:cs="宋体"/>
                <w:kern w:val="0"/>
              </w:rPr>
            </w:pPr>
            <w:r>
              <w:rPr>
                <w:rFonts w:hint="eastAsia" w:ascii="宋体" w:hAnsi="宋体" w:eastAsia="宋体" w:cs="宋体"/>
                <w:kern w:val="0"/>
              </w:rPr>
              <w:t>指标</w:t>
            </w:r>
          </w:p>
        </w:tc>
        <w:tc>
          <w:tcPr>
            <w:tcW w:w="206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sz w:val="20"/>
                <w:szCs w:val="20"/>
                <w:lang w:eastAsia="zh-CN"/>
              </w:rPr>
              <w:t>补助金额</w:t>
            </w:r>
            <w:r>
              <w:rPr>
                <w:rFonts w:hint="eastAsia" w:ascii="宋体" w:hAnsi="宋体" w:eastAsia="宋体" w:cs="宋体"/>
                <w:kern w:val="0"/>
              </w:rPr>
              <w:t>　</w:t>
            </w:r>
          </w:p>
        </w:tc>
        <w:tc>
          <w:tcPr>
            <w:tcW w:w="1094" w:type="dxa"/>
            <w:vAlign w:val="center"/>
          </w:tcPr>
          <w:p>
            <w:pPr>
              <w:widowControl/>
              <w:jc w:val="center"/>
              <w:rPr>
                <w:rFonts w:hint="default" w:ascii="宋体" w:hAnsi="宋体" w:eastAsia="宋体" w:cs="宋体"/>
                <w:kern w:val="0"/>
                <w:lang w:val="en-US" w:eastAsia="zh-CN"/>
              </w:rPr>
            </w:pPr>
            <w:r>
              <w:rPr>
                <w:rFonts w:hint="eastAsia" w:ascii="宋体" w:hAnsi="宋体" w:eastAsia="宋体" w:cs="宋体"/>
                <w:kern w:val="0"/>
                <w:lang w:val="en-US" w:eastAsia="zh-CN"/>
              </w:rPr>
              <w:t>692万元</w:t>
            </w:r>
          </w:p>
        </w:tc>
        <w:tc>
          <w:tcPr>
            <w:tcW w:w="2038" w:type="dxa"/>
            <w:gridSpan w:val="2"/>
            <w:vAlign w:val="center"/>
          </w:tcPr>
          <w:p>
            <w:pPr>
              <w:widowControl/>
              <w:jc w:val="center"/>
              <w:rPr>
                <w:rFonts w:hint="default" w:ascii="宋体" w:hAnsi="宋体" w:eastAsia="宋体" w:cs="宋体"/>
                <w:kern w:val="0"/>
                <w:lang w:val="en-US" w:eastAsia="zh-CN"/>
              </w:rPr>
            </w:pPr>
            <w:r>
              <w:rPr>
                <w:rFonts w:hint="eastAsia" w:ascii="宋体" w:hAnsi="宋体" w:eastAsia="宋体" w:cs="宋体"/>
                <w:kern w:val="0"/>
                <w:lang w:eastAsia="zh-CN"/>
              </w:rPr>
              <w:t>随县财函</w:t>
            </w:r>
            <w:r>
              <w:rPr>
                <w:rFonts w:hint="eastAsia" w:ascii="宋体" w:hAnsi="宋体" w:eastAsia="宋体" w:cs="宋体"/>
                <w:kern w:val="0"/>
                <w:lang w:val="en-US" w:eastAsia="zh-CN"/>
              </w:rPr>
              <w:t>[2022]1号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社会效益</w:t>
            </w:r>
          </w:p>
          <w:p>
            <w:pPr>
              <w:widowControl/>
              <w:jc w:val="center"/>
              <w:rPr>
                <w:rFonts w:hint="eastAsia" w:ascii="宋体" w:hAnsi="宋体" w:eastAsia="宋体" w:cs="宋体"/>
                <w:kern w:val="0"/>
              </w:rPr>
            </w:pPr>
            <w:r>
              <w:rPr>
                <w:rFonts w:hint="eastAsia" w:ascii="宋体" w:hAnsi="宋体" w:eastAsia="宋体" w:cs="宋体"/>
                <w:kern w:val="0"/>
              </w:rPr>
              <w:t>指标</w:t>
            </w:r>
          </w:p>
        </w:tc>
        <w:tc>
          <w:tcPr>
            <w:tcW w:w="2068" w:type="dxa"/>
            <w:gridSpan w:val="2"/>
            <w:vAlign w:val="center"/>
          </w:tcPr>
          <w:p>
            <w:pPr>
              <w:widowControl/>
              <w:jc w:val="center"/>
              <w:rPr>
                <w:rFonts w:hint="eastAsia" w:ascii="宋体" w:hAnsi="宋体" w:eastAsia="宋体" w:cs="宋体"/>
                <w:kern w:val="0"/>
                <w:lang w:eastAsia="zh-CN"/>
              </w:rPr>
            </w:pPr>
            <w:r>
              <w:rPr>
                <w:rFonts w:hint="eastAsia" w:ascii="宋体" w:hAnsi="宋体" w:eastAsia="宋体" w:cs="宋体"/>
                <w:kern w:val="0"/>
                <w:lang w:eastAsia="zh-CN"/>
              </w:rPr>
              <w:t>社会效益</w:t>
            </w:r>
          </w:p>
        </w:tc>
        <w:tc>
          <w:tcPr>
            <w:tcW w:w="1094" w:type="dxa"/>
            <w:vAlign w:val="center"/>
          </w:tcPr>
          <w:p>
            <w:pPr>
              <w:widowControl/>
              <w:jc w:val="center"/>
              <w:rPr>
                <w:rFonts w:hint="eastAsia" w:ascii="宋体" w:hAnsi="宋体" w:eastAsia="宋体" w:cs="宋体"/>
                <w:kern w:val="0"/>
              </w:rPr>
            </w:pPr>
            <w:r>
              <w:rPr>
                <w:rFonts w:hint="eastAsia" w:ascii="宋体" w:hAnsi="宋体" w:eastAsia="宋体" w:cs="宋体"/>
                <w:sz w:val="20"/>
                <w:szCs w:val="20"/>
                <w:lang w:eastAsia="zh-CN"/>
              </w:rPr>
              <w:t>促进人口和经济社会协调发展</w:t>
            </w:r>
            <w:r>
              <w:rPr>
                <w:rFonts w:hint="eastAsia" w:ascii="宋体" w:hAnsi="宋体" w:eastAsia="宋体" w:cs="宋体"/>
                <w:kern w:val="0"/>
                <w:sz w:val="20"/>
                <w:szCs w:val="20"/>
              </w:rPr>
              <w:t>　</w:t>
            </w:r>
            <w:r>
              <w:rPr>
                <w:rFonts w:hint="eastAsia" w:ascii="宋体" w:hAnsi="宋体" w:eastAsia="宋体" w:cs="宋体"/>
                <w:kern w:val="0"/>
              </w:rPr>
              <w:t>　</w:t>
            </w:r>
          </w:p>
        </w:tc>
        <w:tc>
          <w:tcPr>
            <w:tcW w:w="203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rPr>
              <w:t>湖北省人口与计划生育条例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生态效益</w:t>
            </w:r>
          </w:p>
          <w:p>
            <w:pPr>
              <w:widowControl/>
              <w:jc w:val="center"/>
              <w:rPr>
                <w:rFonts w:hint="eastAsia" w:ascii="宋体" w:hAnsi="宋体" w:eastAsia="宋体" w:cs="宋体"/>
                <w:kern w:val="0"/>
              </w:rPr>
            </w:pPr>
            <w:r>
              <w:rPr>
                <w:rFonts w:hint="eastAsia" w:ascii="宋体" w:hAnsi="宋体" w:eastAsia="宋体" w:cs="宋体"/>
                <w:kern w:val="0"/>
              </w:rPr>
              <w:t>指标</w:t>
            </w:r>
          </w:p>
        </w:tc>
        <w:tc>
          <w:tcPr>
            <w:tcW w:w="206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rPr>
              <w:t>　</w:t>
            </w:r>
          </w:p>
        </w:tc>
        <w:tc>
          <w:tcPr>
            <w:tcW w:w="1094"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p>
        </w:tc>
        <w:tc>
          <w:tcPr>
            <w:tcW w:w="203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可持续影响指标</w:t>
            </w:r>
          </w:p>
        </w:tc>
        <w:tc>
          <w:tcPr>
            <w:tcW w:w="2068" w:type="dxa"/>
            <w:gridSpan w:val="2"/>
            <w:vAlign w:val="center"/>
          </w:tcPr>
          <w:p>
            <w:pPr>
              <w:widowControl/>
              <w:jc w:val="left"/>
              <w:rPr>
                <w:rFonts w:hint="eastAsia" w:ascii="宋体" w:hAnsi="宋体" w:eastAsia="宋体" w:cs="宋体"/>
                <w:kern w:val="0"/>
              </w:rPr>
            </w:pPr>
            <w:r>
              <w:rPr>
                <w:rFonts w:hint="eastAsia" w:ascii="宋体" w:hAnsi="宋体" w:eastAsia="宋体" w:cs="宋体"/>
                <w:kern w:val="0"/>
              </w:rPr>
              <w:t>计划生育</w:t>
            </w:r>
            <w:r>
              <w:rPr>
                <w:rFonts w:hint="eastAsia" w:ascii="宋体" w:hAnsi="宋体" w:eastAsia="宋体" w:cs="宋体"/>
                <w:kern w:val="0"/>
                <w:lang w:eastAsia="zh-CN"/>
              </w:rPr>
              <w:t>政策</w:t>
            </w:r>
            <w:r>
              <w:rPr>
                <w:rFonts w:hint="eastAsia" w:ascii="宋体" w:hAnsi="宋体" w:eastAsia="宋体" w:cs="宋体"/>
                <w:kern w:val="0"/>
              </w:rPr>
              <w:t>导向</w:t>
            </w:r>
          </w:p>
        </w:tc>
        <w:tc>
          <w:tcPr>
            <w:tcW w:w="1094" w:type="dxa"/>
            <w:vAlign w:val="center"/>
          </w:tcPr>
          <w:p>
            <w:pPr>
              <w:widowControl/>
              <w:jc w:val="left"/>
              <w:rPr>
                <w:rFonts w:hint="eastAsia" w:ascii="宋体" w:hAnsi="宋体" w:eastAsia="宋体" w:cs="宋体"/>
                <w:kern w:val="0"/>
              </w:rPr>
            </w:pPr>
            <w:r>
              <w:rPr>
                <w:rFonts w:hint="eastAsia" w:ascii="宋体" w:hAnsi="宋体" w:eastAsia="宋体" w:cs="宋体"/>
                <w:kern w:val="0"/>
              </w:rPr>
              <w:t>完善计划生育利益导向政策</w:t>
            </w:r>
          </w:p>
        </w:tc>
        <w:tc>
          <w:tcPr>
            <w:tcW w:w="2038" w:type="dxa"/>
            <w:gridSpan w:val="2"/>
            <w:vAlign w:val="center"/>
          </w:tcPr>
          <w:p>
            <w:pPr>
              <w:widowControl/>
              <w:jc w:val="left"/>
              <w:rPr>
                <w:rFonts w:hint="eastAsia" w:ascii="宋体" w:hAnsi="宋体" w:eastAsia="宋体" w:cs="宋体"/>
                <w:kern w:val="0"/>
              </w:rPr>
            </w:pPr>
            <w:r>
              <w:rPr>
                <w:rFonts w:hint="eastAsia" w:ascii="宋体" w:hAnsi="宋体" w:eastAsia="宋体" w:cs="宋体"/>
                <w:kern w:val="0"/>
              </w:rPr>
              <w:t>　湖北省人口与计划生育条例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Align w:val="center"/>
          </w:tcPr>
          <w:p>
            <w:pPr>
              <w:widowControl/>
              <w:jc w:val="center"/>
              <w:rPr>
                <w:rFonts w:hint="eastAsia" w:ascii="宋体" w:hAnsi="宋体" w:eastAsia="宋体" w:cs="宋体"/>
                <w:kern w:val="0"/>
              </w:rPr>
            </w:pPr>
            <w:r>
              <w:rPr>
                <w:rFonts w:hint="eastAsia" w:ascii="宋体" w:hAnsi="宋体" w:eastAsia="宋体" w:cs="宋体"/>
                <w:kern w:val="0"/>
              </w:rPr>
              <w:t>满意度</w:t>
            </w:r>
          </w:p>
          <w:p>
            <w:pPr>
              <w:widowControl/>
              <w:ind w:firstLine="210" w:firstLineChars="100"/>
              <w:jc w:val="left"/>
              <w:rPr>
                <w:rFonts w:hint="eastAsia" w:ascii="宋体" w:hAnsi="宋体" w:eastAsia="宋体" w:cs="宋体"/>
                <w:kern w:val="0"/>
              </w:rPr>
            </w:pPr>
            <w:r>
              <w:rPr>
                <w:rFonts w:hint="eastAsia" w:ascii="宋体" w:hAnsi="宋体" w:eastAsia="宋体" w:cs="宋体"/>
                <w:kern w:val="0"/>
              </w:rPr>
              <w:t>指标</w:t>
            </w: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服务对象满意度</w:t>
            </w:r>
          </w:p>
          <w:p>
            <w:pPr>
              <w:widowControl/>
              <w:jc w:val="center"/>
              <w:rPr>
                <w:rFonts w:hint="eastAsia" w:ascii="宋体" w:hAnsi="宋体" w:eastAsia="宋体" w:cs="宋体"/>
                <w:kern w:val="0"/>
              </w:rPr>
            </w:pPr>
            <w:r>
              <w:rPr>
                <w:rFonts w:hint="eastAsia" w:ascii="宋体" w:hAnsi="宋体" w:eastAsia="宋体" w:cs="宋体"/>
                <w:kern w:val="0"/>
              </w:rPr>
              <w:t>指标</w:t>
            </w:r>
          </w:p>
        </w:tc>
        <w:tc>
          <w:tcPr>
            <w:tcW w:w="2068" w:type="dxa"/>
            <w:gridSpan w:val="2"/>
            <w:vAlign w:val="top"/>
          </w:tcPr>
          <w:p>
            <w:pPr>
              <w:widowControl/>
              <w:jc w:val="both"/>
              <w:rPr>
                <w:rFonts w:hint="eastAsia" w:ascii="宋体" w:hAnsi="宋体" w:eastAsia="宋体" w:cs="宋体"/>
                <w:kern w:val="0"/>
              </w:rPr>
            </w:pPr>
            <w:r>
              <w:rPr>
                <w:rFonts w:hint="eastAsia" w:ascii="宋体" w:hAnsi="宋体" w:eastAsia="宋体" w:cs="宋体"/>
                <w:kern w:val="0"/>
              </w:rPr>
              <w:t>群众对计划生育工作满意度</w:t>
            </w:r>
          </w:p>
        </w:tc>
        <w:tc>
          <w:tcPr>
            <w:tcW w:w="1094" w:type="dxa"/>
            <w:vAlign w:val="center"/>
          </w:tcPr>
          <w:p>
            <w:pPr>
              <w:widowControl/>
              <w:jc w:val="left"/>
              <w:rPr>
                <w:rFonts w:hint="eastAsia" w:ascii="宋体" w:hAnsi="宋体" w:eastAsia="宋体" w:cs="宋体"/>
                <w:kern w:val="0"/>
              </w:rPr>
            </w:pPr>
            <w:r>
              <w:rPr>
                <w:rFonts w:hint="eastAsia" w:ascii="宋体" w:hAnsi="宋体" w:eastAsia="宋体" w:cs="宋体"/>
                <w:kern w:val="0"/>
              </w:rPr>
              <w:t>　≥90%</w:t>
            </w:r>
          </w:p>
        </w:tc>
        <w:tc>
          <w:tcPr>
            <w:tcW w:w="203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rPr>
              <w:t>湖北省人口与计划生育条例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Align w:val="center"/>
          </w:tcPr>
          <w:p>
            <w:pPr>
              <w:widowControl/>
              <w:jc w:val="left"/>
              <w:rPr>
                <w:rFonts w:hint="eastAsia" w:ascii="宋体" w:hAnsi="宋体" w:eastAsia="宋体" w:cs="宋体"/>
                <w:kern w:val="0"/>
              </w:rPr>
            </w:pPr>
            <w:r>
              <w:rPr>
                <w:rFonts w:hint="eastAsia" w:ascii="宋体" w:hAnsi="宋体" w:eastAsia="宋体" w:cs="宋体"/>
                <w:kern w:val="0"/>
              </w:rPr>
              <w:t>长期绩效目标2</w:t>
            </w:r>
          </w:p>
        </w:tc>
        <w:tc>
          <w:tcPr>
            <w:tcW w:w="1093"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p>
        </w:tc>
        <w:tc>
          <w:tcPr>
            <w:tcW w:w="1021" w:type="dxa"/>
            <w:vAlign w:val="bottom"/>
          </w:tcPr>
          <w:p>
            <w:pPr>
              <w:widowControl/>
              <w:jc w:val="left"/>
              <w:rPr>
                <w:rFonts w:hint="eastAsia" w:ascii="宋体" w:hAnsi="宋体" w:eastAsia="宋体" w:cs="宋体"/>
                <w:kern w:val="0"/>
              </w:rPr>
            </w:pPr>
            <w:r>
              <w:rPr>
                <w:rFonts w:hint="eastAsia" w:ascii="宋体" w:hAnsi="宋体" w:eastAsia="宋体" w:cs="宋体"/>
                <w:kern w:val="0"/>
              </w:rPr>
              <w:t>　</w:t>
            </w:r>
          </w:p>
        </w:tc>
        <w:tc>
          <w:tcPr>
            <w:tcW w:w="206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rPr>
              <w:t>　</w:t>
            </w:r>
          </w:p>
        </w:tc>
        <w:tc>
          <w:tcPr>
            <w:tcW w:w="1094"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p>
        </w:tc>
        <w:tc>
          <w:tcPr>
            <w:tcW w:w="2038" w:type="dxa"/>
            <w:gridSpan w:val="2"/>
            <w:vAlign w:val="center"/>
          </w:tcPr>
          <w:p>
            <w:pPr>
              <w:widowControl/>
              <w:jc w:val="center"/>
              <w:rPr>
                <w:rFonts w:hint="eastAsia" w:ascii="宋体" w:hAnsi="宋体" w:eastAsia="宋体" w:cs="宋体"/>
                <w:kern w:val="0"/>
              </w:rPr>
            </w:pPr>
            <w:r>
              <w:rPr>
                <w:rFonts w:hint="eastAsia" w:ascii="宋体" w:hAnsi="宋体" w:eastAsia="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48" w:type="dxa"/>
            <w:gridSpan w:val="8"/>
            <w:vAlign w:val="center"/>
          </w:tcPr>
          <w:p>
            <w:pPr>
              <w:widowControl/>
              <w:jc w:val="center"/>
              <w:rPr>
                <w:rFonts w:hint="eastAsia" w:ascii="宋体" w:hAnsi="宋体" w:eastAsia="宋体" w:cs="宋体"/>
                <w:b/>
                <w:bCs/>
                <w:kern w:val="0"/>
              </w:rPr>
            </w:pPr>
            <w:r>
              <w:rPr>
                <w:rFonts w:hint="eastAsia" w:ascii="宋体" w:hAnsi="宋体" w:eastAsia="宋体" w:cs="宋体"/>
                <w:b/>
                <w:bCs/>
                <w:kern w:val="0"/>
              </w:rPr>
              <w:t>年度绩效目标表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目标名称</w:t>
            </w:r>
          </w:p>
        </w:tc>
        <w:tc>
          <w:tcPr>
            <w:tcW w:w="1093"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一级指标</w:t>
            </w:r>
          </w:p>
        </w:tc>
        <w:tc>
          <w:tcPr>
            <w:tcW w:w="1021"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二级指标</w:t>
            </w:r>
          </w:p>
        </w:tc>
        <w:tc>
          <w:tcPr>
            <w:tcW w:w="915"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三级</w:t>
            </w:r>
          </w:p>
          <w:p>
            <w:pPr>
              <w:widowControl/>
              <w:jc w:val="center"/>
              <w:rPr>
                <w:rFonts w:hint="eastAsia" w:ascii="宋体" w:hAnsi="宋体" w:eastAsia="宋体" w:cs="宋体"/>
                <w:kern w:val="0"/>
              </w:rPr>
            </w:pPr>
            <w:r>
              <w:rPr>
                <w:rFonts w:hint="eastAsia" w:ascii="宋体" w:hAnsi="宋体" w:eastAsia="宋体" w:cs="宋体"/>
                <w:kern w:val="0"/>
              </w:rPr>
              <w:t>指标</w:t>
            </w:r>
          </w:p>
        </w:tc>
        <w:tc>
          <w:tcPr>
            <w:tcW w:w="3328" w:type="dxa"/>
            <w:gridSpan w:val="3"/>
            <w:vAlign w:val="center"/>
          </w:tcPr>
          <w:p>
            <w:pPr>
              <w:widowControl/>
              <w:jc w:val="center"/>
              <w:rPr>
                <w:rFonts w:hint="eastAsia" w:ascii="宋体" w:hAnsi="宋体" w:eastAsia="宋体" w:cs="宋体"/>
                <w:kern w:val="0"/>
              </w:rPr>
            </w:pPr>
            <w:r>
              <w:rPr>
                <w:rFonts w:hint="eastAsia" w:ascii="宋体" w:hAnsi="宋体" w:eastAsia="宋体" w:cs="宋体"/>
                <w:kern w:val="0"/>
              </w:rPr>
              <w:t>指标值</w:t>
            </w:r>
          </w:p>
        </w:tc>
        <w:tc>
          <w:tcPr>
            <w:tcW w:w="957"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指标值确定</w:t>
            </w:r>
          </w:p>
          <w:p>
            <w:pPr>
              <w:widowControl/>
              <w:jc w:val="center"/>
              <w:rPr>
                <w:rFonts w:hint="eastAsia" w:ascii="宋体" w:hAnsi="宋体" w:eastAsia="宋体" w:cs="宋体"/>
                <w:kern w:val="0"/>
              </w:rPr>
            </w:pPr>
            <w:r>
              <w:rPr>
                <w:rFonts w:hint="eastAsia" w:ascii="宋体" w:hAnsi="宋体" w:eastAsia="宋体" w:cs="宋体"/>
                <w:kern w:val="0"/>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Merge w:val="continue"/>
            <w:vAlign w:val="center"/>
          </w:tcPr>
          <w:p>
            <w:pPr>
              <w:widowControl/>
              <w:jc w:val="left"/>
              <w:rPr>
                <w:rFonts w:hint="eastAsia" w:ascii="宋体" w:hAnsi="宋体" w:eastAsia="宋体" w:cs="宋体"/>
                <w:kern w:val="0"/>
              </w:rPr>
            </w:pPr>
          </w:p>
        </w:tc>
        <w:tc>
          <w:tcPr>
            <w:tcW w:w="915" w:type="dxa"/>
            <w:vMerge w:val="continue"/>
            <w:vAlign w:val="center"/>
          </w:tcPr>
          <w:p>
            <w:pPr>
              <w:widowControl/>
              <w:jc w:val="left"/>
              <w:rPr>
                <w:rFonts w:hint="eastAsia" w:ascii="宋体" w:hAnsi="宋体" w:eastAsia="宋体" w:cs="宋体"/>
                <w:kern w:val="0"/>
              </w:rPr>
            </w:pPr>
          </w:p>
        </w:tc>
        <w:tc>
          <w:tcPr>
            <w:tcW w:w="1153" w:type="dxa"/>
            <w:vAlign w:val="center"/>
          </w:tcPr>
          <w:p>
            <w:pPr>
              <w:widowControl/>
              <w:jc w:val="center"/>
              <w:rPr>
                <w:rFonts w:hint="eastAsia" w:ascii="宋体" w:hAnsi="宋体" w:eastAsia="宋体" w:cs="宋体"/>
                <w:kern w:val="0"/>
              </w:rPr>
            </w:pPr>
            <w:r>
              <w:rPr>
                <w:rFonts w:hint="eastAsia" w:ascii="宋体" w:hAnsi="宋体" w:eastAsia="宋体" w:cs="宋体"/>
                <w:kern w:val="0"/>
              </w:rPr>
              <w:t>前年</w:t>
            </w:r>
          </w:p>
        </w:tc>
        <w:tc>
          <w:tcPr>
            <w:tcW w:w="1094" w:type="dxa"/>
            <w:vAlign w:val="center"/>
          </w:tcPr>
          <w:p>
            <w:pPr>
              <w:widowControl/>
              <w:jc w:val="center"/>
              <w:rPr>
                <w:rFonts w:hint="eastAsia" w:ascii="宋体" w:hAnsi="宋体" w:eastAsia="宋体" w:cs="宋体"/>
                <w:kern w:val="0"/>
              </w:rPr>
            </w:pPr>
            <w:r>
              <w:rPr>
                <w:rFonts w:hint="eastAsia" w:ascii="宋体" w:hAnsi="宋体" w:eastAsia="宋体" w:cs="宋体"/>
                <w:kern w:val="0"/>
              </w:rPr>
              <w:t>上年</w:t>
            </w:r>
          </w:p>
        </w:tc>
        <w:tc>
          <w:tcPr>
            <w:tcW w:w="1081" w:type="dxa"/>
            <w:vAlign w:val="center"/>
          </w:tcPr>
          <w:p>
            <w:pPr>
              <w:widowControl/>
              <w:jc w:val="center"/>
              <w:rPr>
                <w:rFonts w:hint="eastAsia" w:ascii="宋体" w:hAnsi="宋体" w:eastAsia="宋体" w:cs="宋体"/>
                <w:kern w:val="0"/>
              </w:rPr>
            </w:pPr>
            <w:r>
              <w:rPr>
                <w:rFonts w:hint="eastAsia" w:ascii="宋体" w:hAnsi="宋体" w:eastAsia="宋体" w:cs="宋体"/>
                <w:kern w:val="0"/>
              </w:rPr>
              <w:t>预计当年</w:t>
            </w:r>
          </w:p>
          <w:p>
            <w:pPr>
              <w:widowControl/>
              <w:jc w:val="center"/>
              <w:rPr>
                <w:rFonts w:hint="eastAsia" w:ascii="宋体" w:hAnsi="宋体" w:eastAsia="宋体" w:cs="宋体"/>
                <w:kern w:val="0"/>
              </w:rPr>
            </w:pPr>
            <w:r>
              <w:rPr>
                <w:rFonts w:hint="eastAsia" w:ascii="宋体" w:hAnsi="宋体" w:eastAsia="宋体" w:cs="宋体"/>
                <w:kern w:val="0"/>
              </w:rPr>
              <w:t>实现</w:t>
            </w:r>
          </w:p>
        </w:tc>
        <w:tc>
          <w:tcPr>
            <w:tcW w:w="957" w:type="dxa"/>
            <w:vMerge w:val="continue"/>
            <w:vAlign w:val="center"/>
          </w:tcPr>
          <w:p>
            <w:pPr>
              <w:widowControl/>
              <w:jc w:val="left"/>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年度绩效目标1</w:t>
            </w:r>
          </w:p>
        </w:tc>
        <w:tc>
          <w:tcPr>
            <w:tcW w:w="1093"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产出指标</w:t>
            </w: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数量指标</w:t>
            </w:r>
          </w:p>
        </w:tc>
        <w:tc>
          <w:tcPr>
            <w:tcW w:w="915" w:type="dxa"/>
            <w:vAlign w:val="center"/>
          </w:tcPr>
          <w:p>
            <w:pPr>
              <w:widowControl/>
              <w:jc w:val="left"/>
              <w:rPr>
                <w:rFonts w:hint="eastAsia" w:ascii="宋体" w:hAnsi="宋体" w:eastAsia="宋体" w:cs="宋体"/>
                <w:kern w:val="0"/>
                <w:lang w:eastAsia="zh-CN"/>
              </w:rPr>
            </w:pPr>
            <w:r>
              <w:rPr>
                <w:rFonts w:hint="eastAsia" w:ascii="宋体" w:hAnsi="宋体" w:eastAsia="宋体" w:cs="宋体"/>
                <w:kern w:val="0"/>
                <w:lang w:eastAsia="zh-CN"/>
              </w:rPr>
              <w:t>奖励扶助人次</w:t>
            </w:r>
          </w:p>
        </w:tc>
        <w:tc>
          <w:tcPr>
            <w:tcW w:w="1153" w:type="dxa"/>
            <w:vAlign w:val="center"/>
          </w:tcPr>
          <w:p>
            <w:pPr>
              <w:widowControl/>
              <w:jc w:val="left"/>
              <w:rPr>
                <w:rFonts w:hint="default" w:ascii="宋体" w:hAnsi="宋体" w:eastAsia="宋体" w:cs="宋体"/>
                <w:kern w:val="0"/>
                <w:lang w:val="en-US" w:eastAsia="zh-CN"/>
              </w:rPr>
            </w:pPr>
            <w:r>
              <w:rPr>
                <w:rFonts w:hint="eastAsia" w:ascii="宋体" w:hAnsi="宋体" w:eastAsia="宋体" w:cs="宋体"/>
                <w:kern w:val="0"/>
                <w:lang w:val="en-US" w:eastAsia="zh-CN"/>
              </w:rPr>
              <w:t>10650</w:t>
            </w:r>
          </w:p>
        </w:tc>
        <w:tc>
          <w:tcPr>
            <w:tcW w:w="1094" w:type="dxa"/>
            <w:vAlign w:val="center"/>
          </w:tcPr>
          <w:p>
            <w:pPr>
              <w:widowControl/>
              <w:jc w:val="center"/>
              <w:rPr>
                <w:rFonts w:hint="default" w:ascii="宋体" w:hAnsi="宋体" w:eastAsia="宋体" w:cs="宋体"/>
                <w:kern w:val="0"/>
                <w:lang w:val="en-US" w:eastAsia="zh-CN"/>
              </w:rPr>
            </w:pPr>
            <w:r>
              <w:rPr>
                <w:rFonts w:hint="eastAsia" w:ascii="宋体" w:hAnsi="宋体" w:eastAsia="宋体" w:cs="宋体"/>
                <w:kern w:val="0"/>
                <w:lang w:val="en-US" w:eastAsia="zh-CN"/>
              </w:rPr>
              <w:t>10673</w:t>
            </w:r>
          </w:p>
        </w:tc>
        <w:tc>
          <w:tcPr>
            <w:tcW w:w="1081" w:type="dxa"/>
            <w:vAlign w:val="center"/>
          </w:tcPr>
          <w:p>
            <w:pPr>
              <w:widowControl/>
              <w:ind w:firstLine="210" w:firstLineChars="100"/>
              <w:jc w:val="left"/>
              <w:rPr>
                <w:rFonts w:hint="default" w:ascii="宋体" w:hAnsi="宋体" w:eastAsia="宋体" w:cs="宋体"/>
                <w:kern w:val="0"/>
                <w:lang w:val="en-US" w:eastAsia="zh-CN"/>
              </w:rPr>
            </w:pPr>
            <w:r>
              <w:rPr>
                <w:rFonts w:hint="eastAsia" w:ascii="宋体" w:hAnsi="宋体" w:eastAsia="宋体" w:cs="宋体"/>
                <w:kern w:val="0"/>
                <w:lang w:val="en-US" w:eastAsia="zh-CN"/>
              </w:rPr>
              <w:t>10718</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湖北省人口与计划生育条例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质量指标</w:t>
            </w:r>
          </w:p>
        </w:tc>
        <w:tc>
          <w:tcPr>
            <w:tcW w:w="915" w:type="dxa"/>
            <w:vAlign w:val="center"/>
          </w:tcPr>
          <w:p>
            <w:pPr>
              <w:widowControl/>
              <w:jc w:val="left"/>
              <w:rPr>
                <w:rFonts w:hint="eastAsia" w:ascii="宋体" w:hAnsi="宋体" w:eastAsia="宋体" w:cs="宋体"/>
                <w:kern w:val="0"/>
                <w:lang w:eastAsia="zh-CN"/>
              </w:rPr>
            </w:pPr>
            <w:r>
              <w:rPr>
                <w:rFonts w:hint="eastAsia" w:ascii="宋体" w:hAnsi="宋体" w:eastAsia="宋体" w:cs="宋体"/>
                <w:kern w:val="0"/>
                <w:lang w:eastAsia="zh-CN"/>
              </w:rPr>
              <w:t>补助对象覆盖率</w:t>
            </w:r>
          </w:p>
        </w:tc>
        <w:tc>
          <w:tcPr>
            <w:tcW w:w="1153" w:type="dxa"/>
            <w:vAlign w:val="center"/>
          </w:tcPr>
          <w:p>
            <w:pPr>
              <w:widowControl/>
              <w:jc w:val="left"/>
              <w:rPr>
                <w:rFonts w:hint="default" w:ascii="宋体" w:hAnsi="宋体" w:eastAsia="宋体" w:cs="宋体"/>
                <w:kern w:val="0"/>
                <w:lang w:val="en-US" w:eastAsia="zh-CN"/>
              </w:rPr>
            </w:pPr>
            <w:r>
              <w:rPr>
                <w:rFonts w:hint="eastAsia" w:ascii="宋体" w:hAnsi="宋体" w:eastAsia="宋体" w:cs="宋体"/>
                <w:kern w:val="0"/>
                <w:lang w:val="en-US" w:eastAsia="zh-CN"/>
              </w:rPr>
              <w:t>100%</w:t>
            </w:r>
          </w:p>
        </w:tc>
        <w:tc>
          <w:tcPr>
            <w:tcW w:w="1094" w:type="dxa"/>
            <w:vAlign w:val="center"/>
          </w:tcPr>
          <w:p>
            <w:pPr>
              <w:widowControl/>
              <w:jc w:val="center"/>
              <w:rPr>
                <w:rFonts w:hint="default" w:ascii="宋体" w:hAnsi="宋体" w:eastAsia="宋体" w:cs="宋体"/>
                <w:kern w:val="0"/>
                <w:lang w:val="en-US" w:eastAsia="zh-CN"/>
              </w:rPr>
            </w:pPr>
            <w:r>
              <w:rPr>
                <w:rFonts w:hint="eastAsia" w:ascii="宋体" w:hAnsi="宋体" w:eastAsia="宋体" w:cs="宋体"/>
                <w:kern w:val="0"/>
                <w:lang w:val="en-US" w:eastAsia="zh-CN"/>
              </w:rPr>
              <w:t>100%</w:t>
            </w:r>
          </w:p>
        </w:tc>
        <w:tc>
          <w:tcPr>
            <w:tcW w:w="1081" w:type="dxa"/>
            <w:vAlign w:val="center"/>
          </w:tcPr>
          <w:p>
            <w:pPr>
              <w:widowControl/>
              <w:jc w:val="left"/>
              <w:rPr>
                <w:rFonts w:hint="default" w:ascii="宋体" w:hAnsi="宋体" w:eastAsia="宋体" w:cs="宋体"/>
                <w:kern w:val="0"/>
                <w:lang w:val="en-US" w:eastAsia="zh-CN"/>
              </w:rPr>
            </w:pPr>
            <w:r>
              <w:rPr>
                <w:rFonts w:hint="eastAsia" w:ascii="宋体" w:hAnsi="宋体" w:eastAsia="宋体" w:cs="宋体"/>
                <w:kern w:val="0"/>
                <w:lang w:val="en-US" w:eastAsia="zh-CN"/>
              </w:rPr>
              <w:t>100%</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湖北省人口与计划生育条例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时效指标</w:t>
            </w:r>
          </w:p>
        </w:tc>
        <w:tc>
          <w:tcPr>
            <w:tcW w:w="915"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p>
        </w:tc>
        <w:tc>
          <w:tcPr>
            <w:tcW w:w="1153"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p>
        </w:tc>
        <w:tc>
          <w:tcPr>
            <w:tcW w:w="1094"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p>
        </w:tc>
        <w:tc>
          <w:tcPr>
            <w:tcW w:w="1081"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成本指标</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独保费</w:t>
            </w:r>
          </w:p>
        </w:tc>
        <w:tc>
          <w:tcPr>
            <w:tcW w:w="11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1200元/人</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1200元/人</w:t>
            </w:r>
          </w:p>
        </w:tc>
        <w:tc>
          <w:tcPr>
            <w:tcW w:w="108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lang w:val="en-US" w:eastAsia="zh-CN"/>
              </w:rPr>
            </w:pPr>
            <w:r>
              <w:rPr>
                <w:rFonts w:hint="eastAsia" w:ascii="宋体" w:hAnsi="宋体" w:eastAsia="宋体" w:cs="宋体"/>
                <w:kern w:val="0"/>
                <w:sz w:val="20"/>
                <w:szCs w:val="20"/>
                <w:lang w:val="en-US" w:eastAsia="zh-CN"/>
              </w:rPr>
              <w:t>1200元/人</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湖北省人口与计划生育条例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Merge w:val="continue"/>
            <w:vAlign w:val="center"/>
          </w:tcPr>
          <w:p>
            <w:pPr>
              <w:widowControl/>
              <w:jc w:val="left"/>
              <w:rPr>
                <w:rFonts w:hint="eastAsia" w:ascii="宋体" w:hAnsi="宋体" w:eastAsia="宋体" w:cs="宋体"/>
                <w:kern w:val="0"/>
              </w:rPr>
            </w:pPr>
          </w:p>
        </w:tc>
        <w:tc>
          <w:tcPr>
            <w:tcW w:w="91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退休奖励</w:t>
            </w:r>
          </w:p>
        </w:tc>
        <w:tc>
          <w:tcPr>
            <w:tcW w:w="11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700元/人</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700元/人</w:t>
            </w:r>
          </w:p>
        </w:tc>
        <w:tc>
          <w:tcPr>
            <w:tcW w:w="108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rPr>
            </w:pPr>
            <w:r>
              <w:rPr>
                <w:rFonts w:hint="eastAsia" w:ascii="宋体" w:hAnsi="宋体" w:eastAsia="宋体" w:cs="宋体"/>
                <w:kern w:val="0"/>
                <w:sz w:val="20"/>
                <w:szCs w:val="20"/>
                <w:lang w:val="en-US" w:eastAsia="zh-CN"/>
              </w:rPr>
              <w:t>700元/人</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鄂政办发〔2007〕116号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Merge w:val="continue"/>
            <w:vAlign w:val="center"/>
          </w:tcPr>
          <w:p>
            <w:pPr>
              <w:widowControl/>
              <w:jc w:val="left"/>
              <w:rPr>
                <w:rFonts w:hint="eastAsia" w:ascii="宋体" w:hAnsi="宋体" w:eastAsia="宋体" w:cs="宋体"/>
                <w:kern w:val="0"/>
              </w:rPr>
            </w:pPr>
          </w:p>
        </w:tc>
        <w:tc>
          <w:tcPr>
            <w:tcW w:w="91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奖励扶助</w:t>
            </w:r>
          </w:p>
        </w:tc>
        <w:tc>
          <w:tcPr>
            <w:tcW w:w="11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960元/人</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960元/人</w:t>
            </w:r>
          </w:p>
        </w:tc>
        <w:tc>
          <w:tcPr>
            <w:tcW w:w="108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rPr>
            </w:pPr>
            <w:r>
              <w:rPr>
                <w:rFonts w:hint="eastAsia" w:ascii="宋体" w:hAnsi="宋体" w:eastAsia="宋体" w:cs="宋体"/>
                <w:kern w:val="0"/>
                <w:sz w:val="20"/>
                <w:szCs w:val="20"/>
                <w:lang w:val="en-US" w:eastAsia="zh-CN"/>
              </w:rPr>
              <w:t>960元/人</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鄂财教发〔2012〕15号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Merge w:val="continue"/>
            <w:vAlign w:val="center"/>
          </w:tcPr>
          <w:p>
            <w:pPr>
              <w:widowControl/>
              <w:jc w:val="left"/>
              <w:rPr>
                <w:rFonts w:hint="eastAsia" w:ascii="宋体" w:hAnsi="宋体" w:eastAsia="宋体" w:cs="宋体"/>
                <w:kern w:val="0"/>
              </w:rPr>
            </w:pPr>
          </w:p>
        </w:tc>
        <w:tc>
          <w:tcPr>
            <w:tcW w:w="91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特别扶助</w:t>
            </w:r>
          </w:p>
        </w:tc>
        <w:tc>
          <w:tcPr>
            <w:tcW w:w="11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7320元/人</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7320元/人</w:t>
            </w:r>
          </w:p>
        </w:tc>
        <w:tc>
          <w:tcPr>
            <w:tcW w:w="108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rPr>
            </w:pPr>
            <w:r>
              <w:rPr>
                <w:rFonts w:hint="eastAsia" w:ascii="宋体" w:hAnsi="宋体" w:eastAsia="宋体" w:cs="宋体"/>
                <w:kern w:val="0"/>
                <w:sz w:val="20"/>
                <w:szCs w:val="20"/>
                <w:lang w:val="en-US" w:eastAsia="zh-CN"/>
              </w:rPr>
              <w:t>7320元/人</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鄂卫通〔2022〕51号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Merge w:val="continue"/>
            <w:vAlign w:val="center"/>
          </w:tcPr>
          <w:p>
            <w:pPr>
              <w:widowControl/>
              <w:jc w:val="left"/>
              <w:rPr>
                <w:rFonts w:hint="eastAsia" w:ascii="宋体" w:hAnsi="宋体" w:eastAsia="宋体" w:cs="宋体"/>
                <w:kern w:val="0"/>
              </w:rPr>
            </w:pPr>
          </w:p>
        </w:tc>
        <w:tc>
          <w:tcPr>
            <w:tcW w:w="91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一次性慰问金</w:t>
            </w:r>
          </w:p>
        </w:tc>
        <w:tc>
          <w:tcPr>
            <w:tcW w:w="11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10000元/户</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10000元/户</w:t>
            </w:r>
          </w:p>
        </w:tc>
        <w:tc>
          <w:tcPr>
            <w:tcW w:w="108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rPr>
            </w:pPr>
            <w:r>
              <w:rPr>
                <w:rFonts w:hint="eastAsia" w:ascii="宋体" w:hAnsi="宋体" w:eastAsia="宋体" w:cs="宋体"/>
                <w:kern w:val="0"/>
                <w:lang w:val="en-US" w:eastAsia="zh-CN"/>
              </w:rPr>
              <w:t>10000元/户</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随政办发〔2016〕52号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Merge w:val="continue"/>
            <w:vAlign w:val="center"/>
          </w:tcPr>
          <w:p>
            <w:pPr>
              <w:widowControl/>
              <w:jc w:val="left"/>
              <w:rPr>
                <w:rFonts w:hint="eastAsia" w:ascii="宋体" w:hAnsi="宋体" w:eastAsia="宋体" w:cs="宋体"/>
                <w:kern w:val="0"/>
              </w:rPr>
            </w:pPr>
          </w:p>
        </w:tc>
        <w:tc>
          <w:tcPr>
            <w:tcW w:w="91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特殊家庭慰问</w:t>
            </w:r>
          </w:p>
        </w:tc>
        <w:tc>
          <w:tcPr>
            <w:tcW w:w="11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1000元/户</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1000元/户</w:t>
            </w:r>
          </w:p>
        </w:tc>
        <w:tc>
          <w:tcPr>
            <w:tcW w:w="108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rPr>
            </w:pPr>
            <w:r>
              <w:rPr>
                <w:rFonts w:hint="eastAsia" w:ascii="宋体" w:hAnsi="宋体" w:eastAsia="宋体" w:cs="宋体"/>
                <w:kern w:val="0"/>
                <w:lang w:val="en-US" w:eastAsia="zh-CN"/>
              </w:rPr>
              <w:t>1000元/户</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鄂政办发[2015]81号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Merge w:val="continue"/>
            <w:vAlign w:val="center"/>
          </w:tcPr>
          <w:p>
            <w:pPr>
              <w:widowControl/>
              <w:jc w:val="left"/>
              <w:rPr>
                <w:rFonts w:hint="eastAsia" w:ascii="宋体" w:hAnsi="宋体" w:eastAsia="宋体" w:cs="宋体"/>
                <w:kern w:val="0"/>
              </w:rPr>
            </w:pPr>
          </w:p>
        </w:tc>
        <w:tc>
          <w:tcPr>
            <w:tcW w:w="91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关爱女孩助学金</w:t>
            </w:r>
          </w:p>
        </w:tc>
        <w:tc>
          <w:tcPr>
            <w:tcW w:w="11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2500元/人</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2500元/人</w:t>
            </w:r>
          </w:p>
        </w:tc>
        <w:tc>
          <w:tcPr>
            <w:tcW w:w="108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rPr>
            </w:pPr>
            <w:r>
              <w:rPr>
                <w:rFonts w:hint="eastAsia" w:ascii="宋体" w:hAnsi="宋体" w:eastAsia="宋体" w:cs="宋体"/>
                <w:kern w:val="0"/>
                <w:lang w:val="en-US" w:eastAsia="zh-CN"/>
              </w:rPr>
              <w:t>2500元/人</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随县政办发[2011]14号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restart"/>
            <w:vAlign w:val="center"/>
          </w:tcPr>
          <w:p>
            <w:pPr>
              <w:widowControl/>
              <w:jc w:val="center"/>
              <w:rPr>
                <w:rFonts w:hint="eastAsia" w:ascii="宋体" w:hAnsi="宋体" w:eastAsia="宋体" w:cs="宋体"/>
                <w:kern w:val="0"/>
              </w:rPr>
            </w:pPr>
            <w:r>
              <w:rPr>
                <w:rFonts w:hint="eastAsia" w:ascii="宋体" w:hAnsi="宋体" w:eastAsia="宋体" w:cs="宋体"/>
                <w:kern w:val="0"/>
              </w:rPr>
              <w:t>效益指标</w:t>
            </w: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经济效益</w:t>
            </w:r>
          </w:p>
          <w:p>
            <w:pPr>
              <w:widowControl/>
              <w:jc w:val="center"/>
              <w:rPr>
                <w:rFonts w:hint="eastAsia" w:ascii="宋体" w:hAnsi="宋体" w:eastAsia="宋体" w:cs="宋体"/>
                <w:kern w:val="0"/>
              </w:rPr>
            </w:pPr>
            <w:r>
              <w:rPr>
                <w:rFonts w:hint="eastAsia" w:ascii="宋体" w:hAnsi="宋体" w:eastAsia="宋体" w:cs="宋体"/>
                <w:kern w:val="0"/>
              </w:rPr>
              <w:t>指标</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补助金额</w:t>
            </w:r>
          </w:p>
        </w:tc>
        <w:tc>
          <w:tcPr>
            <w:tcW w:w="11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866万</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692万</w:t>
            </w:r>
          </w:p>
        </w:tc>
        <w:tc>
          <w:tcPr>
            <w:tcW w:w="108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lang w:val="en-US" w:eastAsia="zh-CN"/>
              </w:rPr>
              <w:t>1313万</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lang w:eastAsia="zh-CN"/>
              </w:rPr>
              <w:t>随县财函</w:t>
            </w:r>
            <w:r>
              <w:rPr>
                <w:rFonts w:hint="eastAsia" w:ascii="宋体" w:hAnsi="宋体" w:eastAsia="宋体" w:cs="宋体"/>
                <w:kern w:val="0"/>
                <w:lang w:val="en-US" w:eastAsia="zh-CN"/>
              </w:rPr>
              <w:t>[2022]1号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社会效益</w:t>
            </w:r>
          </w:p>
          <w:p>
            <w:pPr>
              <w:widowControl/>
              <w:jc w:val="center"/>
              <w:rPr>
                <w:rFonts w:hint="eastAsia" w:ascii="宋体" w:hAnsi="宋体" w:eastAsia="宋体" w:cs="宋体"/>
                <w:kern w:val="0"/>
              </w:rPr>
            </w:pPr>
            <w:r>
              <w:rPr>
                <w:rFonts w:hint="eastAsia" w:ascii="宋体" w:hAnsi="宋体" w:eastAsia="宋体" w:cs="宋体"/>
                <w:kern w:val="0"/>
              </w:rPr>
              <w:t>指标</w:t>
            </w:r>
          </w:p>
        </w:tc>
        <w:tc>
          <w:tcPr>
            <w:tcW w:w="915" w:type="dxa"/>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社会效益</w:t>
            </w:r>
          </w:p>
        </w:tc>
        <w:tc>
          <w:tcPr>
            <w:tcW w:w="11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rPr>
            </w:pPr>
            <w:r>
              <w:rPr>
                <w:rFonts w:hint="eastAsia" w:ascii="宋体" w:hAnsi="宋体" w:eastAsia="宋体" w:cs="宋体"/>
                <w:sz w:val="20"/>
                <w:szCs w:val="20"/>
                <w:lang w:eastAsia="zh-CN"/>
              </w:rPr>
              <w:t>促进人口和经济社会协调发展</w:t>
            </w:r>
            <w:r>
              <w:rPr>
                <w:rFonts w:hint="eastAsia" w:ascii="宋体" w:hAnsi="宋体" w:eastAsia="宋体" w:cs="宋体"/>
                <w:kern w:val="0"/>
                <w:sz w:val="20"/>
                <w:szCs w:val="20"/>
              </w:rPr>
              <w:t>　</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0"/>
                <w:szCs w:val="20"/>
              </w:rPr>
            </w:pPr>
            <w:r>
              <w:rPr>
                <w:rFonts w:hint="eastAsia" w:ascii="宋体" w:hAnsi="宋体" w:eastAsia="宋体" w:cs="宋体"/>
                <w:sz w:val="20"/>
                <w:szCs w:val="20"/>
                <w:lang w:eastAsia="zh-CN"/>
              </w:rPr>
              <w:t>促进人口和经济社会协调发展</w:t>
            </w:r>
            <w:r>
              <w:rPr>
                <w:rFonts w:hint="eastAsia" w:ascii="宋体" w:hAnsi="宋体" w:eastAsia="宋体" w:cs="宋体"/>
                <w:kern w:val="0"/>
                <w:sz w:val="20"/>
                <w:szCs w:val="20"/>
              </w:rPr>
              <w:t>　　</w:t>
            </w:r>
          </w:p>
        </w:tc>
        <w:tc>
          <w:tcPr>
            <w:tcW w:w="108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rPr>
            </w:pPr>
            <w:r>
              <w:rPr>
                <w:rFonts w:hint="eastAsia" w:ascii="宋体" w:hAnsi="宋体" w:eastAsia="宋体" w:cs="宋体"/>
                <w:sz w:val="20"/>
                <w:szCs w:val="20"/>
                <w:lang w:eastAsia="zh-CN"/>
              </w:rPr>
              <w:t>促进人口和经济社会协调发展</w:t>
            </w:r>
            <w:r>
              <w:rPr>
                <w:rFonts w:hint="eastAsia" w:ascii="宋体" w:hAnsi="宋体" w:eastAsia="宋体" w:cs="宋体"/>
                <w:kern w:val="0"/>
                <w:sz w:val="20"/>
                <w:szCs w:val="20"/>
              </w:rPr>
              <w:t>　</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湖北省人口与计划生育条例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生态效益</w:t>
            </w:r>
          </w:p>
          <w:p>
            <w:pPr>
              <w:widowControl/>
              <w:jc w:val="center"/>
              <w:rPr>
                <w:rFonts w:hint="eastAsia" w:ascii="宋体" w:hAnsi="宋体" w:eastAsia="宋体" w:cs="宋体"/>
                <w:kern w:val="0"/>
              </w:rPr>
            </w:pPr>
            <w:r>
              <w:rPr>
                <w:rFonts w:hint="eastAsia" w:ascii="宋体" w:hAnsi="宋体" w:eastAsia="宋体" w:cs="宋体"/>
                <w:kern w:val="0"/>
              </w:rPr>
              <w:t>指标</w:t>
            </w:r>
          </w:p>
        </w:tc>
        <w:tc>
          <w:tcPr>
            <w:tcW w:w="915" w:type="dxa"/>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153" w:type="dxa"/>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094" w:type="dxa"/>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081"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Merge w:val="continue"/>
            <w:vAlign w:val="center"/>
          </w:tcPr>
          <w:p>
            <w:pPr>
              <w:widowControl/>
              <w:jc w:val="left"/>
              <w:rPr>
                <w:rFonts w:hint="eastAsia" w:ascii="宋体" w:hAnsi="宋体" w:eastAsia="宋体" w:cs="宋体"/>
                <w:kern w:val="0"/>
              </w:rPr>
            </w:pP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可持续影响指标</w:t>
            </w:r>
          </w:p>
        </w:tc>
        <w:tc>
          <w:tcPr>
            <w:tcW w:w="915" w:type="dxa"/>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计划生育政策导向</w:t>
            </w:r>
          </w:p>
        </w:tc>
        <w:tc>
          <w:tcPr>
            <w:tcW w:w="1153"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lang w:val="en-US" w:eastAsia="zh-CN" w:bidi="ar-SA"/>
              </w:rPr>
            </w:pPr>
            <w:r>
              <w:rPr>
                <w:rFonts w:hint="eastAsia" w:asciiTheme="minorEastAsia" w:hAnsiTheme="minorEastAsia" w:eastAsiaTheme="minorEastAsia" w:cstheme="minorEastAsia"/>
                <w:sz w:val="20"/>
                <w:szCs w:val="20"/>
              </w:rPr>
              <w:t>完善</w:t>
            </w:r>
            <w:r>
              <w:rPr>
                <w:rFonts w:hint="eastAsia" w:asciiTheme="minorEastAsia" w:hAnsiTheme="minorEastAsia" w:eastAsiaTheme="minorEastAsia" w:cstheme="minorEastAsia"/>
                <w:sz w:val="20"/>
                <w:szCs w:val="20"/>
                <w:lang w:eastAsia="zh-CN"/>
              </w:rPr>
              <w:t>计</w:t>
            </w:r>
            <w:r>
              <w:rPr>
                <w:rFonts w:hint="eastAsia" w:asciiTheme="minorEastAsia" w:hAnsiTheme="minorEastAsia" w:eastAsiaTheme="minorEastAsia" w:cstheme="minorEastAsia"/>
                <w:sz w:val="20"/>
                <w:szCs w:val="20"/>
              </w:rPr>
              <w:t>划生育利益导向政策</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lang w:val="en-US" w:eastAsia="zh-CN" w:bidi="ar-SA"/>
              </w:rPr>
            </w:pPr>
            <w:r>
              <w:rPr>
                <w:rFonts w:hint="eastAsia" w:asciiTheme="minorEastAsia" w:hAnsiTheme="minorEastAsia" w:eastAsiaTheme="minorEastAsia" w:cstheme="minorEastAsia"/>
                <w:sz w:val="20"/>
                <w:szCs w:val="20"/>
              </w:rPr>
              <w:t>完善</w:t>
            </w:r>
            <w:r>
              <w:rPr>
                <w:rFonts w:hint="eastAsia" w:asciiTheme="minorEastAsia" w:hAnsiTheme="minorEastAsia" w:eastAsiaTheme="minorEastAsia" w:cstheme="minorEastAsia"/>
                <w:sz w:val="20"/>
                <w:szCs w:val="20"/>
                <w:lang w:eastAsia="zh-CN"/>
              </w:rPr>
              <w:t>计</w:t>
            </w:r>
            <w:r>
              <w:rPr>
                <w:rFonts w:hint="eastAsia" w:asciiTheme="minorEastAsia" w:hAnsiTheme="minorEastAsia" w:eastAsiaTheme="minorEastAsia" w:cstheme="minorEastAsia"/>
                <w:sz w:val="20"/>
                <w:szCs w:val="20"/>
              </w:rPr>
              <w:t>划生育利益导向政</w:t>
            </w:r>
            <w:r>
              <w:rPr>
                <w:rFonts w:hint="eastAsia" w:ascii="宋体" w:hAnsi="宋体" w:eastAsia="宋体" w:cs="宋体"/>
                <w:kern w:val="0"/>
                <w:sz w:val="20"/>
                <w:szCs w:val="20"/>
              </w:rPr>
              <w:t>　</w:t>
            </w:r>
          </w:p>
        </w:tc>
        <w:tc>
          <w:tcPr>
            <w:tcW w:w="1081"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sz w:val="20"/>
                <w:szCs w:val="20"/>
              </w:rPr>
              <w:t>完善</w:t>
            </w:r>
            <w:r>
              <w:rPr>
                <w:rFonts w:hint="eastAsia" w:asciiTheme="minorEastAsia" w:hAnsiTheme="minorEastAsia" w:eastAsiaTheme="minorEastAsia" w:cstheme="minorEastAsia"/>
                <w:sz w:val="20"/>
                <w:szCs w:val="20"/>
                <w:lang w:eastAsia="zh-CN"/>
              </w:rPr>
              <w:t>计</w:t>
            </w:r>
            <w:r>
              <w:rPr>
                <w:rFonts w:hint="eastAsia" w:asciiTheme="minorEastAsia" w:hAnsiTheme="minorEastAsia" w:eastAsiaTheme="minorEastAsia" w:cstheme="minorEastAsia"/>
                <w:sz w:val="20"/>
                <w:szCs w:val="20"/>
              </w:rPr>
              <w:t>划生育利益导向政</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湖北省人口与计划生育条例湖北省人口与计划生育条例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vMerge w:val="continue"/>
            <w:vAlign w:val="center"/>
          </w:tcPr>
          <w:p>
            <w:pPr>
              <w:widowControl/>
              <w:jc w:val="left"/>
              <w:rPr>
                <w:rFonts w:hint="eastAsia" w:ascii="宋体" w:hAnsi="宋体" w:eastAsia="宋体" w:cs="宋体"/>
                <w:kern w:val="0"/>
              </w:rPr>
            </w:pPr>
          </w:p>
        </w:tc>
        <w:tc>
          <w:tcPr>
            <w:tcW w:w="1093" w:type="dxa"/>
            <w:vAlign w:val="center"/>
          </w:tcPr>
          <w:p>
            <w:pPr>
              <w:widowControl/>
              <w:jc w:val="center"/>
              <w:rPr>
                <w:rFonts w:hint="eastAsia" w:ascii="宋体" w:hAnsi="宋体" w:eastAsia="宋体" w:cs="宋体"/>
                <w:kern w:val="0"/>
              </w:rPr>
            </w:pPr>
            <w:r>
              <w:rPr>
                <w:rFonts w:hint="eastAsia" w:ascii="宋体" w:hAnsi="宋体" w:eastAsia="宋体" w:cs="宋体"/>
                <w:kern w:val="0"/>
              </w:rPr>
              <w:t>满意度</w:t>
            </w:r>
          </w:p>
          <w:p>
            <w:pPr>
              <w:widowControl/>
              <w:ind w:firstLine="210" w:firstLineChars="100"/>
              <w:jc w:val="left"/>
              <w:rPr>
                <w:rFonts w:hint="eastAsia" w:ascii="宋体" w:hAnsi="宋体" w:eastAsia="宋体" w:cs="宋体"/>
                <w:kern w:val="0"/>
              </w:rPr>
            </w:pPr>
            <w:r>
              <w:rPr>
                <w:rFonts w:hint="eastAsia" w:ascii="宋体" w:hAnsi="宋体" w:eastAsia="宋体" w:cs="宋体"/>
                <w:kern w:val="0"/>
              </w:rPr>
              <w:t>指标</w:t>
            </w:r>
          </w:p>
        </w:tc>
        <w:tc>
          <w:tcPr>
            <w:tcW w:w="1021" w:type="dxa"/>
            <w:vAlign w:val="center"/>
          </w:tcPr>
          <w:p>
            <w:pPr>
              <w:widowControl/>
              <w:jc w:val="center"/>
              <w:rPr>
                <w:rFonts w:hint="eastAsia" w:ascii="宋体" w:hAnsi="宋体" w:eastAsia="宋体" w:cs="宋体"/>
                <w:kern w:val="0"/>
              </w:rPr>
            </w:pPr>
            <w:r>
              <w:rPr>
                <w:rFonts w:hint="eastAsia" w:ascii="宋体" w:hAnsi="宋体" w:eastAsia="宋体" w:cs="宋体"/>
                <w:kern w:val="0"/>
              </w:rPr>
              <w:t>服务对象满意度指标</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群众对计划生育工作满意度</w:t>
            </w:r>
          </w:p>
        </w:tc>
        <w:tc>
          <w:tcPr>
            <w:tcW w:w="1153" w:type="dxa"/>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90%</w:t>
            </w:r>
            <w:r>
              <w:rPr>
                <w:rFonts w:hint="eastAsia" w:ascii="宋体" w:hAnsi="宋体" w:eastAsia="宋体" w:cs="宋体"/>
                <w:kern w:val="0"/>
                <w:sz w:val="20"/>
                <w:szCs w:val="20"/>
              </w:rPr>
              <w:t>　</w:t>
            </w:r>
          </w:p>
        </w:tc>
        <w:tc>
          <w:tcPr>
            <w:tcW w:w="1094" w:type="dxa"/>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90%</w:t>
            </w:r>
            <w:r>
              <w:rPr>
                <w:rFonts w:hint="eastAsia" w:ascii="宋体" w:hAnsi="宋体" w:eastAsia="宋体" w:cs="宋体"/>
                <w:kern w:val="0"/>
                <w:sz w:val="20"/>
                <w:szCs w:val="20"/>
              </w:rPr>
              <w:t>　</w:t>
            </w:r>
          </w:p>
        </w:tc>
        <w:tc>
          <w:tcPr>
            <w:tcW w:w="1081" w:type="dxa"/>
            <w:vAlign w:val="center"/>
          </w:tcPr>
          <w:p>
            <w:pPr>
              <w:widowControl/>
              <w:jc w:val="left"/>
              <w:rPr>
                <w:rFonts w:hint="eastAsia" w:ascii="宋体" w:hAnsi="宋体" w:eastAsia="宋体" w:cs="宋体"/>
                <w:kern w:val="0"/>
              </w:rPr>
            </w:pPr>
            <w:r>
              <w:rPr>
                <w:rFonts w:hint="eastAsia" w:ascii="宋体" w:hAnsi="宋体" w:eastAsia="宋体" w:cs="宋体"/>
                <w:kern w:val="0"/>
              </w:rPr>
              <w:t>　≥</w:t>
            </w:r>
            <w:r>
              <w:rPr>
                <w:rFonts w:hint="eastAsia" w:ascii="宋体" w:hAnsi="宋体" w:eastAsia="宋体" w:cs="宋体"/>
                <w:kern w:val="0"/>
                <w:lang w:val="en-US" w:eastAsia="zh-CN"/>
              </w:rPr>
              <w:t>90%</w:t>
            </w:r>
            <w:r>
              <w:rPr>
                <w:rFonts w:hint="eastAsia" w:ascii="宋体" w:hAnsi="宋体" w:eastAsia="宋体" w:cs="宋体"/>
                <w:kern w:val="0"/>
              </w:rPr>
              <w:t>　</w:t>
            </w:r>
          </w:p>
        </w:tc>
        <w:tc>
          <w:tcPr>
            <w:tcW w:w="957" w:type="dxa"/>
            <w:vAlign w:val="center"/>
          </w:tcPr>
          <w:p>
            <w:pPr>
              <w:widowControl/>
              <w:jc w:val="left"/>
              <w:rPr>
                <w:rFonts w:hint="eastAsia" w:ascii="宋体" w:hAnsi="宋体" w:eastAsia="宋体" w:cs="宋体"/>
                <w:kern w:val="0"/>
              </w:rPr>
            </w:pPr>
            <w:r>
              <w:rPr>
                <w:rFonts w:hint="eastAsia" w:ascii="宋体" w:hAnsi="宋体" w:eastAsia="宋体" w:cs="宋体"/>
                <w:kern w:val="0"/>
              </w:rPr>
              <w:t>湖北省人口与计划生育条例　</w:t>
            </w:r>
          </w:p>
        </w:tc>
      </w:tr>
    </w:tbl>
    <w:p>
      <w:pPr>
        <w:keepNext w:val="0"/>
        <w:keepLines w:val="0"/>
        <w:pageBreakBefore w:val="0"/>
        <w:widowControl/>
        <w:kinsoku/>
        <w:wordWrap/>
        <w:overflowPunct/>
        <w:topLinePunct w:val="0"/>
        <w:autoSpaceDE/>
        <w:autoSpaceDN/>
        <w:bidi w:val="0"/>
        <w:adjustRightInd/>
        <w:snapToGrid/>
        <w:spacing w:line="240" w:lineRule="exact"/>
        <w:textAlignment w:val="auto"/>
        <w:rPr>
          <w:rFonts w:ascii="黑体" w:hAnsi="宋体" w:eastAsia="黑体" w:cs="Times New Roman"/>
          <w:sz w:val="28"/>
          <w:szCs w:val="28"/>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lang w:eastAsia="zh-CN"/>
        </w:rPr>
      </w:pPr>
    </w:p>
    <w:p>
      <w:pPr>
        <w:widowControl/>
        <w:jc w:val="center"/>
        <w:rPr>
          <w:rFonts w:ascii="黑体" w:hAnsi="宋体" w:eastAsia="黑体" w:cs="Times New Roman"/>
          <w:sz w:val="28"/>
          <w:szCs w:val="28"/>
        </w:rPr>
      </w:pPr>
      <w:r>
        <w:rPr>
          <w:rFonts w:hint="eastAsia" w:ascii="方正小标宋简体" w:hAnsi="Times New Roman" w:eastAsia="方正小标宋简体" w:cs="方正小标宋简体"/>
          <w:sz w:val="36"/>
          <w:szCs w:val="36"/>
        </w:rPr>
        <w:t>项目</w:t>
      </w:r>
      <w:r>
        <w:rPr>
          <w:rFonts w:hint="eastAsia" w:ascii="方正小标宋简体" w:hAnsi="Times New Roman" w:eastAsia="方正小标宋简体" w:cs="方正小标宋简体"/>
          <w:sz w:val="36"/>
          <w:szCs w:val="36"/>
          <w:lang w:val="en-US" w:eastAsia="zh-CN"/>
        </w:rPr>
        <w:t>(绩效目标)</w:t>
      </w:r>
      <w:r>
        <w:rPr>
          <w:rFonts w:hint="eastAsia" w:ascii="方正小标宋简体" w:hAnsi="Times New Roman" w:eastAsia="方正小标宋简体" w:cs="方正小标宋简体"/>
          <w:sz w:val="36"/>
          <w:szCs w:val="36"/>
        </w:rPr>
        <w:t>申报表</w:t>
      </w:r>
    </w:p>
    <w:tbl>
      <w:tblPr>
        <w:tblStyle w:val="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930"/>
        <w:gridCol w:w="1110"/>
        <w:gridCol w:w="2580"/>
        <w:gridCol w:w="765"/>
        <w:gridCol w:w="780"/>
        <w:gridCol w:w="810"/>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48" w:type="dxa"/>
            <w:gridSpan w:val="8"/>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项目绩效总目标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2"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lang w:eastAsia="zh-CN"/>
              </w:rPr>
              <w:t>项目</w:t>
            </w:r>
            <w:r>
              <w:rPr>
                <w:rFonts w:hint="eastAsia" w:ascii="仿宋_GB2312" w:hAnsi="宋体" w:eastAsia="仿宋_GB2312" w:cs="仿宋_GB2312"/>
                <w:kern w:val="0"/>
              </w:rPr>
              <w:t>名称</w:t>
            </w:r>
          </w:p>
        </w:tc>
        <w:tc>
          <w:tcPr>
            <w:tcW w:w="6866" w:type="dxa"/>
            <w:gridSpan w:val="6"/>
            <w:vAlign w:val="center"/>
          </w:tcPr>
          <w:p>
            <w:pPr>
              <w:widowControl/>
              <w:jc w:val="center"/>
              <w:rPr>
                <w:rFonts w:hint="eastAsia" w:ascii="仿宋_GB2312" w:hAnsi="宋体" w:eastAsia="仿宋_GB2312" w:cs="Times New Roman"/>
                <w:kern w:val="0"/>
                <w:lang w:eastAsia="zh-CN"/>
              </w:rPr>
            </w:pPr>
            <w:r>
              <w:rPr>
                <w:rFonts w:hint="eastAsia" w:ascii="仿宋_GB2312" w:hAnsi="宋体" w:eastAsia="仿宋_GB2312" w:cs="仿宋_GB2312"/>
                <w:kern w:val="0"/>
                <w:lang w:eastAsia="zh-CN"/>
              </w:rPr>
              <w:t>基本公共卫生服务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2" w:type="dxa"/>
            <w:gridSpan w:val="2"/>
            <w:vAlign w:val="center"/>
          </w:tcPr>
          <w:p>
            <w:pPr>
              <w:widowControl/>
              <w:jc w:val="center"/>
              <w:rPr>
                <w:rFonts w:hint="eastAsia" w:ascii="仿宋_GB2312" w:hAnsi="宋体" w:eastAsia="仿宋_GB2312" w:cs="仿宋_GB2312"/>
                <w:kern w:val="0"/>
                <w:lang w:eastAsia="zh-CN"/>
              </w:rPr>
            </w:pPr>
            <w:r>
              <w:rPr>
                <w:rFonts w:hint="eastAsia" w:ascii="仿宋_GB2312" w:hAnsi="宋体" w:eastAsia="仿宋_GB2312" w:cs="仿宋_GB2312"/>
                <w:kern w:val="0"/>
                <w:lang w:eastAsia="zh-CN"/>
              </w:rPr>
              <w:t>项目金额</w:t>
            </w:r>
          </w:p>
        </w:tc>
        <w:tc>
          <w:tcPr>
            <w:tcW w:w="6866" w:type="dxa"/>
            <w:gridSpan w:val="6"/>
            <w:vAlign w:val="center"/>
          </w:tcPr>
          <w:p>
            <w:pPr>
              <w:widowControl/>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lang w:val="en-US" w:eastAsia="zh-CN"/>
              </w:rPr>
              <w:t>1113万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2" w:type="dxa"/>
            <w:gridSpan w:val="2"/>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长期绩效目标</w:t>
            </w:r>
            <w:r>
              <w:rPr>
                <w:rFonts w:ascii="仿宋_GB2312" w:hAnsi="宋体" w:eastAsia="仿宋_GB2312" w:cs="仿宋_GB2312"/>
                <w:kern w:val="0"/>
              </w:rPr>
              <w:t>1</w:t>
            </w:r>
          </w:p>
        </w:tc>
        <w:tc>
          <w:tcPr>
            <w:tcW w:w="6866" w:type="dxa"/>
            <w:gridSpan w:val="6"/>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r>
              <w:rPr>
                <w:rFonts w:hint="eastAsia" w:ascii="仿宋_GB2312" w:hAnsi="宋体" w:eastAsia="仿宋_GB2312" w:cs="仿宋_GB2312"/>
                <w:kern w:val="0"/>
                <w:lang w:eastAsia="zh-CN"/>
              </w:rPr>
              <w:t>免费向城乡居民提供基本公共卫生服务，控制基疾病流行，推进妇幼卫生、健康素养促进、医养结合和老年健康服务、卫生应急、计划生育等方面工作。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2082" w:type="dxa"/>
            <w:gridSpan w:val="2"/>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tc>
        <w:tc>
          <w:tcPr>
            <w:tcW w:w="6866" w:type="dxa"/>
            <w:gridSpan w:val="6"/>
            <w:vAlign w:val="center"/>
          </w:tcPr>
          <w:p>
            <w:pPr>
              <w:spacing w:line="360" w:lineRule="exact"/>
              <w:rPr>
                <w:rFonts w:ascii="仿宋_GB2312" w:hAnsi="宋体" w:eastAsia="仿宋_GB2312" w:cs="Times New Roman"/>
                <w:kern w:val="0"/>
              </w:rPr>
            </w:pPr>
            <w:r>
              <w:rPr>
                <w:rFonts w:hint="eastAsia" w:ascii="仿宋_GB2312" w:hAnsi="宋体" w:eastAsia="仿宋_GB2312" w:cs="仿宋_GB2312"/>
                <w:kern w:val="0"/>
              </w:rPr>
              <w:t>　</w:t>
            </w:r>
            <w:r>
              <w:rPr>
                <w:rFonts w:hint="eastAsia" w:ascii="仿宋_GB2312" w:hAnsi="宋体" w:eastAsia="仿宋_GB2312" w:cs="仿宋_GB2312"/>
                <w:kern w:val="0"/>
                <w:lang w:eastAsia="zh-CN"/>
              </w:rPr>
              <w:t>免费向城乡居民提供基本公共卫生服务；开展对重点疾病及危害因素监测，有效控制基疾病流行，为制定相关政策提供科学依据。助力国家脱贫攻坚，保持重点地方病防治措施全面落实。开展职业病监测，同时推进妇幼卫生、健康素养促进、医养结合和老年健康服务、卫生应急、计划生育等方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48" w:type="dxa"/>
            <w:gridSpan w:val="8"/>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长期绩效目标表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2"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目标名称</w:t>
            </w:r>
          </w:p>
        </w:tc>
        <w:tc>
          <w:tcPr>
            <w:tcW w:w="93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3345"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78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w:t>
            </w:r>
          </w:p>
        </w:tc>
        <w:tc>
          <w:tcPr>
            <w:tcW w:w="1631"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52" w:type="dxa"/>
            <w:vMerge w:val="restart"/>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长期绩效目标</w:t>
            </w:r>
            <w:r>
              <w:rPr>
                <w:rFonts w:ascii="仿宋_GB2312" w:hAnsi="宋体" w:eastAsia="仿宋_GB2312" w:cs="仿宋_GB2312"/>
                <w:kern w:val="0"/>
              </w:rPr>
              <w:t>1</w:t>
            </w:r>
          </w:p>
        </w:tc>
        <w:tc>
          <w:tcPr>
            <w:tcW w:w="930"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产出指标</w:t>
            </w: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数量指标</w:t>
            </w:r>
          </w:p>
        </w:tc>
        <w:tc>
          <w:tcPr>
            <w:tcW w:w="3345" w:type="dxa"/>
            <w:gridSpan w:val="2"/>
            <w:vAlign w:val="top"/>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高血压患者管理人数</w:t>
            </w:r>
          </w:p>
        </w:tc>
        <w:tc>
          <w:tcPr>
            <w:tcW w:w="780" w:type="dxa"/>
            <w:vAlign w:val="center"/>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val="en-US" w:eastAsia="zh-CN"/>
              </w:rPr>
              <w:t>64100</w:t>
            </w:r>
          </w:p>
        </w:tc>
        <w:tc>
          <w:tcPr>
            <w:tcW w:w="1631"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国家基本公共卫生服务规范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质量指标</w:t>
            </w:r>
          </w:p>
        </w:tc>
        <w:tc>
          <w:tcPr>
            <w:tcW w:w="3345" w:type="dxa"/>
            <w:gridSpan w:val="2"/>
            <w:vAlign w:val="top"/>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高血压患者规范管理率</w:t>
            </w:r>
          </w:p>
        </w:tc>
        <w:tc>
          <w:tcPr>
            <w:tcW w:w="780" w:type="dxa"/>
            <w:vAlign w:val="top"/>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60</w:t>
            </w:r>
            <w:r>
              <w:rPr>
                <w:rFonts w:hint="eastAsia" w:ascii="仿宋_GB2312" w:hAnsi="宋体" w:eastAsia="仿宋_GB2312" w:cs="仿宋_GB2312"/>
                <w:kern w:val="0"/>
                <w:lang w:eastAsia="zh-CN"/>
              </w:rPr>
              <w:t>%</w:t>
            </w:r>
          </w:p>
        </w:tc>
        <w:tc>
          <w:tcPr>
            <w:tcW w:w="1631"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国家基本公共卫生服务规范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时效指标</w:t>
            </w:r>
          </w:p>
        </w:tc>
        <w:tc>
          <w:tcPr>
            <w:tcW w:w="3345"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c>
          <w:tcPr>
            <w:tcW w:w="7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631"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成本指标</w:t>
            </w:r>
          </w:p>
        </w:tc>
        <w:tc>
          <w:tcPr>
            <w:tcW w:w="3345"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7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631"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经济效益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3345"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c>
          <w:tcPr>
            <w:tcW w:w="78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c>
          <w:tcPr>
            <w:tcW w:w="1631"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社会效益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3345" w:type="dxa"/>
            <w:gridSpan w:val="2"/>
            <w:vAlign w:val="center"/>
          </w:tcPr>
          <w:p>
            <w:pPr>
              <w:widowControl/>
              <w:jc w:val="left"/>
              <w:rPr>
                <w:rFonts w:ascii="仿宋_GB2312" w:hAnsi="宋体" w:eastAsia="仿宋_GB2312" w:cs="Times New Roman"/>
                <w:kern w:val="0"/>
                <w:sz w:val="21"/>
                <w:szCs w:val="21"/>
                <w:lang w:val="en-US" w:eastAsia="zh-CN" w:bidi="ar-SA"/>
              </w:rPr>
            </w:pPr>
            <w:r>
              <w:rPr>
                <w:rFonts w:hint="eastAsia" w:ascii="仿宋_GB2312" w:hAnsi="宋体" w:eastAsia="仿宋_GB2312" w:cs="仿宋_GB2312"/>
                <w:kern w:val="0"/>
                <w:lang w:eastAsia="zh-CN"/>
              </w:rPr>
              <w:t>服务对象综合知晓率</w:t>
            </w:r>
          </w:p>
        </w:tc>
        <w:tc>
          <w:tcPr>
            <w:tcW w:w="780" w:type="dxa"/>
            <w:vAlign w:val="top"/>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50%</w:t>
            </w:r>
          </w:p>
        </w:tc>
        <w:tc>
          <w:tcPr>
            <w:tcW w:w="1631"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国家基本公共卫生服务规范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生态效益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3345"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c>
          <w:tcPr>
            <w:tcW w:w="7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631"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可持续影响指标</w:t>
            </w:r>
          </w:p>
        </w:tc>
        <w:tc>
          <w:tcPr>
            <w:tcW w:w="3345" w:type="dxa"/>
            <w:gridSpan w:val="2"/>
            <w:vAlign w:val="top"/>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基本公共卫生服务水平</w:t>
            </w:r>
          </w:p>
        </w:tc>
        <w:tc>
          <w:tcPr>
            <w:tcW w:w="780" w:type="dxa"/>
            <w:vAlign w:val="top"/>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不断</w:t>
            </w:r>
            <w:r>
              <w:rPr>
                <w:rFonts w:hint="eastAsia" w:ascii="仿宋_GB2312" w:hAnsi="宋体" w:eastAsia="仿宋_GB2312" w:cs="仿宋_GB2312"/>
                <w:kern w:val="0"/>
              </w:rPr>
              <w:t>提高</w:t>
            </w:r>
          </w:p>
        </w:tc>
        <w:tc>
          <w:tcPr>
            <w:tcW w:w="1631"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国家基本公共卫生服务规范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满意度</w:t>
            </w:r>
          </w:p>
          <w:p>
            <w:pPr>
              <w:widowControl/>
              <w:ind w:firstLine="210" w:firstLineChars="100"/>
              <w:jc w:val="left"/>
              <w:rPr>
                <w:rFonts w:ascii="仿宋_GB2312" w:hAnsi="宋体" w:eastAsia="仿宋_GB2312" w:cs="Times New Roman"/>
                <w:kern w:val="0"/>
              </w:rPr>
            </w:pPr>
            <w:r>
              <w:rPr>
                <w:rFonts w:hint="eastAsia" w:ascii="仿宋_GB2312" w:hAnsi="宋体" w:eastAsia="仿宋_GB2312" w:cs="仿宋_GB2312"/>
                <w:kern w:val="0"/>
              </w:rPr>
              <w:t>指标</w:t>
            </w: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服务对象满意度</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3345" w:type="dxa"/>
            <w:gridSpan w:val="2"/>
            <w:vAlign w:val="center"/>
          </w:tcPr>
          <w:p>
            <w:pPr>
              <w:widowControl/>
              <w:jc w:val="center"/>
              <w:rPr>
                <w:rFonts w:ascii="仿宋_GB2312" w:hAnsi="宋体" w:eastAsia="仿宋_GB2312" w:cs="Times New Roman"/>
                <w:kern w:val="0"/>
                <w:sz w:val="21"/>
                <w:szCs w:val="21"/>
                <w:lang w:val="en-US" w:eastAsia="zh-CN" w:bidi="ar-SA"/>
              </w:rPr>
            </w:pPr>
            <w:r>
              <w:rPr>
                <w:rFonts w:hint="eastAsia" w:ascii="仿宋_GB2312" w:hAnsi="宋体" w:eastAsia="仿宋_GB2312" w:cs="仿宋_GB2312"/>
                <w:kern w:val="0"/>
              </w:rPr>
              <w:t>　服务对象满意度</w:t>
            </w:r>
          </w:p>
        </w:tc>
        <w:tc>
          <w:tcPr>
            <w:tcW w:w="780" w:type="dxa"/>
            <w:vAlign w:val="center"/>
          </w:tcPr>
          <w:p>
            <w:pPr>
              <w:widowControl/>
              <w:jc w:val="left"/>
              <w:rPr>
                <w:rFonts w:ascii="仿宋_GB2312" w:hAnsi="宋体" w:eastAsia="仿宋_GB2312" w:cs="Times New Roman"/>
                <w:kern w:val="0"/>
                <w:sz w:val="21"/>
                <w:szCs w:val="21"/>
                <w:lang w:val="en-US" w:eastAsia="zh-CN" w:bidi="ar-SA"/>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80</w:t>
            </w:r>
            <w:r>
              <w:rPr>
                <w:rFonts w:hint="eastAsia" w:ascii="仿宋_GB2312" w:hAnsi="宋体" w:eastAsia="仿宋_GB2312" w:cs="仿宋_GB2312"/>
                <w:kern w:val="0"/>
              </w:rPr>
              <w:t>%</w:t>
            </w:r>
          </w:p>
        </w:tc>
        <w:tc>
          <w:tcPr>
            <w:tcW w:w="1631"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国家基本公共卫生服务规范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48" w:type="dxa"/>
            <w:gridSpan w:val="8"/>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年度绩效目标表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2"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目标名称</w:t>
            </w:r>
          </w:p>
        </w:tc>
        <w:tc>
          <w:tcPr>
            <w:tcW w:w="930"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10"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2580"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三级</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2355"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w:t>
            </w:r>
          </w:p>
        </w:tc>
        <w:tc>
          <w:tcPr>
            <w:tcW w:w="821"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指标值确定</w:t>
            </w:r>
          </w:p>
          <w:p>
            <w:pPr>
              <w:widowControl/>
              <w:jc w:val="center"/>
              <w:rPr>
                <w:rFonts w:ascii="仿宋_GB2312" w:hAnsi="宋体" w:eastAsia="仿宋_GB2312" w:cs="Times New Roman"/>
                <w:kern w:val="0"/>
              </w:rPr>
            </w:pPr>
            <w:r>
              <w:rPr>
                <w:rFonts w:hint="eastAsia" w:ascii="仿宋_GB2312" w:hAnsi="宋体" w:eastAsia="仿宋_GB2312" w:cs="仿宋_GB2312"/>
                <w:kern w:val="0"/>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Merge w:val="continue"/>
            <w:vAlign w:val="center"/>
          </w:tcPr>
          <w:p>
            <w:pPr>
              <w:widowControl/>
              <w:jc w:val="left"/>
              <w:rPr>
                <w:rFonts w:ascii="仿宋_GB2312" w:hAnsi="宋体" w:eastAsia="仿宋_GB2312" w:cs="Times New Roman"/>
                <w:kern w:val="0"/>
              </w:rPr>
            </w:pPr>
          </w:p>
        </w:tc>
        <w:tc>
          <w:tcPr>
            <w:tcW w:w="2580" w:type="dxa"/>
            <w:vMerge w:val="continue"/>
            <w:vAlign w:val="center"/>
          </w:tcPr>
          <w:p>
            <w:pPr>
              <w:widowControl/>
              <w:jc w:val="left"/>
              <w:rPr>
                <w:rFonts w:ascii="仿宋_GB2312" w:hAnsi="宋体" w:eastAsia="仿宋_GB2312" w:cs="Times New Roman"/>
                <w:kern w:val="0"/>
              </w:rPr>
            </w:pPr>
          </w:p>
        </w:tc>
        <w:tc>
          <w:tcPr>
            <w:tcW w:w="765"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前年</w:t>
            </w:r>
          </w:p>
        </w:tc>
        <w:tc>
          <w:tcPr>
            <w:tcW w:w="78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上年</w:t>
            </w:r>
          </w:p>
        </w:tc>
        <w:tc>
          <w:tcPr>
            <w:tcW w:w="8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预计当年</w:t>
            </w:r>
          </w:p>
          <w:p>
            <w:pPr>
              <w:widowControl/>
              <w:jc w:val="center"/>
              <w:rPr>
                <w:rFonts w:ascii="仿宋_GB2312" w:hAnsi="宋体" w:eastAsia="仿宋_GB2312" w:cs="Times New Roman"/>
                <w:kern w:val="0"/>
              </w:rPr>
            </w:pPr>
            <w:r>
              <w:rPr>
                <w:rFonts w:hint="eastAsia" w:ascii="仿宋_GB2312" w:hAnsi="宋体" w:eastAsia="仿宋_GB2312" w:cs="仿宋_GB2312"/>
                <w:kern w:val="0"/>
              </w:rPr>
              <w:t>实现</w:t>
            </w:r>
          </w:p>
        </w:tc>
        <w:tc>
          <w:tcPr>
            <w:tcW w:w="821" w:type="dxa"/>
            <w:vMerge w:val="continue"/>
            <w:vAlign w:val="center"/>
          </w:tcPr>
          <w:p>
            <w:pPr>
              <w:widowControl/>
              <w:jc w:val="left"/>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2" w:type="dxa"/>
            <w:vMerge w:val="restart"/>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年度绩效标</w:t>
            </w:r>
            <w:r>
              <w:rPr>
                <w:rFonts w:ascii="仿宋_GB2312" w:hAnsi="宋体" w:eastAsia="仿宋_GB2312" w:cs="仿宋_GB2312"/>
                <w:kern w:val="0"/>
              </w:rPr>
              <w:t>1</w:t>
            </w:r>
          </w:p>
        </w:tc>
        <w:tc>
          <w:tcPr>
            <w:tcW w:w="930"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产出指标</w:t>
            </w:r>
          </w:p>
        </w:tc>
        <w:tc>
          <w:tcPr>
            <w:tcW w:w="1110"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数量指标</w:t>
            </w: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居民电子健康档案建档</w:t>
            </w:r>
            <w:r>
              <w:rPr>
                <w:rFonts w:hint="eastAsia" w:ascii="仿宋_GB2312" w:hAnsi="宋体" w:eastAsia="仿宋_GB2312" w:cs="仿宋_GB2312"/>
                <w:kern w:val="0"/>
              </w:rPr>
              <w:t>率</w:t>
            </w:r>
          </w:p>
        </w:tc>
        <w:tc>
          <w:tcPr>
            <w:tcW w:w="765"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80</w:t>
            </w:r>
            <w:r>
              <w:rPr>
                <w:rFonts w:hint="eastAsia" w:ascii="仿宋_GB2312" w:hAnsi="宋体" w:eastAsia="仿宋_GB2312" w:cs="仿宋_GB2312"/>
                <w:kern w:val="0"/>
              </w:rPr>
              <w:t>%</w:t>
            </w:r>
          </w:p>
        </w:tc>
        <w:tc>
          <w:tcPr>
            <w:tcW w:w="78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90</w:t>
            </w:r>
            <w:r>
              <w:rPr>
                <w:rFonts w:hint="eastAsia" w:ascii="仿宋_GB2312" w:hAnsi="宋体" w:eastAsia="仿宋_GB2312" w:cs="仿宋_GB2312"/>
                <w:kern w:val="0"/>
              </w:rPr>
              <w:t>%</w:t>
            </w:r>
          </w:p>
        </w:tc>
        <w:tc>
          <w:tcPr>
            <w:tcW w:w="81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90</w:t>
            </w:r>
            <w:r>
              <w:rPr>
                <w:rFonts w:hint="eastAsia" w:ascii="仿宋_GB2312" w:hAnsi="宋体" w:eastAsia="仿宋_GB2312" w:cs="仿宋_GB2312"/>
                <w:kern w:val="0"/>
              </w:rPr>
              <w:t>%</w:t>
            </w:r>
          </w:p>
        </w:tc>
        <w:tc>
          <w:tcPr>
            <w:tcW w:w="821" w:type="dxa"/>
            <w:vAlign w:val="center"/>
          </w:tcPr>
          <w:p>
            <w:pPr>
              <w:spacing w:line="360" w:lineRule="exact"/>
              <w:rPr>
                <w:rFonts w:hint="eastAsia" w:ascii="等线" w:hAnsi="等线" w:eastAsia="等线" w:cs="等线"/>
                <w:kern w:val="2"/>
                <w:sz w:val="24"/>
                <w:szCs w:val="21"/>
                <w:lang w:val="en-US" w:eastAsia="zh-CN" w:bidi="ar-SA"/>
              </w:rPr>
            </w:pPr>
            <w:r>
              <w:rPr>
                <w:rFonts w:hint="eastAsia" w:ascii="仿宋_GB2312" w:hAnsi="宋体" w:eastAsia="仿宋_GB2312" w:cs="仿宋_GB2312"/>
                <w:kern w:val="0"/>
              </w:rPr>
              <w:t>国家基本公卫服务规范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Merge w:val="continue"/>
            <w:vAlign w:val="center"/>
          </w:tcPr>
          <w:p>
            <w:pPr>
              <w:widowControl/>
              <w:jc w:val="left"/>
              <w:rPr>
                <w:rFonts w:ascii="仿宋_GB2312" w:hAnsi="宋体" w:eastAsia="仿宋_GB2312" w:cs="Times New Roman"/>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适龄儿童国家免疫规划疫苗接种率</w:t>
            </w:r>
          </w:p>
        </w:tc>
        <w:tc>
          <w:tcPr>
            <w:tcW w:w="765" w:type="dxa"/>
            <w:vAlign w:val="center"/>
          </w:tcPr>
          <w:p>
            <w:pPr>
              <w:widowControl/>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90%</w:t>
            </w:r>
          </w:p>
        </w:tc>
        <w:tc>
          <w:tcPr>
            <w:tcW w:w="78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90%</w:t>
            </w:r>
          </w:p>
        </w:tc>
        <w:tc>
          <w:tcPr>
            <w:tcW w:w="81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90%</w:t>
            </w:r>
          </w:p>
        </w:tc>
        <w:tc>
          <w:tcPr>
            <w:tcW w:w="821"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pPr>
          </w:p>
        </w:tc>
        <w:tc>
          <w:tcPr>
            <w:tcW w:w="930" w:type="dxa"/>
            <w:vMerge w:val="continue"/>
            <w:vAlign w:val="center"/>
          </w:tcPr>
          <w:p>
            <w:pPr>
              <w:widowControl/>
              <w:jc w:val="center"/>
            </w:pPr>
          </w:p>
        </w:tc>
        <w:tc>
          <w:tcPr>
            <w:tcW w:w="1110" w:type="dxa"/>
            <w:vMerge w:val="continue"/>
            <w:vAlign w:val="center"/>
          </w:tcPr>
          <w:p>
            <w:pPr>
              <w:widowControl/>
              <w:jc w:val="cente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val="en-US" w:eastAsia="zh-CN"/>
              </w:rPr>
              <w:t>0-6岁儿童健康管理率</w:t>
            </w:r>
          </w:p>
        </w:tc>
        <w:tc>
          <w:tcPr>
            <w:tcW w:w="765"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85</w:t>
            </w:r>
            <w:r>
              <w:rPr>
                <w:rFonts w:hint="eastAsia" w:ascii="仿宋_GB2312" w:hAnsi="宋体" w:eastAsia="仿宋_GB2312" w:cs="仿宋_GB2312"/>
                <w:kern w:val="0"/>
              </w:rPr>
              <w:t>%</w:t>
            </w:r>
          </w:p>
        </w:tc>
        <w:tc>
          <w:tcPr>
            <w:tcW w:w="78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90</w:t>
            </w:r>
            <w:r>
              <w:rPr>
                <w:rFonts w:hint="eastAsia" w:ascii="仿宋_GB2312" w:hAnsi="宋体" w:eastAsia="仿宋_GB2312" w:cs="仿宋_GB2312"/>
                <w:kern w:val="0"/>
              </w:rPr>
              <w:t>%</w:t>
            </w:r>
          </w:p>
        </w:tc>
        <w:tc>
          <w:tcPr>
            <w:tcW w:w="81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90</w:t>
            </w:r>
            <w:r>
              <w:rPr>
                <w:rFonts w:hint="eastAsia" w:ascii="仿宋_GB2312" w:hAnsi="宋体" w:eastAsia="仿宋_GB2312" w:cs="仿宋_GB2312"/>
                <w:kern w:val="0"/>
              </w:rPr>
              <w:t>%</w:t>
            </w:r>
          </w:p>
        </w:tc>
        <w:tc>
          <w:tcPr>
            <w:tcW w:w="821"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rPr>
                <w:rFonts w:hint="eastAsia" w:ascii="仿宋_GB2312" w:hAnsi="宋体" w:eastAsia="仿宋_GB2312" w:cs="仿宋_GB2312"/>
                <w:kern w:val="0"/>
              </w:rPr>
            </w:pPr>
          </w:p>
        </w:tc>
        <w:tc>
          <w:tcPr>
            <w:tcW w:w="930" w:type="dxa"/>
            <w:vMerge w:val="continue"/>
            <w:vAlign w:val="center"/>
          </w:tcPr>
          <w:p>
            <w:pPr>
              <w:widowControl/>
              <w:jc w:val="center"/>
              <w:rPr>
                <w:rFonts w:hint="eastAsia" w:ascii="仿宋_GB2312" w:hAnsi="宋体" w:eastAsia="仿宋_GB2312" w:cs="仿宋_GB2312"/>
                <w:kern w:val="0"/>
              </w:rPr>
            </w:pPr>
          </w:p>
        </w:tc>
        <w:tc>
          <w:tcPr>
            <w:tcW w:w="1110" w:type="dxa"/>
            <w:vMerge w:val="continue"/>
            <w:vAlign w:val="center"/>
          </w:tcPr>
          <w:p>
            <w:pPr>
              <w:widowControl/>
              <w:jc w:val="center"/>
              <w:rPr>
                <w:rFonts w:hint="eastAsia" w:ascii="仿宋_GB2312" w:hAnsi="宋体" w:eastAsia="仿宋_GB2312" w:cs="仿宋_GB2312"/>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孕产妇系统管理率</w:t>
            </w:r>
          </w:p>
        </w:tc>
        <w:tc>
          <w:tcPr>
            <w:tcW w:w="765"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85</w:t>
            </w:r>
            <w:r>
              <w:rPr>
                <w:rFonts w:hint="eastAsia" w:ascii="仿宋_GB2312" w:hAnsi="宋体" w:eastAsia="仿宋_GB2312" w:cs="仿宋_GB2312"/>
                <w:kern w:val="0"/>
              </w:rPr>
              <w:t>%</w:t>
            </w:r>
          </w:p>
        </w:tc>
        <w:tc>
          <w:tcPr>
            <w:tcW w:w="78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90</w:t>
            </w:r>
            <w:r>
              <w:rPr>
                <w:rFonts w:hint="eastAsia" w:ascii="仿宋_GB2312" w:hAnsi="宋体" w:eastAsia="仿宋_GB2312" w:cs="仿宋_GB2312"/>
                <w:kern w:val="0"/>
              </w:rPr>
              <w:t>%</w:t>
            </w:r>
          </w:p>
        </w:tc>
        <w:tc>
          <w:tcPr>
            <w:tcW w:w="81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90</w:t>
            </w:r>
            <w:r>
              <w:rPr>
                <w:rFonts w:hint="eastAsia" w:ascii="仿宋_GB2312" w:hAnsi="宋体" w:eastAsia="仿宋_GB2312" w:cs="仿宋_GB2312"/>
                <w:kern w:val="0"/>
              </w:rPr>
              <w:t>%</w:t>
            </w:r>
          </w:p>
        </w:tc>
        <w:tc>
          <w:tcPr>
            <w:tcW w:w="821"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rPr>
                <w:rFonts w:hint="eastAsia" w:ascii="仿宋_GB2312" w:hAnsi="宋体" w:eastAsia="仿宋_GB2312" w:cs="仿宋_GB2312"/>
                <w:kern w:val="0"/>
              </w:rPr>
            </w:pPr>
          </w:p>
        </w:tc>
        <w:tc>
          <w:tcPr>
            <w:tcW w:w="930" w:type="dxa"/>
            <w:vMerge w:val="continue"/>
            <w:vAlign w:val="center"/>
          </w:tcPr>
          <w:p>
            <w:pPr>
              <w:widowControl/>
              <w:jc w:val="center"/>
              <w:rPr>
                <w:rFonts w:hint="eastAsia" w:ascii="仿宋_GB2312" w:hAnsi="宋体" w:eastAsia="仿宋_GB2312" w:cs="仿宋_GB2312"/>
                <w:kern w:val="0"/>
              </w:rPr>
            </w:pPr>
          </w:p>
        </w:tc>
        <w:tc>
          <w:tcPr>
            <w:tcW w:w="1110" w:type="dxa"/>
            <w:vMerge w:val="continue"/>
            <w:vAlign w:val="center"/>
          </w:tcPr>
          <w:p>
            <w:pPr>
              <w:widowControl/>
              <w:jc w:val="center"/>
              <w:rPr>
                <w:rFonts w:hint="eastAsia" w:ascii="仿宋_GB2312" w:hAnsi="宋体" w:eastAsia="仿宋_GB2312" w:cs="仿宋_GB2312"/>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老年人健康管理率</w:t>
            </w:r>
          </w:p>
        </w:tc>
        <w:tc>
          <w:tcPr>
            <w:tcW w:w="765"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70</w:t>
            </w:r>
            <w:r>
              <w:rPr>
                <w:rFonts w:hint="eastAsia" w:ascii="仿宋_GB2312" w:hAnsi="宋体" w:eastAsia="仿宋_GB2312" w:cs="仿宋_GB2312"/>
                <w:kern w:val="0"/>
              </w:rPr>
              <w:t>%</w:t>
            </w:r>
          </w:p>
        </w:tc>
        <w:tc>
          <w:tcPr>
            <w:tcW w:w="78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70</w:t>
            </w:r>
            <w:r>
              <w:rPr>
                <w:rFonts w:hint="eastAsia" w:ascii="仿宋_GB2312" w:hAnsi="宋体" w:eastAsia="仿宋_GB2312" w:cs="仿宋_GB2312"/>
                <w:kern w:val="0"/>
              </w:rPr>
              <w:t>%</w:t>
            </w:r>
          </w:p>
        </w:tc>
        <w:tc>
          <w:tcPr>
            <w:tcW w:w="81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70</w:t>
            </w:r>
            <w:r>
              <w:rPr>
                <w:rFonts w:hint="eastAsia" w:ascii="仿宋_GB2312" w:hAnsi="宋体" w:eastAsia="仿宋_GB2312" w:cs="仿宋_GB2312"/>
                <w:kern w:val="0"/>
              </w:rPr>
              <w:t>%</w:t>
            </w:r>
          </w:p>
        </w:tc>
        <w:tc>
          <w:tcPr>
            <w:tcW w:w="821"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rPr>
                <w:rFonts w:hint="eastAsia" w:ascii="仿宋_GB2312" w:hAnsi="宋体" w:eastAsia="仿宋_GB2312" w:cs="仿宋_GB2312"/>
                <w:kern w:val="0"/>
              </w:rPr>
            </w:pPr>
          </w:p>
        </w:tc>
        <w:tc>
          <w:tcPr>
            <w:tcW w:w="930" w:type="dxa"/>
            <w:vMerge w:val="continue"/>
            <w:vAlign w:val="center"/>
          </w:tcPr>
          <w:p>
            <w:pPr>
              <w:widowControl/>
              <w:jc w:val="center"/>
              <w:rPr>
                <w:rFonts w:hint="eastAsia" w:ascii="仿宋_GB2312" w:hAnsi="宋体" w:eastAsia="仿宋_GB2312" w:cs="仿宋_GB2312"/>
                <w:kern w:val="0"/>
              </w:rPr>
            </w:pPr>
          </w:p>
        </w:tc>
        <w:tc>
          <w:tcPr>
            <w:tcW w:w="1110" w:type="dxa"/>
            <w:vMerge w:val="continue"/>
            <w:vAlign w:val="center"/>
          </w:tcPr>
          <w:p>
            <w:pPr>
              <w:widowControl/>
              <w:jc w:val="center"/>
              <w:rPr>
                <w:rFonts w:hint="eastAsia" w:ascii="仿宋_GB2312" w:hAnsi="宋体" w:eastAsia="仿宋_GB2312" w:cs="仿宋_GB2312"/>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高血压患者管理人数</w:t>
            </w:r>
          </w:p>
        </w:tc>
        <w:tc>
          <w:tcPr>
            <w:tcW w:w="765"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val="en-US" w:eastAsia="zh-CN"/>
              </w:rPr>
              <w:t>64100</w:t>
            </w:r>
          </w:p>
        </w:tc>
        <w:tc>
          <w:tcPr>
            <w:tcW w:w="780" w:type="dxa"/>
            <w:vAlign w:val="center"/>
          </w:tcPr>
          <w:p>
            <w:pPr>
              <w:widowControl/>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lang w:val="en-US" w:eastAsia="zh-CN"/>
              </w:rPr>
              <w:t>64100</w:t>
            </w:r>
          </w:p>
        </w:tc>
        <w:tc>
          <w:tcPr>
            <w:tcW w:w="810" w:type="dxa"/>
            <w:vAlign w:val="center"/>
          </w:tcPr>
          <w:p>
            <w:pPr>
              <w:widowControl/>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lang w:val="en-US" w:eastAsia="zh-CN"/>
              </w:rPr>
              <w:t>64100</w:t>
            </w:r>
          </w:p>
        </w:tc>
        <w:tc>
          <w:tcPr>
            <w:tcW w:w="821" w:type="dxa"/>
            <w:vAlign w:val="center"/>
          </w:tcPr>
          <w:p>
            <w:pPr>
              <w:widowControl/>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rPr>
                <w:rFonts w:hint="eastAsia" w:ascii="仿宋_GB2312" w:hAnsi="宋体" w:eastAsia="仿宋_GB2312" w:cs="仿宋_GB2312"/>
                <w:kern w:val="0"/>
              </w:rPr>
            </w:pPr>
          </w:p>
        </w:tc>
        <w:tc>
          <w:tcPr>
            <w:tcW w:w="930" w:type="dxa"/>
            <w:vMerge w:val="continue"/>
            <w:vAlign w:val="center"/>
          </w:tcPr>
          <w:p>
            <w:pPr>
              <w:widowControl/>
              <w:jc w:val="center"/>
              <w:rPr>
                <w:rFonts w:hint="eastAsia" w:ascii="仿宋_GB2312" w:hAnsi="宋体" w:eastAsia="仿宋_GB2312" w:cs="仿宋_GB2312"/>
                <w:kern w:val="0"/>
              </w:rPr>
            </w:pPr>
          </w:p>
        </w:tc>
        <w:tc>
          <w:tcPr>
            <w:tcW w:w="1110" w:type="dxa"/>
            <w:vMerge w:val="continue"/>
            <w:vAlign w:val="center"/>
          </w:tcPr>
          <w:p>
            <w:pPr>
              <w:widowControl/>
              <w:jc w:val="center"/>
              <w:rPr>
                <w:rFonts w:hint="eastAsia" w:ascii="仿宋_GB2312" w:hAnsi="宋体" w:eastAsia="仿宋_GB2312" w:cs="仿宋_GB2312"/>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val="en-US" w:eastAsia="zh-CN"/>
              </w:rPr>
              <w:t>2型糖尿病管理人数</w:t>
            </w:r>
          </w:p>
        </w:tc>
        <w:tc>
          <w:tcPr>
            <w:tcW w:w="765"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val="en-US" w:eastAsia="zh-CN"/>
              </w:rPr>
              <w:t>16600</w:t>
            </w:r>
          </w:p>
        </w:tc>
        <w:tc>
          <w:tcPr>
            <w:tcW w:w="780" w:type="dxa"/>
            <w:vAlign w:val="center"/>
          </w:tcPr>
          <w:p>
            <w:pPr>
              <w:widowControl/>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lang w:val="en-US" w:eastAsia="zh-CN"/>
              </w:rPr>
              <w:t>16600</w:t>
            </w:r>
          </w:p>
        </w:tc>
        <w:tc>
          <w:tcPr>
            <w:tcW w:w="810" w:type="dxa"/>
            <w:vAlign w:val="center"/>
          </w:tcPr>
          <w:p>
            <w:pPr>
              <w:widowControl/>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lang w:val="en-US" w:eastAsia="zh-CN"/>
              </w:rPr>
              <w:t>16600</w:t>
            </w:r>
          </w:p>
        </w:tc>
        <w:tc>
          <w:tcPr>
            <w:tcW w:w="821" w:type="dxa"/>
            <w:vAlign w:val="center"/>
          </w:tcPr>
          <w:p>
            <w:pPr>
              <w:widowControl/>
              <w:jc w:val="center"/>
              <w:rPr>
                <w:rFonts w:hint="default"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rPr>
                <w:rFonts w:hint="eastAsia" w:ascii="仿宋_GB2312" w:hAnsi="宋体" w:eastAsia="仿宋_GB2312" w:cs="仿宋_GB2312"/>
                <w:kern w:val="0"/>
              </w:rPr>
            </w:pPr>
          </w:p>
        </w:tc>
        <w:tc>
          <w:tcPr>
            <w:tcW w:w="930" w:type="dxa"/>
            <w:vMerge w:val="continue"/>
            <w:vAlign w:val="center"/>
          </w:tcPr>
          <w:p>
            <w:pPr>
              <w:widowControl/>
              <w:jc w:val="center"/>
              <w:rPr>
                <w:rFonts w:hint="eastAsia" w:ascii="仿宋_GB2312" w:hAnsi="宋体" w:eastAsia="仿宋_GB2312" w:cs="仿宋_GB2312"/>
                <w:kern w:val="0"/>
              </w:rPr>
            </w:pPr>
          </w:p>
        </w:tc>
        <w:tc>
          <w:tcPr>
            <w:tcW w:w="1110" w:type="dxa"/>
            <w:vMerge w:val="continue"/>
            <w:vAlign w:val="center"/>
          </w:tcPr>
          <w:p>
            <w:pPr>
              <w:widowControl/>
              <w:jc w:val="center"/>
              <w:rPr>
                <w:rFonts w:hint="eastAsia" w:ascii="仿宋_GB2312" w:hAnsi="宋体" w:eastAsia="仿宋_GB2312" w:cs="仿宋_GB2312"/>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老年人中医药健康管理率</w:t>
            </w:r>
          </w:p>
        </w:tc>
        <w:tc>
          <w:tcPr>
            <w:tcW w:w="765"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45</w:t>
            </w:r>
            <w:r>
              <w:rPr>
                <w:rFonts w:hint="eastAsia" w:ascii="仿宋_GB2312" w:hAnsi="宋体" w:eastAsia="仿宋_GB2312" w:cs="仿宋_GB2312"/>
                <w:kern w:val="0"/>
              </w:rPr>
              <w:t>%</w:t>
            </w:r>
          </w:p>
        </w:tc>
        <w:tc>
          <w:tcPr>
            <w:tcW w:w="78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65</w:t>
            </w:r>
            <w:r>
              <w:rPr>
                <w:rFonts w:hint="eastAsia" w:ascii="仿宋_GB2312" w:hAnsi="宋体" w:eastAsia="仿宋_GB2312" w:cs="仿宋_GB2312"/>
                <w:kern w:val="0"/>
              </w:rPr>
              <w:t>%</w:t>
            </w:r>
          </w:p>
        </w:tc>
        <w:tc>
          <w:tcPr>
            <w:tcW w:w="81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65</w:t>
            </w:r>
            <w:r>
              <w:rPr>
                <w:rFonts w:hint="eastAsia" w:ascii="仿宋_GB2312" w:hAnsi="宋体" w:eastAsia="仿宋_GB2312" w:cs="仿宋_GB2312"/>
                <w:kern w:val="0"/>
              </w:rPr>
              <w:t>%</w:t>
            </w:r>
          </w:p>
        </w:tc>
        <w:tc>
          <w:tcPr>
            <w:tcW w:w="821"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52" w:type="dxa"/>
            <w:vMerge w:val="continue"/>
            <w:vAlign w:val="center"/>
          </w:tcPr>
          <w:p>
            <w:pPr>
              <w:widowControl/>
              <w:jc w:val="center"/>
              <w:rPr>
                <w:rFonts w:hint="eastAsia" w:ascii="仿宋_GB2312" w:hAnsi="宋体" w:eastAsia="仿宋_GB2312" w:cs="仿宋_GB2312"/>
                <w:kern w:val="0"/>
              </w:rPr>
            </w:pPr>
          </w:p>
        </w:tc>
        <w:tc>
          <w:tcPr>
            <w:tcW w:w="930" w:type="dxa"/>
            <w:vMerge w:val="continue"/>
            <w:vAlign w:val="center"/>
          </w:tcPr>
          <w:p>
            <w:pPr>
              <w:widowControl/>
              <w:jc w:val="center"/>
              <w:rPr>
                <w:rFonts w:hint="eastAsia" w:ascii="仿宋_GB2312" w:hAnsi="宋体" w:eastAsia="仿宋_GB2312" w:cs="仿宋_GB2312"/>
                <w:kern w:val="0"/>
              </w:rPr>
            </w:pPr>
          </w:p>
        </w:tc>
        <w:tc>
          <w:tcPr>
            <w:tcW w:w="1110" w:type="dxa"/>
            <w:vMerge w:val="continue"/>
            <w:vAlign w:val="center"/>
          </w:tcPr>
          <w:p>
            <w:pPr>
              <w:widowControl/>
              <w:jc w:val="center"/>
              <w:rPr>
                <w:rFonts w:hint="eastAsia" w:ascii="仿宋_GB2312" w:hAnsi="宋体" w:eastAsia="仿宋_GB2312" w:cs="仿宋_GB2312"/>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儿童中医药健康管理率</w:t>
            </w:r>
          </w:p>
        </w:tc>
        <w:tc>
          <w:tcPr>
            <w:tcW w:w="765"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45</w:t>
            </w:r>
            <w:r>
              <w:rPr>
                <w:rFonts w:hint="eastAsia" w:ascii="仿宋_GB2312" w:hAnsi="宋体" w:eastAsia="仿宋_GB2312" w:cs="仿宋_GB2312"/>
                <w:kern w:val="0"/>
              </w:rPr>
              <w:t>%</w:t>
            </w:r>
          </w:p>
        </w:tc>
        <w:tc>
          <w:tcPr>
            <w:tcW w:w="78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65</w:t>
            </w:r>
            <w:r>
              <w:rPr>
                <w:rFonts w:hint="eastAsia" w:ascii="仿宋_GB2312" w:hAnsi="宋体" w:eastAsia="仿宋_GB2312" w:cs="仿宋_GB2312"/>
                <w:kern w:val="0"/>
              </w:rPr>
              <w:t>%</w:t>
            </w:r>
          </w:p>
        </w:tc>
        <w:tc>
          <w:tcPr>
            <w:tcW w:w="810"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65</w:t>
            </w:r>
            <w:r>
              <w:rPr>
                <w:rFonts w:hint="eastAsia" w:ascii="仿宋_GB2312" w:hAnsi="宋体" w:eastAsia="仿宋_GB2312" w:cs="仿宋_GB2312"/>
                <w:kern w:val="0"/>
              </w:rPr>
              <w:t>%</w:t>
            </w:r>
          </w:p>
        </w:tc>
        <w:tc>
          <w:tcPr>
            <w:tcW w:w="821" w:type="dxa"/>
            <w:vAlign w:val="center"/>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52" w:type="dxa"/>
            <w:vMerge w:val="continue"/>
            <w:vAlign w:val="center"/>
          </w:tcPr>
          <w:p>
            <w:pPr>
              <w:widowControl/>
              <w:jc w:val="center"/>
            </w:pPr>
          </w:p>
        </w:tc>
        <w:tc>
          <w:tcPr>
            <w:tcW w:w="930" w:type="dxa"/>
            <w:vMerge w:val="continue"/>
            <w:vAlign w:val="center"/>
          </w:tcPr>
          <w:p>
            <w:pPr>
              <w:widowControl/>
              <w:jc w:val="center"/>
            </w:pPr>
          </w:p>
        </w:tc>
        <w:tc>
          <w:tcPr>
            <w:tcW w:w="1110" w:type="dxa"/>
            <w:vMerge w:val="continue"/>
            <w:vAlign w:val="center"/>
          </w:tcPr>
          <w:p>
            <w:pPr>
              <w:widowControl/>
              <w:jc w:val="center"/>
            </w:pPr>
          </w:p>
        </w:tc>
        <w:tc>
          <w:tcPr>
            <w:tcW w:w="2580" w:type="dxa"/>
            <w:vAlign w:val="top"/>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重点职业病开展率</w:t>
            </w:r>
          </w:p>
        </w:tc>
        <w:tc>
          <w:tcPr>
            <w:tcW w:w="765" w:type="dxa"/>
            <w:vAlign w:val="center"/>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92</w:t>
            </w:r>
            <w:r>
              <w:rPr>
                <w:rFonts w:hint="eastAsia" w:ascii="仿宋_GB2312" w:hAnsi="宋体" w:eastAsia="仿宋_GB2312" w:cs="仿宋_GB2312"/>
                <w:kern w:val="0"/>
              </w:rPr>
              <w:t>%</w:t>
            </w:r>
          </w:p>
        </w:tc>
        <w:tc>
          <w:tcPr>
            <w:tcW w:w="780" w:type="dxa"/>
            <w:vAlign w:val="center"/>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92</w:t>
            </w:r>
            <w:r>
              <w:rPr>
                <w:rFonts w:hint="eastAsia" w:ascii="仿宋_GB2312" w:hAnsi="宋体" w:eastAsia="仿宋_GB2312" w:cs="仿宋_GB2312"/>
                <w:kern w:val="0"/>
              </w:rPr>
              <w:t>%</w:t>
            </w:r>
          </w:p>
        </w:tc>
        <w:tc>
          <w:tcPr>
            <w:tcW w:w="810" w:type="dxa"/>
            <w:vAlign w:val="center"/>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92</w:t>
            </w:r>
            <w:r>
              <w:rPr>
                <w:rFonts w:hint="eastAsia" w:ascii="仿宋_GB2312" w:hAnsi="宋体" w:eastAsia="仿宋_GB2312" w:cs="仿宋_GB2312"/>
                <w:kern w:val="0"/>
              </w:rPr>
              <w:t>%</w:t>
            </w:r>
          </w:p>
        </w:tc>
        <w:tc>
          <w:tcPr>
            <w:tcW w:w="821" w:type="dxa"/>
            <w:vAlign w:val="center"/>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质量指标</w:t>
            </w: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高血压患者规范管理率</w:t>
            </w:r>
          </w:p>
        </w:tc>
        <w:tc>
          <w:tcPr>
            <w:tcW w:w="765"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60</w:t>
            </w:r>
            <w:r>
              <w:rPr>
                <w:rFonts w:hint="eastAsia" w:ascii="仿宋_GB2312" w:hAnsi="宋体" w:eastAsia="仿宋_GB2312" w:cs="仿宋_GB2312"/>
                <w:kern w:val="0"/>
                <w:lang w:eastAsia="zh-CN"/>
              </w:rPr>
              <w:t>%</w:t>
            </w:r>
          </w:p>
        </w:tc>
        <w:tc>
          <w:tcPr>
            <w:tcW w:w="7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60</w:t>
            </w:r>
            <w:r>
              <w:rPr>
                <w:rFonts w:hint="eastAsia" w:ascii="仿宋_GB2312" w:hAnsi="宋体" w:eastAsia="仿宋_GB2312" w:cs="仿宋_GB2312"/>
                <w:kern w:val="0"/>
                <w:lang w:eastAsia="zh-CN"/>
              </w:rPr>
              <w:t>%</w:t>
            </w:r>
          </w:p>
        </w:tc>
        <w:tc>
          <w:tcPr>
            <w:tcW w:w="81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6</w:t>
            </w:r>
            <w:r>
              <w:rPr>
                <w:rFonts w:hint="eastAsia" w:ascii="仿宋_GB2312" w:hAnsi="宋体" w:eastAsia="仿宋_GB2312" w:cs="仿宋_GB2312"/>
                <w:kern w:val="0"/>
                <w:lang w:eastAsia="zh-CN"/>
              </w:rPr>
              <w:t>0%</w:t>
            </w:r>
          </w:p>
        </w:tc>
        <w:tc>
          <w:tcPr>
            <w:tcW w:w="821"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Merge w:val="continue"/>
            <w:vAlign w:val="center"/>
          </w:tcPr>
          <w:p>
            <w:pPr>
              <w:widowControl/>
              <w:jc w:val="left"/>
              <w:rPr>
                <w:rFonts w:ascii="仿宋_GB2312" w:hAnsi="宋体" w:eastAsia="仿宋_GB2312" w:cs="Times New Roman"/>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糖尿病患者规范管理率</w:t>
            </w:r>
          </w:p>
        </w:tc>
        <w:tc>
          <w:tcPr>
            <w:tcW w:w="765"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60</w:t>
            </w:r>
            <w:r>
              <w:rPr>
                <w:rFonts w:hint="eastAsia" w:ascii="仿宋_GB2312" w:hAnsi="宋体" w:eastAsia="仿宋_GB2312" w:cs="仿宋_GB2312"/>
                <w:kern w:val="0"/>
                <w:lang w:eastAsia="zh-CN"/>
              </w:rPr>
              <w:t>%</w:t>
            </w:r>
          </w:p>
        </w:tc>
        <w:tc>
          <w:tcPr>
            <w:tcW w:w="7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60</w:t>
            </w:r>
            <w:r>
              <w:rPr>
                <w:rFonts w:hint="eastAsia" w:ascii="仿宋_GB2312" w:hAnsi="宋体" w:eastAsia="仿宋_GB2312" w:cs="仿宋_GB2312"/>
                <w:kern w:val="0"/>
                <w:lang w:eastAsia="zh-CN"/>
              </w:rPr>
              <w:t>%</w:t>
            </w:r>
          </w:p>
        </w:tc>
        <w:tc>
          <w:tcPr>
            <w:tcW w:w="81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60</w:t>
            </w:r>
            <w:r>
              <w:rPr>
                <w:rFonts w:hint="eastAsia" w:ascii="仿宋_GB2312" w:hAnsi="宋体" w:eastAsia="仿宋_GB2312" w:cs="仿宋_GB2312"/>
                <w:kern w:val="0"/>
                <w:lang w:eastAsia="zh-CN"/>
              </w:rPr>
              <w:t>%</w:t>
            </w:r>
          </w:p>
        </w:tc>
        <w:tc>
          <w:tcPr>
            <w:tcW w:w="821"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pPr>
          </w:p>
        </w:tc>
        <w:tc>
          <w:tcPr>
            <w:tcW w:w="930" w:type="dxa"/>
            <w:vMerge w:val="continue"/>
            <w:vAlign w:val="center"/>
          </w:tcPr>
          <w:p>
            <w:pPr>
              <w:widowControl/>
              <w:jc w:val="center"/>
            </w:pPr>
          </w:p>
        </w:tc>
        <w:tc>
          <w:tcPr>
            <w:tcW w:w="1110" w:type="dxa"/>
            <w:vMerge w:val="continue"/>
            <w:vAlign w:val="center"/>
          </w:tcPr>
          <w:p>
            <w:pPr>
              <w:widowControl/>
              <w:jc w:val="cente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严重精神障碍患者健康管理率</w:t>
            </w:r>
          </w:p>
        </w:tc>
        <w:tc>
          <w:tcPr>
            <w:tcW w:w="765"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75%</w:t>
            </w:r>
          </w:p>
        </w:tc>
        <w:tc>
          <w:tcPr>
            <w:tcW w:w="7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80%</w:t>
            </w:r>
          </w:p>
        </w:tc>
        <w:tc>
          <w:tcPr>
            <w:tcW w:w="81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80%</w:t>
            </w:r>
          </w:p>
        </w:tc>
        <w:tc>
          <w:tcPr>
            <w:tcW w:w="821"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rPr>
                <w:rFonts w:hint="eastAsia" w:ascii="仿宋_GB2312" w:hAnsi="宋体" w:eastAsia="仿宋_GB2312" w:cs="Times New Roman"/>
                <w:kern w:val="0"/>
              </w:rPr>
            </w:pPr>
          </w:p>
        </w:tc>
        <w:tc>
          <w:tcPr>
            <w:tcW w:w="930" w:type="dxa"/>
            <w:vMerge w:val="continue"/>
            <w:vAlign w:val="center"/>
          </w:tcPr>
          <w:p>
            <w:pPr>
              <w:widowControl/>
              <w:jc w:val="center"/>
              <w:rPr>
                <w:rFonts w:hint="eastAsia" w:ascii="仿宋_GB2312" w:hAnsi="宋体" w:eastAsia="仿宋_GB2312" w:cs="Times New Roman"/>
                <w:kern w:val="0"/>
              </w:rPr>
            </w:pPr>
          </w:p>
        </w:tc>
        <w:tc>
          <w:tcPr>
            <w:tcW w:w="1110" w:type="dxa"/>
            <w:vMerge w:val="continue"/>
            <w:vAlign w:val="center"/>
          </w:tcPr>
          <w:p>
            <w:pPr>
              <w:widowControl/>
              <w:jc w:val="center"/>
              <w:rPr>
                <w:rFonts w:hint="eastAsia" w:ascii="仿宋_GB2312" w:hAnsi="宋体" w:eastAsia="仿宋_GB2312" w:cs="Times New Roman"/>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肺结核患者管理率</w:t>
            </w:r>
          </w:p>
        </w:tc>
        <w:tc>
          <w:tcPr>
            <w:tcW w:w="765"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90%</w:t>
            </w:r>
          </w:p>
        </w:tc>
        <w:tc>
          <w:tcPr>
            <w:tcW w:w="7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90%</w:t>
            </w:r>
          </w:p>
        </w:tc>
        <w:tc>
          <w:tcPr>
            <w:tcW w:w="81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90%</w:t>
            </w:r>
          </w:p>
        </w:tc>
        <w:tc>
          <w:tcPr>
            <w:tcW w:w="821"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rPr>
                <w:rFonts w:hint="eastAsia" w:ascii="仿宋_GB2312" w:hAnsi="宋体" w:eastAsia="仿宋_GB2312" w:cs="Times New Roman"/>
                <w:kern w:val="0"/>
              </w:rPr>
            </w:pPr>
          </w:p>
        </w:tc>
        <w:tc>
          <w:tcPr>
            <w:tcW w:w="930" w:type="dxa"/>
            <w:vMerge w:val="continue"/>
            <w:vAlign w:val="center"/>
          </w:tcPr>
          <w:p>
            <w:pPr>
              <w:widowControl/>
              <w:jc w:val="center"/>
              <w:rPr>
                <w:rFonts w:hint="eastAsia" w:ascii="仿宋_GB2312" w:hAnsi="宋体" w:eastAsia="仿宋_GB2312" w:cs="Times New Roman"/>
                <w:kern w:val="0"/>
              </w:rPr>
            </w:pPr>
          </w:p>
        </w:tc>
        <w:tc>
          <w:tcPr>
            <w:tcW w:w="1110" w:type="dxa"/>
            <w:vMerge w:val="continue"/>
            <w:vAlign w:val="center"/>
          </w:tcPr>
          <w:p>
            <w:pPr>
              <w:widowControl/>
              <w:jc w:val="center"/>
              <w:rPr>
                <w:rFonts w:hint="eastAsia" w:ascii="仿宋_GB2312" w:hAnsi="宋体" w:eastAsia="仿宋_GB2312" w:cs="Times New Roman"/>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传染病和突发公共卫生事件报告率</w:t>
            </w:r>
          </w:p>
        </w:tc>
        <w:tc>
          <w:tcPr>
            <w:tcW w:w="765"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95%</w:t>
            </w:r>
          </w:p>
        </w:tc>
        <w:tc>
          <w:tcPr>
            <w:tcW w:w="7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95%</w:t>
            </w:r>
          </w:p>
        </w:tc>
        <w:tc>
          <w:tcPr>
            <w:tcW w:w="81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95%</w:t>
            </w:r>
          </w:p>
        </w:tc>
        <w:tc>
          <w:tcPr>
            <w:tcW w:w="821"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rPr>
                <w:rFonts w:hint="eastAsia" w:ascii="仿宋_GB2312" w:hAnsi="宋体" w:eastAsia="仿宋_GB2312" w:cs="Times New Roman"/>
                <w:kern w:val="0"/>
              </w:rPr>
            </w:pPr>
          </w:p>
        </w:tc>
        <w:tc>
          <w:tcPr>
            <w:tcW w:w="930" w:type="dxa"/>
            <w:vMerge w:val="continue"/>
            <w:vAlign w:val="center"/>
          </w:tcPr>
          <w:p>
            <w:pPr>
              <w:widowControl/>
              <w:jc w:val="center"/>
              <w:rPr>
                <w:rFonts w:hint="eastAsia" w:ascii="仿宋_GB2312" w:hAnsi="宋体" w:eastAsia="仿宋_GB2312" w:cs="Times New Roman"/>
                <w:kern w:val="0"/>
              </w:rPr>
            </w:pPr>
          </w:p>
        </w:tc>
        <w:tc>
          <w:tcPr>
            <w:tcW w:w="1110" w:type="dxa"/>
            <w:vMerge w:val="continue"/>
            <w:vAlign w:val="center"/>
          </w:tcPr>
          <w:p>
            <w:pPr>
              <w:widowControl/>
              <w:jc w:val="center"/>
              <w:rPr>
                <w:rFonts w:hint="eastAsia" w:ascii="仿宋_GB2312" w:hAnsi="宋体" w:eastAsia="仿宋_GB2312" w:cs="Times New Roman"/>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职业健康核心指标主动监测率</w:t>
            </w:r>
          </w:p>
        </w:tc>
        <w:tc>
          <w:tcPr>
            <w:tcW w:w="765"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92%</w:t>
            </w:r>
          </w:p>
        </w:tc>
        <w:tc>
          <w:tcPr>
            <w:tcW w:w="7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92%</w:t>
            </w:r>
          </w:p>
        </w:tc>
        <w:tc>
          <w:tcPr>
            <w:tcW w:w="81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92%</w:t>
            </w:r>
          </w:p>
        </w:tc>
        <w:tc>
          <w:tcPr>
            <w:tcW w:w="821"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rPr>
                <w:rFonts w:hint="eastAsia" w:ascii="仿宋_GB2312" w:hAnsi="宋体" w:eastAsia="仿宋_GB2312" w:cs="Times New Roman"/>
                <w:kern w:val="0"/>
              </w:rPr>
            </w:pPr>
          </w:p>
        </w:tc>
        <w:tc>
          <w:tcPr>
            <w:tcW w:w="930" w:type="dxa"/>
            <w:vMerge w:val="continue"/>
            <w:vAlign w:val="center"/>
          </w:tcPr>
          <w:p>
            <w:pPr>
              <w:widowControl/>
              <w:jc w:val="center"/>
              <w:rPr>
                <w:rFonts w:hint="eastAsia" w:ascii="仿宋_GB2312" w:hAnsi="宋体" w:eastAsia="仿宋_GB2312" w:cs="Times New Roman"/>
                <w:kern w:val="0"/>
              </w:rPr>
            </w:pPr>
          </w:p>
        </w:tc>
        <w:tc>
          <w:tcPr>
            <w:tcW w:w="1110" w:type="dxa"/>
            <w:vMerge w:val="continue"/>
            <w:vAlign w:val="center"/>
          </w:tcPr>
          <w:p>
            <w:pPr>
              <w:widowControl/>
              <w:jc w:val="center"/>
              <w:rPr>
                <w:rFonts w:hint="eastAsia" w:ascii="仿宋_GB2312" w:hAnsi="宋体" w:eastAsia="仿宋_GB2312" w:cs="Times New Roman"/>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及时发现报告或有效处置人禽流感、</w:t>
            </w:r>
            <w:r>
              <w:rPr>
                <w:rFonts w:hint="eastAsia" w:ascii="仿宋_GB2312" w:hAnsi="宋体" w:eastAsia="仿宋_GB2312" w:cs="仿宋_GB2312"/>
                <w:kern w:val="0"/>
                <w:lang w:val="en-US" w:eastAsia="zh-CN"/>
              </w:rPr>
              <w:t>SARS、新冠病毒等突发急性传染病疫情</w:t>
            </w:r>
          </w:p>
        </w:tc>
        <w:tc>
          <w:tcPr>
            <w:tcW w:w="765"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val="en-US" w:eastAsia="zh-CN"/>
              </w:rPr>
              <w:t>100%</w:t>
            </w:r>
          </w:p>
        </w:tc>
        <w:tc>
          <w:tcPr>
            <w:tcW w:w="7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val="en-US" w:eastAsia="zh-CN"/>
              </w:rPr>
              <w:t>100%</w:t>
            </w:r>
          </w:p>
        </w:tc>
        <w:tc>
          <w:tcPr>
            <w:tcW w:w="81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val="en-US" w:eastAsia="zh-CN"/>
              </w:rPr>
              <w:t>100%</w:t>
            </w:r>
          </w:p>
        </w:tc>
        <w:tc>
          <w:tcPr>
            <w:tcW w:w="821"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rPr>
                <w:rFonts w:hint="eastAsia" w:ascii="仿宋_GB2312" w:hAnsi="宋体" w:eastAsia="仿宋_GB2312" w:cs="Times New Roman"/>
                <w:kern w:val="0"/>
              </w:rPr>
            </w:pPr>
          </w:p>
        </w:tc>
        <w:tc>
          <w:tcPr>
            <w:tcW w:w="930" w:type="dxa"/>
            <w:vMerge w:val="continue"/>
            <w:vAlign w:val="center"/>
          </w:tcPr>
          <w:p>
            <w:pPr>
              <w:widowControl/>
              <w:jc w:val="center"/>
              <w:rPr>
                <w:rFonts w:hint="eastAsia" w:ascii="仿宋_GB2312" w:hAnsi="宋体" w:eastAsia="仿宋_GB2312" w:cs="Times New Roman"/>
                <w:kern w:val="0"/>
              </w:rPr>
            </w:pPr>
          </w:p>
        </w:tc>
        <w:tc>
          <w:tcPr>
            <w:tcW w:w="1110" w:type="dxa"/>
            <w:vMerge w:val="continue"/>
            <w:vAlign w:val="center"/>
          </w:tcPr>
          <w:p>
            <w:pPr>
              <w:widowControl/>
              <w:jc w:val="center"/>
              <w:rPr>
                <w:rFonts w:hint="eastAsia" w:ascii="仿宋_GB2312" w:hAnsi="宋体" w:eastAsia="仿宋_GB2312" w:cs="Times New Roman"/>
                <w:kern w:val="0"/>
              </w:rPr>
            </w:pP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开展疾控业务专业指导评价</w:t>
            </w:r>
          </w:p>
        </w:tc>
        <w:tc>
          <w:tcPr>
            <w:tcW w:w="765" w:type="dxa"/>
            <w:vAlign w:val="top"/>
          </w:tcPr>
          <w:p>
            <w:pPr>
              <w:widowControl/>
              <w:jc w:val="left"/>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乡镇覆盖</w:t>
            </w:r>
            <w:r>
              <w:rPr>
                <w:rFonts w:hint="eastAsia" w:ascii="仿宋_GB2312" w:hAnsi="宋体" w:eastAsia="仿宋_GB2312" w:cs="仿宋_GB2312"/>
                <w:kern w:val="0"/>
                <w:lang w:val="en-US" w:eastAsia="zh-CN"/>
              </w:rPr>
              <w:t>100%</w:t>
            </w:r>
          </w:p>
        </w:tc>
        <w:tc>
          <w:tcPr>
            <w:tcW w:w="780" w:type="dxa"/>
            <w:vAlign w:val="top"/>
          </w:tcPr>
          <w:p>
            <w:pPr>
              <w:widowControl/>
              <w:jc w:val="left"/>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乡镇覆盖</w:t>
            </w:r>
            <w:r>
              <w:rPr>
                <w:rFonts w:hint="eastAsia" w:ascii="仿宋_GB2312" w:hAnsi="宋体" w:eastAsia="仿宋_GB2312" w:cs="仿宋_GB2312"/>
                <w:kern w:val="0"/>
                <w:lang w:val="en-US" w:eastAsia="zh-CN"/>
              </w:rPr>
              <w:t>100%</w:t>
            </w:r>
          </w:p>
        </w:tc>
        <w:tc>
          <w:tcPr>
            <w:tcW w:w="81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乡镇覆盖</w:t>
            </w:r>
            <w:r>
              <w:rPr>
                <w:rFonts w:hint="eastAsia" w:ascii="仿宋_GB2312" w:hAnsi="宋体" w:eastAsia="仿宋_GB2312" w:cs="仿宋_GB2312"/>
                <w:kern w:val="0"/>
                <w:lang w:val="en-US" w:eastAsia="zh-CN"/>
              </w:rPr>
              <w:t>100%</w:t>
            </w:r>
          </w:p>
        </w:tc>
        <w:tc>
          <w:tcPr>
            <w:tcW w:w="821" w:type="dxa"/>
            <w:vAlign w:val="top"/>
          </w:tcPr>
          <w:p>
            <w:pPr>
              <w:widowControl/>
              <w:jc w:val="both"/>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152" w:type="dxa"/>
            <w:vMerge w:val="continue"/>
            <w:vAlign w:val="center"/>
          </w:tcPr>
          <w:p>
            <w:pPr>
              <w:widowControl/>
              <w:jc w:val="center"/>
              <w:rPr>
                <w:rFonts w:hint="eastAsia" w:ascii="仿宋_GB2312" w:hAnsi="宋体" w:eastAsia="仿宋_GB2312" w:cs="Times New Roman"/>
                <w:kern w:val="0"/>
              </w:rPr>
            </w:pPr>
          </w:p>
        </w:tc>
        <w:tc>
          <w:tcPr>
            <w:tcW w:w="930" w:type="dxa"/>
            <w:vMerge w:val="continue"/>
            <w:vAlign w:val="center"/>
          </w:tcPr>
          <w:p>
            <w:pPr>
              <w:widowControl/>
              <w:jc w:val="center"/>
              <w:rPr>
                <w:rFonts w:hint="eastAsia" w:ascii="仿宋_GB2312" w:hAnsi="宋体" w:eastAsia="仿宋_GB2312" w:cs="Times New Roman"/>
                <w:kern w:val="0"/>
              </w:rPr>
            </w:pPr>
          </w:p>
        </w:tc>
        <w:tc>
          <w:tcPr>
            <w:tcW w:w="1110" w:type="dxa"/>
            <w:vMerge w:val="continue"/>
            <w:vAlign w:val="center"/>
          </w:tcPr>
          <w:p>
            <w:pPr>
              <w:widowControl/>
              <w:jc w:val="center"/>
              <w:rPr>
                <w:rFonts w:hint="eastAsia" w:ascii="仿宋_GB2312" w:hAnsi="宋体" w:eastAsia="仿宋_GB2312" w:cs="Times New Roman"/>
                <w:kern w:val="0"/>
              </w:rPr>
            </w:pPr>
          </w:p>
        </w:tc>
        <w:tc>
          <w:tcPr>
            <w:tcW w:w="2580" w:type="dxa"/>
            <w:vAlign w:val="center"/>
          </w:tcPr>
          <w:p>
            <w:pPr>
              <w:widowControl/>
              <w:jc w:val="center"/>
              <w:rPr>
                <w:rFonts w:hint="eastAsia" w:ascii="仿宋_GB2312" w:hAnsi="宋体" w:eastAsia="仿宋_GB2312" w:cs="Times New Roman"/>
                <w:kern w:val="0"/>
              </w:rPr>
            </w:pPr>
          </w:p>
        </w:tc>
        <w:tc>
          <w:tcPr>
            <w:tcW w:w="765" w:type="dxa"/>
            <w:vAlign w:val="center"/>
          </w:tcPr>
          <w:p>
            <w:pPr>
              <w:widowControl/>
              <w:jc w:val="center"/>
              <w:rPr>
                <w:rFonts w:hint="eastAsia" w:ascii="仿宋_GB2312" w:hAnsi="宋体" w:eastAsia="仿宋_GB2312" w:cs="Times New Roman"/>
                <w:kern w:val="0"/>
              </w:rPr>
            </w:pPr>
          </w:p>
        </w:tc>
        <w:tc>
          <w:tcPr>
            <w:tcW w:w="780" w:type="dxa"/>
            <w:vAlign w:val="center"/>
          </w:tcPr>
          <w:p>
            <w:pPr>
              <w:widowControl/>
              <w:jc w:val="center"/>
              <w:rPr>
                <w:rFonts w:hint="eastAsia" w:ascii="仿宋_GB2312" w:hAnsi="宋体" w:eastAsia="仿宋_GB2312" w:cs="Times New Roman"/>
                <w:kern w:val="0"/>
              </w:rPr>
            </w:pPr>
          </w:p>
        </w:tc>
        <w:tc>
          <w:tcPr>
            <w:tcW w:w="810" w:type="dxa"/>
            <w:vAlign w:val="center"/>
          </w:tcPr>
          <w:p>
            <w:pPr>
              <w:widowControl/>
              <w:jc w:val="center"/>
              <w:rPr>
                <w:rFonts w:hint="eastAsia" w:ascii="仿宋_GB2312" w:hAnsi="宋体" w:eastAsia="仿宋_GB2312" w:cs="Times New Roman"/>
                <w:kern w:val="0"/>
              </w:rPr>
            </w:pPr>
          </w:p>
        </w:tc>
        <w:tc>
          <w:tcPr>
            <w:tcW w:w="821" w:type="dxa"/>
            <w:vAlign w:val="center"/>
          </w:tcPr>
          <w:p>
            <w:pPr>
              <w:widowControl/>
              <w:jc w:val="center"/>
              <w:rPr>
                <w:rFonts w:hint="eastAsia"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时效指标</w:t>
            </w:r>
          </w:p>
        </w:tc>
        <w:tc>
          <w:tcPr>
            <w:tcW w:w="25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765"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7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81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821"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成本指标</w:t>
            </w:r>
          </w:p>
        </w:tc>
        <w:tc>
          <w:tcPr>
            <w:tcW w:w="25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765"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7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81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821"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经济效益指标</w:t>
            </w:r>
          </w:p>
        </w:tc>
        <w:tc>
          <w:tcPr>
            <w:tcW w:w="25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765"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78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c>
          <w:tcPr>
            <w:tcW w:w="81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821"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社会效益指标</w:t>
            </w:r>
          </w:p>
        </w:tc>
        <w:tc>
          <w:tcPr>
            <w:tcW w:w="25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lang w:eastAsia="zh-CN"/>
              </w:rPr>
              <w:t>服务对象综合知晓率</w:t>
            </w:r>
          </w:p>
        </w:tc>
        <w:tc>
          <w:tcPr>
            <w:tcW w:w="765" w:type="dxa"/>
            <w:vAlign w:val="top"/>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50%</w:t>
            </w:r>
          </w:p>
        </w:tc>
        <w:tc>
          <w:tcPr>
            <w:tcW w:w="780" w:type="dxa"/>
            <w:vAlign w:val="top"/>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50%</w:t>
            </w:r>
          </w:p>
        </w:tc>
        <w:tc>
          <w:tcPr>
            <w:tcW w:w="810" w:type="dxa"/>
            <w:vAlign w:val="top"/>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w:t>
            </w:r>
            <w:r>
              <w:rPr>
                <w:rFonts w:hint="eastAsia" w:ascii="仿宋_GB2312" w:hAnsi="宋体" w:eastAsia="仿宋_GB2312" w:cs="仿宋_GB2312"/>
                <w:kern w:val="0"/>
                <w:lang w:val="en-US" w:eastAsia="zh-CN"/>
              </w:rPr>
              <w:t>50%</w:t>
            </w:r>
          </w:p>
        </w:tc>
        <w:tc>
          <w:tcPr>
            <w:tcW w:w="821" w:type="dxa"/>
            <w:vAlign w:val="top"/>
          </w:tcPr>
          <w:p>
            <w:pPr>
              <w:widowControl/>
              <w:jc w:val="center"/>
              <w:rPr>
                <w:rFonts w:hint="eastAsia" w:ascii="仿宋_GB2312" w:hAnsi="宋体" w:eastAsia="仿宋_GB2312" w:cs="仿宋_GB2312"/>
                <w:kern w:val="0"/>
                <w:sz w:val="21"/>
                <w:szCs w:val="21"/>
                <w:lang w:val="en-US" w:eastAsia="zh-CN" w:bidi="ar-SA"/>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生态效益指标</w:t>
            </w:r>
          </w:p>
        </w:tc>
        <w:tc>
          <w:tcPr>
            <w:tcW w:w="25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765"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7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81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821"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Merge w:val="continue"/>
            <w:vAlign w:val="center"/>
          </w:tcPr>
          <w:p>
            <w:pPr>
              <w:widowControl/>
              <w:jc w:val="left"/>
              <w:rPr>
                <w:rFonts w:ascii="仿宋_GB2312" w:hAnsi="宋体" w:eastAsia="仿宋_GB2312" w:cs="Times New Roman"/>
                <w:kern w:val="0"/>
              </w:rPr>
            </w:pPr>
          </w:p>
        </w:tc>
        <w:tc>
          <w:tcPr>
            <w:tcW w:w="111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可持续影响指标</w:t>
            </w:r>
          </w:p>
        </w:tc>
        <w:tc>
          <w:tcPr>
            <w:tcW w:w="25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基本公共卫生服务水平</w:t>
            </w:r>
          </w:p>
        </w:tc>
        <w:tc>
          <w:tcPr>
            <w:tcW w:w="765"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不断</w:t>
            </w:r>
            <w:r>
              <w:rPr>
                <w:rFonts w:hint="eastAsia" w:ascii="仿宋_GB2312" w:hAnsi="宋体" w:eastAsia="仿宋_GB2312" w:cs="仿宋_GB2312"/>
                <w:kern w:val="0"/>
              </w:rPr>
              <w:t>提高</w:t>
            </w:r>
          </w:p>
        </w:tc>
        <w:tc>
          <w:tcPr>
            <w:tcW w:w="78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不断</w:t>
            </w:r>
            <w:r>
              <w:rPr>
                <w:rFonts w:hint="eastAsia" w:ascii="仿宋_GB2312" w:hAnsi="宋体" w:eastAsia="仿宋_GB2312" w:cs="仿宋_GB2312"/>
                <w:kern w:val="0"/>
              </w:rPr>
              <w:t>提高</w:t>
            </w:r>
          </w:p>
        </w:tc>
        <w:tc>
          <w:tcPr>
            <w:tcW w:w="810" w:type="dxa"/>
            <w:vAlign w:val="top"/>
          </w:tcPr>
          <w:p>
            <w:pPr>
              <w:widowControl/>
              <w:jc w:val="center"/>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不断</w:t>
            </w:r>
            <w:r>
              <w:rPr>
                <w:rFonts w:hint="eastAsia" w:ascii="仿宋_GB2312" w:hAnsi="宋体" w:eastAsia="仿宋_GB2312" w:cs="仿宋_GB2312"/>
                <w:kern w:val="0"/>
              </w:rPr>
              <w:t>提高</w:t>
            </w:r>
          </w:p>
        </w:tc>
        <w:tc>
          <w:tcPr>
            <w:tcW w:w="821" w:type="dxa"/>
            <w:vAlign w:val="top"/>
          </w:tcPr>
          <w:p>
            <w:pPr>
              <w:widowControl/>
              <w:jc w:val="both"/>
              <w:rPr>
                <w:rFonts w:hint="eastAsia" w:ascii="仿宋_GB2312" w:hAnsi="宋体" w:eastAsia="仿宋_GB2312" w:cs="仿宋_GB2312"/>
                <w:kern w:val="0"/>
                <w:lang w:val="en-US" w:eastAsia="zh-CN"/>
              </w:rPr>
            </w:pPr>
            <w:r>
              <w:rPr>
                <w:rFonts w:hint="eastAsia" w:ascii="仿宋_GB2312" w:hAnsi="宋体" w:eastAsia="仿宋_GB2312" w:cs="仿宋_GB2312"/>
                <w:kern w:val="0"/>
                <w:lang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52" w:type="dxa"/>
            <w:vMerge w:val="continue"/>
            <w:vAlign w:val="center"/>
          </w:tcPr>
          <w:p>
            <w:pPr>
              <w:widowControl/>
              <w:jc w:val="left"/>
              <w:rPr>
                <w:rFonts w:ascii="仿宋_GB2312" w:hAnsi="宋体" w:eastAsia="仿宋_GB2312" w:cs="Times New Roman"/>
                <w:kern w:val="0"/>
              </w:rPr>
            </w:pPr>
          </w:p>
        </w:tc>
        <w:tc>
          <w:tcPr>
            <w:tcW w:w="930" w:type="dxa"/>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满意度</w:t>
            </w:r>
          </w:p>
          <w:p>
            <w:pPr>
              <w:widowControl/>
              <w:ind w:firstLine="210" w:firstLineChars="100"/>
              <w:jc w:val="left"/>
              <w:rPr>
                <w:rFonts w:ascii="仿宋_GB2312" w:hAnsi="宋体" w:eastAsia="仿宋_GB2312" w:cs="Times New Roman"/>
                <w:kern w:val="0"/>
              </w:rPr>
            </w:pPr>
            <w:r>
              <w:rPr>
                <w:rFonts w:hint="eastAsia" w:ascii="仿宋_GB2312" w:hAnsi="宋体" w:eastAsia="仿宋_GB2312" w:cs="仿宋_GB2312"/>
                <w:kern w:val="0"/>
              </w:rPr>
              <w:t>指标</w:t>
            </w:r>
          </w:p>
        </w:tc>
        <w:tc>
          <w:tcPr>
            <w:tcW w:w="1110" w:type="dxa"/>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服务对象满意度</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2580"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服务对象满意度</w:t>
            </w:r>
          </w:p>
        </w:tc>
        <w:tc>
          <w:tcPr>
            <w:tcW w:w="765"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80</w:t>
            </w:r>
            <w:r>
              <w:rPr>
                <w:rFonts w:hint="eastAsia" w:ascii="仿宋_GB2312" w:hAnsi="宋体" w:eastAsia="仿宋_GB2312" w:cs="仿宋_GB2312"/>
                <w:kern w:val="0"/>
              </w:rPr>
              <w:t>%</w:t>
            </w:r>
          </w:p>
        </w:tc>
        <w:tc>
          <w:tcPr>
            <w:tcW w:w="78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80</w:t>
            </w:r>
            <w:r>
              <w:rPr>
                <w:rFonts w:hint="eastAsia" w:ascii="仿宋_GB2312" w:hAnsi="宋体" w:eastAsia="仿宋_GB2312" w:cs="仿宋_GB2312"/>
                <w:kern w:val="0"/>
              </w:rPr>
              <w:t>%</w:t>
            </w:r>
          </w:p>
        </w:tc>
        <w:tc>
          <w:tcPr>
            <w:tcW w:w="810"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80</w:t>
            </w:r>
            <w:r>
              <w:rPr>
                <w:rFonts w:hint="eastAsia" w:ascii="仿宋_GB2312" w:hAnsi="宋体" w:eastAsia="仿宋_GB2312" w:cs="仿宋_GB2312"/>
                <w:kern w:val="0"/>
              </w:rPr>
              <w:t>%</w:t>
            </w:r>
          </w:p>
        </w:tc>
        <w:tc>
          <w:tcPr>
            <w:tcW w:w="821" w:type="dxa"/>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lang w:eastAsia="zh-CN"/>
              </w:rPr>
              <w:t>《规范》</w:t>
            </w:r>
          </w:p>
        </w:tc>
      </w:tr>
    </w:tbl>
    <w:p>
      <w:pPr>
        <w:jc w:val="cente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00000000"/>
    <w:rsid w:val="11F87DCA"/>
    <w:rsid w:val="27012583"/>
    <w:rsid w:val="2C31419D"/>
    <w:rsid w:val="721450F9"/>
    <w:rsid w:val="7E1D2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2023-09-22T08:18:00Z</dcterms:created>
  <dc:creator>Administrator</dc:creator>
  <cp:lastModifiedBy>猫咪酱(≧▽≦)</cp:lastModifiedBy>
  <dcterms:modified xsi:type="dcterms:W3CDTF">2024-01-03T01:38:56Z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97F0A346EEDB41D7B3F15438FC023756_13</vt:lpwstr>
  </property>
</Properties>
</file>