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eastAsia="仿宋_GB2312"/>
          <w:b/>
          <w:color w:val="000000"/>
          <w:sz w:val="44"/>
          <w:szCs w:val="44"/>
        </w:rPr>
      </w:pPr>
      <w:r>
        <w:rPr>
          <w:rFonts w:hint="eastAsia" w:eastAsia="仿宋_GB2312"/>
          <w:b/>
          <w:color w:val="000000"/>
          <w:sz w:val="44"/>
          <w:szCs w:val="44"/>
          <w:lang w:val="en-US" w:eastAsia="zh-CN"/>
        </w:rPr>
        <w:t>县</w:t>
      </w:r>
      <w:r>
        <w:rPr>
          <w:rFonts w:hint="eastAsia" w:eastAsia="仿宋_GB2312"/>
          <w:b/>
          <w:color w:val="000000"/>
          <w:sz w:val="44"/>
          <w:szCs w:val="44"/>
        </w:rPr>
        <w:t>本级绩效管理情况说明</w:t>
      </w:r>
    </w:p>
    <w:p>
      <w:pPr>
        <w:ind w:firstLine="640" w:firstLineChars="200"/>
        <w:rPr>
          <w:rFonts w:hint="eastAsia" w:eastAsia="仿宋_GB2312"/>
          <w:color w:val="000000"/>
          <w:sz w:val="32"/>
          <w:szCs w:val="32"/>
        </w:rPr>
      </w:pPr>
    </w:p>
    <w:p>
      <w:pPr>
        <w:spacing w:line="62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一、预算绩效管理的主要内容</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算绩效管理是政府绩效管理的重要组成部分，是将绩效管理理念、绩效管理方法融入预算管理的全过程，与预算编制、预算执行，预算监督一起成为预算管理的有机组成，是一种以绩效目标的实现为导向，以绩效运行监控为保障，以绩效评价为手段，以结果应用为关键，以改进预算管理、优化资源配置、控制节约成本、提高公共产品质量和公共服务水平为目的的预算管理模式。</w:t>
      </w:r>
    </w:p>
    <w:p>
      <w:pPr>
        <w:spacing w:line="62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二、预算绩效管理工作进展</w:t>
      </w:r>
    </w:p>
    <w:p>
      <w:pPr>
        <w:spacing w:line="62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（一）全面实施预算绩效管理实现制度化</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贯彻落实《中共中央国务院关于全面实施预算绩效管理的意见》精神，认真研究有关政策法规，结合我市实际，制定了全面实施预算绩效管理制度体系，包括预算绩效事前评估、目标管理、监控管理、评价管理、评价结果应用5个暂行办法，为全面实施预算绩效制定了时间表、路线图和操作“工具箱”，用制度将全面推进预算绩效管理工作固定下来，纳入制度化、规范化、科学化管理轨道。</w:t>
      </w:r>
    </w:p>
    <w:p>
      <w:pPr>
        <w:spacing w:line="62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（二）部门绩效自评工作达到全覆盖</w:t>
      </w:r>
    </w:p>
    <w:p>
      <w:pPr>
        <w:suppressAutoHyphens/>
        <w:bidi w:val="0"/>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抓好部门自评是做好绩效评价工作的第一道工序，印发《</w:t>
      </w:r>
      <w:r>
        <w:rPr>
          <w:rFonts w:hint="eastAsia" w:ascii="Times New Roman" w:hAnsi="Times New Roman" w:eastAsia="仿宋_GB2312"/>
          <w:sz w:val="32"/>
          <w:szCs w:val="32"/>
        </w:rPr>
        <w:t>县财政局关于开展2022年度县本级财政支出绩效评价工作的通知</w:t>
      </w:r>
      <w:r>
        <w:rPr>
          <w:rFonts w:ascii="Times New Roman" w:hAnsi="Times New Roman" w:eastAsia="仿宋_GB2312"/>
          <w:sz w:val="32"/>
          <w:szCs w:val="32"/>
        </w:rPr>
        <w:t>》，明确了绩效自评的范围、内容、方法和工作要求，在部门自评过程中，加强业务指导、督办和审核，对部门自评结果的准确性和真实性进行认真复核，确保</w:t>
      </w:r>
      <w:r>
        <w:rPr>
          <w:rFonts w:ascii="Times New Roman" w:hAnsi="Times New Roman" w:eastAsia="仿宋_GB2312" w:cs="Times New Roman"/>
          <w:sz w:val="32"/>
          <w:szCs w:val="32"/>
        </w:rPr>
        <w:t>自评结果的准确性和真实性</w:t>
      </w:r>
      <w:r>
        <w:rPr>
          <w:rFonts w:ascii="Times New Roman" w:hAnsi="Times New Roman" w:eastAsia="仿宋_GB2312"/>
          <w:sz w:val="32"/>
          <w:szCs w:val="32"/>
        </w:rPr>
        <w:t>。</w:t>
      </w:r>
      <w:r>
        <w:rPr>
          <w:rFonts w:hint="eastAsia" w:eastAsia="仿宋_GB2312"/>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直</w:t>
      </w:r>
      <w:r>
        <w:rPr>
          <w:rFonts w:hint="eastAsia" w:eastAsia="仿宋_GB2312" w:cs="Times New Roman"/>
          <w:color w:val="000000" w:themeColor="text1"/>
          <w:sz w:val="32"/>
          <w:szCs w:val="32"/>
          <w:lang w:val="en-US" w:eastAsia="zh-CN"/>
          <w14:textFill>
            <w14:solidFill>
              <w14:schemeClr w14:val="tx1"/>
            </w14:solidFill>
          </w14:textFill>
        </w:rPr>
        <w:t>78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一级预算</w:t>
      </w:r>
      <w:r>
        <w:rPr>
          <w:rFonts w:hint="eastAsia" w:ascii="Times New Roman" w:hAnsi="Times New Roman" w:eastAsia="仿宋_GB2312" w:cs="Times New Roman"/>
          <w:color w:val="000000" w:themeColor="text1"/>
          <w:sz w:val="32"/>
          <w:szCs w:val="32"/>
          <w14:textFill>
            <w14:solidFill>
              <w14:schemeClr w14:val="tx1"/>
            </w14:solidFill>
          </w14:textFill>
        </w:rPr>
        <w:t>单位全部完成部门整体支出绩效自评工作，实现了预算单位全覆盖</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78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个</w:t>
      </w:r>
      <w:r>
        <w:rPr>
          <w:rFonts w:hint="eastAsia" w:eastAsia="仿宋_GB2312"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一级</w:t>
      </w:r>
      <w:r>
        <w:rPr>
          <w:rFonts w:hint="eastAsia" w:ascii="Times New Roman" w:hAnsi="Times New Roman" w:eastAsia="仿宋_GB2312" w:cs="Times New Roman"/>
          <w:color w:val="000000" w:themeColor="text1"/>
          <w:sz w:val="32"/>
          <w:szCs w:val="32"/>
          <w14:textFill>
            <w14:solidFill>
              <w14:schemeClr w14:val="tx1"/>
            </w14:solidFill>
          </w14:textFill>
        </w:rPr>
        <w:t>预算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w:t>
      </w:r>
      <w:r>
        <w:rPr>
          <w:rFonts w:hint="eastAsia" w:ascii="Times New Roman" w:hAnsi="Times New Roman" w:eastAsia="仿宋_GB2312" w:cs="Times New Roman"/>
          <w:color w:val="000000" w:themeColor="text1"/>
          <w:sz w:val="32"/>
          <w:szCs w:val="32"/>
          <w14:textFill>
            <w14:solidFill>
              <w14:schemeClr w14:val="tx1"/>
            </w14:solidFill>
          </w14:textFill>
        </w:rPr>
        <w:t>及二级单位的</w:t>
      </w:r>
      <w:r>
        <w:rPr>
          <w:rFonts w:hint="eastAsia" w:eastAsia="仿宋_GB2312" w:cs="Times New Roman"/>
          <w:color w:val="000000" w:themeColor="text1"/>
          <w:sz w:val="32"/>
          <w:szCs w:val="32"/>
          <w:lang w:val="en-US" w:eastAsia="zh-CN"/>
          <w14:textFill>
            <w14:solidFill>
              <w14:schemeClr w14:val="tx1"/>
            </w14:solidFill>
          </w14:textFill>
        </w:rPr>
        <w:t>335</w:t>
      </w:r>
      <w:r>
        <w:rPr>
          <w:rFonts w:hint="eastAsia" w:ascii="Times New Roman" w:hAnsi="Times New Roman" w:eastAsia="仿宋_GB2312" w:cs="Times New Roman"/>
          <w:color w:val="000000" w:themeColor="text1"/>
          <w:sz w:val="32"/>
          <w:szCs w:val="32"/>
          <w14:textFill>
            <w14:solidFill>
              <w14:schemeClr w14:val="tx1"/>
            </w14:solidFill>
          </w14:textFill>
        </w:rPr>
        <w:t>个项目开展的绩效自评金额占部门年初预算项目金额达100%，实现了</w:t>
      </w:r>
      <w:r>
        <w:rPr>
          <w:rFonts w:hint="eastAsia" w:eastAsia="仿宋_GB2312"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直所有</w:t>
      </w:r>
      <w:r>
        <w:rPr>
          <w:rFonts w:hint="eastAsia" w:ascii="Times New Roman" w:hAnsi="Times New Roman" w:eastAsia="仿宋_GB2312" w:cs="Times New Roman"/>
          <w:sz w:val="32"/>
          <w:szCs w:val="32"/>
        </w:rPr>
        <w:t>预算部门单位整体支出和项目支出自评的双重全覆</w:t>
      </w:r>
      <w:bookmarkStart w:id="0" w:name="_GoBack"/>
      <w:bookmarkEnd w:id="0"/>
      <w:r>
        <w:rPr>
          <w:rFonts w:hint="eastAsia" w:ascii="Times New Roman" w:hAnsi="Times New Roman" w:eastAsia="仿宋_GB2312" w:cs="Times New Roman"/>
          <w:sz w:val="32"/>
          <w:szCs w:val="32"/>
        </w:rPr>
        <w:t>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部门自评结果在202</w:t>
      </w:r>
      <w:r>
        <w:rPr>
          <w:rFonts w:hint="eastAsia" w:eastAsia="仿宋_GB2312"/>
          <w:sz w:val="32"/>
          <w:szCs w:val="32"/>
          <w:lang w:val="en-US" w:eastAsia="zh-CN"/>
        </w:rPr>
        <w:t>3</w:t>
      </w:r>
      <w:r>
        <w:rPr>
          <w:rFonts w:ascii="Times New Roman" w:hAnsi="Times New Roman" w:eastAsia="仿宋_GB2312"/>
          <w:sz w:val="32"/>
          <w:szCs w:val="32"/>
        </w:rPr>
        <w:t>年部门预算申报中作为重要影响因素。</w:t>
      </w:r>
      <w:r>
        <w:rPr>
          <w:rFonts w:hint="eastAsia" w:eastAsia="仿宋_GB2312"/>
          <w:sz w:val="32"/>
          <w:szCs w:val="32"/>
          <w:lang w:eastAsia="zh-CN"/>
        </w:rPr>
        <w:t>同时</w:t>
      </w:r>
      <w:r>
        <w:rPr>
          <w:rFonts w:hint="eastAsia" w:ascii="Times New Roman" w:hAnsi="Times New Roman" w:eastAsia="仿宋_GB2312" w:cs="Times New Roman"/>
          <w:sz w:val="32"/>
          <w:szCs w:val="32"/>
        </w:rPr>
        <w:t>，</w:t>
      </w:r>
      <w:r>
        <w:rPr>
          <w:rFonts w:ascii="Times New Roman" w:hAnsi="Times New Roman" w:eastAsia="仿宋_GB2312"/>
          <w:sz w:val="32"/>
          <w:szCs w:val="32"/>
        </w:rPr>
        <w:t>建立了自评档案，并将自评结果在部门门户网站进行了公开。</w:t>
      </w:r>
    </w:p>
    <w:p>
      <w:pPr>
        <w:spacing w:line="62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（三）重点评价工作进一步规范化</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持续完善财政重点绩效评价工作机制，创新评价方法，提高评价质量。及时印发《</w:t>
      </w:r>
      <w:r>
        <w:rPr>
          <w:rFonts w:hint="eastAsia" w:ascii="Times New Roman" w:hAnsi="Times New Roman" w:eastAsia="仿宋_GB2312"/>
          <w:sz w:val="32"/>
          <w:szCs w:val="32"/>
        </w:rPr>
        <w:t>县财政局关于开展2022年度县本级财政支出绩效评价工作的通知</w:t>
      </w:r>
      <w:r>
        <w:rPr>
          <w:rFonts w:ascii="Times New Roman" w:hAnsi="Times New Roman" w:eastAsia="仿宋_GB2312" w:cs="Times New Roman"/>
          <w:sz w:val="32"/>
          <w:szCs w:val="32"/>
        </w:rPr>
        <w:t>》，将</w:t>
      </w:r>
      <w:r>
        <w:rPr>
          <w:rFonts w:hint="eastAsia" w:eastAsia="仿宋_GB2312" w:cs="Times New Roman"/>
          <w:sz w:val="32"/>
          <w:szCs w:val="32"/>
          <w:lang w:val="en-US" w:eastAsia="zh-CN"/>
        </w:rPr>
        <w:t>24</w:t>
      </w:r>
      <w:r>
        <w:rPr>
          <w:rFonts w:ascii="Times New Roman" w:hAnsi="Times New Roman" w:eastAsia="仿宋_GB2312" w:cs="Times New Roman"/>
          <w:sz w:val="32"/>
          <w:szCs w:val="32"/>
        </w:rPr>
        <w:t>个部门整体支出和</w:t>
      </w:r>
      <w:r>
        <w:rPr>
          <w:rFonts w:hint="eastAsia"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个项目支出全部纳入重点绩效评价范围，</w:t>
      </w:r>
      <w:r>
        <w:rPr>
          <w:rFonts w:hint="default" w:ascii="Times New Roman" w:hAnsi="Times New Roman" w:eastAsia="仿宋_GB2312" w:cs="Times New Roman"/>
          <w:sz w:val="32"/>
          <w:szCs w:val="32"/>
        </w:rPr>
        <w:t>涵盖</w:t>
      </w:r>
      <w:r>
        <w:rPr>
          <w:rFonts w:hint="eastAsia" w:ascii="Times New Roman" w:hAnsi="Times New Roman" w:eastAsia="仿宋_GB2312" w:cs="Times New Roman"/>
          <w:sz w:val="32"/>
          <w:szCs w:val="32"/>
        </w:rPr>
        <w:t>脱贫攻坚、</w:t>
      </w:r>
      <w:r>
        <w:rPr>
          <w:rFonts w:hint="eastAsia" w:ascii="Times New Roman" w:hAnsi="Times New Roman" w:eastAsia="仿宋_GB2312" w:cs="Times New Roman"/>
          <w:sz w:val="32"/>
          <w:szCs w:val="32"/>
          <w:lang w:eastAsia="zh-CN"/>
        </w:rPr>
        <w:t>文化旅游、</w:t>
      </w:r>
      <w:r>
        <w:rPr>
          <w:rFonts w:hint="eastAsia"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eastAsia="zh-CN"/>
        </w:rPr>
        <w:t>社保基金、债券资金、</w:t>
      </w:r>
      <w:r>
        <w:rPr>
          <w:rFonts w:hint="eastAsia" w:ascii="Times New Roman" w:hAnsi="Times New Roman" w:eastAsia="仿宋_GB2312" w:cs="Times New Roman"/>
          <w:sz w:val="32"/>
          <w:szCs w:val="32"/>
        </w:rPr>
        <w:t>城市环卫</w:t>
      </w:r>
      <w:r>
        <w:rPr>
          <w:rFonts w:hint="default" w:ascii="Times New Roman" w:hAnsi="Times New Roman" w:eastAsia="仿宋_GB2312" w:cs="Times New Roman"/>
          <w:sz w:val="32"/>
          <w:szCs w:val="32"/>
        </w:rPr>
        <w:t>、保障性住房建设</w:t>
      </w:r>
      <w:r>
        <w:rPr>
          <w:rFonts w:hint="eastAsia" w:ascii="Times New Roman" w:hAnsi="Times New Roman" w:eastAsia="仿宋_GB2312" w:cs="Times New Roman"/>
          <w:sz w:val="32"/>
          <w:szCs w:val="32"/>
        </w:rPr>
        <w:t>等重点民生项目</w:t>
      </w:r>
      <w:r>
        <w:rPr>
          <w:rFonts w:hint="default" w:ascii="Times New Roman" w:hAnsi="Times New Roman" w:eastAsia="仿宋_GB2312" w:cs="Times New Roman"/>
          <w:sz w:val="32"/>
          <w:szCs w:val="32"/>
        </w:rPr>
        <w:t>，涉及资金</w:t>
      </w:r>
      <w:r>
        <w:rPr>
          <w:rFonts w:hint="eastAsia" w:eastAsia="仿宋_GB2312" w:cs="Times New Roman"/>
          <w:sz w:val="32"/>
          <w:szCs w:val="32"/>
          <w:lang w:val="en-US" w:eastAsia="zh-CN"/>
        </w:rPr>
        <w:t>50430</w:t>
      </w:r>
      <w:r>
        <w:rPr>
          <w:rFonts w:hint="default" w:ascii="Times New Roman" w:hAnsi="Times New Roman" w:eastAsia="仿宋_GB2312" w:cs="Times New Roman"/>
          <w:sz w:val="32"/>
          <w:szCs w:val="32"/>
        </w:rPr>
        <w:t>万元。采取询价方式选取</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家第三方中介机构，有序推进重点绩效评价，其中：</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个部门中优秀</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个、良好</w:t>
      </w:r>
      <w:r>
        <w:rPr>
          <w:rFonts w:hint="eastAsia"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个项目中优秀</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个、良好</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个、中</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ascii="Times New Roman" w:hAnsi="Times New Roman" w:eastAsia="仿宋_GB2312"/>
          <w:sz w:val="32"/>
          <w:szCs w:val="32"/>
        </w:rPr>
        <w:t>所有评价结果反馈预算部门和单位，各部门和单位按照反馈结果进行认真整改。</w:t>
      </w:r>
    </w:p>
    <w:p>
      <w:pPr>
        <w:numPr>
          <w:ilvl w:val="0"/>
          <w:numId w:val="0"/>
        </w:numPr>
        <w:ind w:leftChars="177"/>
        <w:jc w:val="left"/>
        <w:rPr>
          <w:rFonts w:hint="eastAsia" w:ascii="Times New Roman" w:hAnsi="Times New Roman" w:eastAsia="楷体_GB2312" w:cs="Times New Roman"/>
          <w:b/>
          <w:color w:val="000000"/>
          <w:sz w:val="32"/>
          <w:szCs w:val="32"/>
          <w:lang w:eastAsia="zh-CN"/>
        </w:rPr>
      </w:pPr>
      <w:r>
        <w:rPr>
          <w:rFonts w:ascii="Times New Roman" w:hAnsi="Times New Roman" w:eastAsia="楷体_GB2312"/>
          <w:b/>
          <w:color w:val="000000"/>
          <w:sz w:val="32"/>
          <w:szCs w:val="32"/>
        </w:rPr>
        <w:t>（四）</w:t>
      </w:r>
      <w:r>
        <w:rPr>
          <w:rFonts w:hint="eastAsia" w:ascii="Times New Roman" w:hAnsi="Times New Roman" w:eastAsia="楷体_GB2312" w:cs="Times New Roman"/>
          <w:b/>
          <w:color w:val="000000"/>
          <w:sz w:val="32"/>
          <w:szCs w:val="32"/>
          <w:lang w:eastAsia="zh-CN"/>
        </w:rPr>
        <w:t>健全预算管理标准化体系</w:t>
      </w:r>
    </w:p>
    <w:p>
      <w:pPr>
        <w:spacing w:line="620" w:lineRule="exact"/>
        <w:ind w:firstLine="640" w:firstLineChars="200"/>
        <w:rPr>
          <w:rFonts w:ascii="Times New Roman" w:hAnsi="Times New Roman" w:eastAsia="楷体_GB2312"/>
          <w:b/>
          <w:color w:val="000000"/>
          <w:sz w:val="32"/>
          <w:szCs w:val="32"/>
        </w:rPr>
      </w:pPr>
      <w:r>
        <w:rPr>
          <w:rFonts w:hint="eastAsia"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推进</w:t>
      </w:r>
      <w:r>
        <w:rPr>
          <w:rFonts w:hint="eastAsia" w:eastAsia="仿宋_GB2312" w:cs="Times New Roman"/>
          <w:sz w:val="32"/>
          <w:szCs w:val="32"/>
          <w:lang w:val="en-US" w:eastAsia="zh-CN"/>
        </w:rPr>
        <w:t>县</w:t>
      </w:r>
      <w:r>
        <w:rPr>
          <w:rFonts w:hint="eastAsia" w:ascii="Times New Roman" w:hAnsi="Times New Roman" w:eastAsia="仿宋_GB2312" w:cs="Times New Roman"/>
          <w:sz w:val="32"/>
          <w:szCs w:val="32"/>
        </w:rPr>
        <w:t>直部门绩效指标标准体系建设，</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rPr>
        <w:t>采</w:t>
      </w:r>
      <w:r>
        <w:rPr>
          <w:rFonts w:hint="default" w:ascii="Times New Roman" w:hAnsi="Times New Roman" w:eastAsia="仿宋_GB2312" w:cs="Times New Roman"/>
          <w:sz w:val="32"/>
          <w:szCs w:val="32"/>
        </w:rPr>
        <w:t>取</w:t>
      </w:r>
      <w:r>
        <w:rPr>
          <w:rFonts w:hint="eastAsia" w:ascii="Times New Roman" w:hAnsi="Times New Roman" w:eastAsia="仿宋_GB2312" w:cs="Times New Roman"/>
          <w:sz w:val="32"/>
          <w:szCs w:val="32"/>
        </w:rPr>
        <w:t>指定和自荐相结合的方式，选定</w:t>
      </w:r>
      <w:r>
        <w:rPr>
          <w:rFonts w:hint="eastAsia" w:ascii="Times New Roman" w:hAnsi="Times New Roman" w:eastAsia="仿宋_GB2312" w:cs="Times New Roman"/>
          <w:sz w:val="32"/>
          <w:szCs w:val="32"/>
          <w:lang w:eastAsia="zh-CN"/>
        </w:rPr>
        <w:t>教育、民政、公安等十多个</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预算单位</w:t>
      </w:r>
      <w:r>
        <w:rPr>
          <w:rFonts w:hint="eastAsia" w:ascii="Times New Roman" w:hAnsi="Times New Roman" w:eastAsia="仿宋_GB2312" w:cs="Times New Roman"/>
          <w:sz w:val="32"/>
          <w:szCs w:val="32"/>
        </w:rPr>
        <w:t>，构建分行业、分领域、分层次的核心绩效指标和标准体系，</w:t>
      </w:r>
      <w:r>
        <w:rPr>
          <w:rFonts w:hint="default" w:ascii="Times New Roman" w:hAnsi="Times New Roman" w:eastAsia="仿宋_GB2312" w:cs="Times New Roman"/>
          <w:sz w:val="32"/>
          <w:szCs w:val="32"/>
        </w:rPr>
        <w:t>实现</w:t>
      </w:r>
      <w:r>
        <w:rPr>
          <w:rFonts w:hint="eastAsia" w:ascii="Times New Roman" w:hAnsi="Times New Roman" w:eastAsia="仿宋_GB2312" w:cs="Times New Roman"/>
          <w:sz w:val="32"/>
          <w:szCs w:val="32"/>
        </w:rPr>
        <w:t>科学合理、细化量化、可比可测、动态调整、共建共享</w:t>
      </w:r>
      <w:r>
        <w:rPr>
          <w:rFonts w:hint="eastAsia" w:ascii="Times New Roman" w:hAnsi="Times New Roman" w:eastAsia="仿宋_GB2312" w:cs="Times New Roman"/>
          <w:sz w:val="32"/>
          <w:szCs w:val="32"/>
          <w:lang w:eastAsia="zh-CN"/>
        </w:rPr>
        <w:t>。截止目前</w:t>
      </w:r>
      <w:r>
        <w:rPr>
          <w:rFonts w:hint="eastAsia" w:eastAsia="仿宋_GB2312" w:cs="Times New Roman"/>
          <w:sz w:val="32"/>
          <w:szCs w:val="32"/>
          <w:lang w:val="en-US" w:eastAsia="zh-CN"/>
        </w:rPr>
        <w:t>医疗保障局、</w:t>
      </w:r>
      <w:r>
        <w:rPr>
          <w:rFonts w:hint="eastAsia" w:ascii="Times New Roman" w:hAnsi="Times New Roman" w:eastAsia="仿宋_GB2312" w:cs="Times New Roman"/>
          <w:sz w:val="32"/>
          <w:szCs w:val="32"/>
          <w:lang w:val="en-US" w:eastAsia="zh-CN"/>
        </w:rPr>
        <w:t>教育局、交通</w:t>
      </w:r>
      <w:r>
        <w:rPr>
          <w:rFonts w:hint="eastAsia" w:eastAsia="仿宋_GB2312" w:cs="Times New Roman"/>
          <w:sz w:val="32"/>
          <w:szCs w:val="32"/>
          <w:lang w:val="en-US" w:eastAsia="zh-CN"/>
        </w:rPr>
        <w:t>运输</w:t>
      </w:r>
      <w:r>
        <w:rPr>
          <w:rFonts w:hint="eastAsia" w:ascii="Times New Roman" w:hAnsi="Times New Roman" w:eastAsia="仿宋_GB2312" w:cs="Times New Roman"/>
          <w:sz w:val="32"/>
          <w:szCs w:val="32"/>
          <w:lang w:val="en-US" w:eastAsia="zh-CN"/>
        </w:rPr>
        <w:t>局、</w:t>
      </w:r>
      <w:r>
        <w:rPr>
          <w:rFonts w:hint="eastAsia" w:eastAsia="仿宋_GB2312" w:cs="Times New Roman"/>
          <w:sz w:val="32"/>
          <w:szCs w:val="32"/>
          <w:lang w:val="en-US" w:eastAsia="zh-CN"/>
        </w:rPr>
        <w:t>自然资源和规划局、</w:t>
      </w:r>
      <w:r>
        <w:rPr>
          <w:rFonts w:hint="eastAsia" w:ascii="Times New Roman" w:hAnsi="Times New Roman" w:eastAsia="仿宋_GB2312" w:cs="Times New Roman"/>
          <w:sz w:val="32"/>
          <w:szCs w:val="32"/>
          <w:lang w:val="en-US" w:eastAsia="zh-CN"/>
        </w:rPr>
        <w:t>经信局、水利</w:t>
      </w:r>
      <w:r>
        <w:rPr>
          <w:rFonts w:hint="eastAsia" w:eastAsia="仿宋_GB2312" w:cs="Times New Roman"/>
          <w:sz w:val="32"/>
          <w:szCs w:val="32"/>
          <w:lang w:val="en-US" w:eastAsia="zh-CN"/>
        </w:rPr>
        <w:t>和湖泊</w:t>
      </w:r>
      <w:r>
        <w:rPr>
          <w:rFonts w:hint="eastAsia" w:ascii="Times New Roman" w:hAnsi="Times New Roman" w:eastAsia="仿宋_GB2312" w:cs="Times New Roman"/>
          <w:sz w:val="32"/>
          <w:szCs w:val="32"/>
          <w:lang w:val="en-US" w:eastAsia="zh-CN"/>
        </w:rPr>
        <w:t>局、公安局、农业农村局、财政局、民政局等1</w:t>
      </w:r>
      <w:r>
        <w:rPr>
          <w:rFonts w:hint="eastAsia"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个单位已根据对口省厅的绩效指标体系完成本单位绩效</w:t>
      </w:r>
      <w:r>
        <w:rPr>
          <w:rFonts w:hint="eastAsia" w:ascii="Times New Roman" w:hAnsi="Times New Roman" w:eastAsia="仿宋_GB2312" w:cs="Times New Roman"/>
          <w:sz w:val="32"/>
          <w:szCs w:val="32"/>
        </w:rPr>
        <w:t>指标</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标准体系</w:t>
      </w:r>
      <w:r>
        <w:rPr>
          <w:rFonts w:hint="eastAsia" w:ascii="Times New Roman" w:hAnsi="Times New Roman" w:eastAsia="仿宋_GB2312" w:cs="Times New Roman"/>
          <w:sz w:val="32"/>
          <w:szCs w:val="32"/>
          <w:lang w:eastAsia="zh-CN"/>
        </w:rPr>
        <w:t>建设。</w:t>
      </w:r>
    </w:p>
    <w:p>
      <w:pPr>
        <w:spacing w:line="62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（五）预算管理与绩效管理逐步一体化</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更加注重结果导向，强调成本效益，硬化预算约束，一是坚持绩效目标管理与部门预算编制同步布置、同步审核、同步批复。202</w:t>
      </w:r>
      <w:r>
        <w:rPr>
          <w:rFonts w:hint="eastAsia" w:eastAsia="仿宋_GB2312"/>
          <w:sz w:val="32"/>
          <w:szCs w:val="32"/>
          <w:lang w:val="en-US" w:eastAsia="zh-CN"/>
        </w:rPr>
        <w:t>3</w:t>
      </w:r>
      <w:r>
        <w:rPr>
          <w:rFonts w:ascii="Times New Roman" w:hAnsi="Times New Roman" w:eastAsia="仿宋_GB2312"/>
          <w:sz w:val="32"/>
          <w:szCs w:val="32"/>
        </w:rPr>
        <w:t>年度部门预算编制中，已将部门整体绩效目标和项目支出绩效目标申报嵌入部门预算系统之中，从单纯的事后绩效评价转变为事前</w:t>
      </w:r>
      <w:r>
        <w:rPr>
          <w:rFonts w:hint="eastAsia" w:eastAsia="仿宋_GB2312"/>
          <w:sz w:val="32"/>
          <w:szCs w:val="32"/>
          <w:lang w:val="en-US" w:eastAsia="zh-CN"/>
        </w:rPr>
        <w:t>绩效评估、</w:t>
      </w:r>
      <w:r>
        <w:rPr>
          <w:rFonts w:ascii="Times New Roman" w:hAnsi="Times New Roman" w:eastAsia="仿宋_GB2312"/>
          <w:sz w:val="32"/>
          <w:szCs w:val="32"/>
        </w:rPr>
        <w:t>绩效目标管理相结合的预算绩效管理方式。促使预算编制更加科学、更加规范，有利于优化财政支出结构，科学切分财政蛋糕，发挥财政支出效益更大化；二是坚持财政决算与绩效运行结果信息同步公开，增强财政资金分配使用结果透明度，倒逼各预算单位加强预算绩效全过程、全方位管理，提高财政资金的配置效率和财政支出使用效益。</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M4OWVlZjI0N2M2YTc5YzE3NWM0ZjA1ODViYjkifQ=="/>
  </w:docVars>
  <w:rsids>
    <w:rsidRoot w:val="00881751"/>
    <w:rsid w:val="001B4774"/>
    <w:rsid w:val="00271FD6"/>
    <w:rsid w:val="00277DE8"/>
    <w:rsid w:val="00881751"/>
    <w:rsid w:val="00ED2CD8"/>
    <w:rsid w:val="10EB5DF0"/>
    <w:rsid w:val="15237361"/>
    <w:rsid w:val="1578066D"/>
    <w:rsid w:val="1DDF6BFC"/>
    <w:rsid w:val="2E424D4B"/>
    <w:rsid w:val="4018153B"/>
    <w:rsid w:val="5D5C4DB4"/>
    <w:rsid w:val="668A06BB"/>
    <w:rsid w:val="6953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1595</Words>
  <Characters>1648</Characters>
  <Lines>1</Lines>
  <Paragraphs>2</Paragraphs>
  <TotalTime>5</TotalTime>
  <ScaleCrop>false</ScaleCrop>
  <LinksUpToDate>false</LinksUpToDate>
  <CharactersWithSpaces>1660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2020-01-15T09:57:00Z</dcterms:created>
  <dc:creator>Administrator</dc:creator>
  <cp:lastModifiedBy>M</cp:lastModifiedBy>
  <dcterms:modified xsi:type="dcterms:W3CDTF">2024-02-06T09:39:33Z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5E7619EF524C4705B93952CAC9908EA5_13</vt:lpwstr>
  </property>
</Properties>
</file>