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144"/>
          <w:szCs w:val="1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default" w:ascii="黑体" w:hAnsi="黑体" w:eastAsia="黑体" w:cs="黑体"/>
          <w:b/>
          <w:bCs/>
          <w:kern w:val="0"/>
          <w:sz w:val="96"/>
          <w:szCs w:val="96"/>
          <w:lang w:val="en-US" w:eastAsia="zh-CN" w:bidi="ar"/>
        </w:rPr>
      </w:pPr>
      <w:r>
        <w:rPr>
          <w:rFonts w:hint="eastAsia" w:ascii="黑体" w:hAnsi="黑体" w:eastAsia="黑体" w:cs="黑体"/>
          <w:b/>
          <w:bCs/>
          <w:kern w:val="0"/>
          <w:sz w:val="96"/>
          <w:szCs w:val="96"/>
          <w:lang w:val="en-US" w:eastAsia="zh-CN" w:bidi="ar"/>
        </w:rPr>
        <w:t>一、重大政策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56"/>
          <w:szCs w:val="5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56"/>
          <w:szCs w:val="5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both"/>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both"/>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both"/>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both"/>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both"/>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kern w:val="0"/>
          <w:sz w:val="44"/>
          <w:szCs w:val="44"/>
          <w:lang w:val="en-US" w:eastAsia="zh-CN" w:bidi="ar"/>
        </w:rPr>
      </w:pPr>
      <w:r>
        <w:rPr>
          <w:rFonts w:hint="eastAsia" w:ascii="黑体" w:hAnsi="黑体" w:eastAsia="黑体" w:cs="黑体"/>
          <w:kern w:val="0"/>
          <w:sz w:val="44"/>
          <w:szCs w:val="44"/>
          <w:lang w:val="en-US" w:eastAsia="zh-CN" w:bidi="ar"/>
        </w:rPr>
        <w:t>县人民政府办公室关于印发 2023年度工业经济高质量发展实施方案的通知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450" w:beforeAutospacing="0" w:after="226" w:afterAutospacing="0" w:line="480" w:lineRule="atLeast"/>
        <w:ind w:left="0" w:right="0" w:firstLine="0"/>
        <w:jc w:val="both"/>
        <w:textAlignment w:val="auto"/>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jc w:val="left"/>
        <w:rPr>
          <w:sz w:val="24"/>
          <w:szCs w:val="24"/>
        </w:rPr>
      </w:pPr>
      <w:r>
        <w:rPr>
          <w:sz w:val="24"/>
          <w:szCs w:val="24"/>
        </w:rPr>
        <w:t>各镇人民政府、万福店农场，各风景名胜区、开发区管委会，县政府各部门：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《2023年度工业经济高质量发展实施方案》，现印发给你们，请遵照执行。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r>
        <w:rPr>
          <w:sz w:val="24"/>
          <w:szCs w:val="24"/>
        </w:rPr>
        <w:t>2023年4月3日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center"/>
        <w:rPr>
          <w:sz w:val="24"/>
          <w:szCs w:val="24"/>
        </w:rPr>
      </w:pPr>
      <w:r>
        <w:rPr>
          <w:rFonts w:hint="eastAsia" w:ascii="宋体" w:hAnsi="宋体" w:eastAsia="宋体" w:cs="宋体"/>
          <w:sz w:val="36"/>
          <w:szCs w:val="36"/>
        </w:rPr>
        <w:t>2023年度工业经济高质量发展实施方案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center"/>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为加快推动随县工业经济高质量发展，结合我县实际，特制定如下方案。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一、总体思路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坚持以习近平新时代中国特色社会主义思想为指导，把握“稳字当头、稳中求进”工作总基调，落实工业经济“123456”发展新思路，即紧扣“高质量发展”一个主题，锚定“县域再进位，中部争百强”两个目标，做大“经济开发区、石材循环经济产业园、国家现代农业产业园”三大平台，强化“招商引资、项目建设、产业升级、营商环境”四个支撑，实现“总量、数量、体量、份量、贡献量”五大突破，实施“传统产业提升、特色产业强链、新兴产业壮大、企业技改提能、中小企业成长、企业信用培植”六大工程，围绕“5511”产业体系坚定不移深化“三抓一优”，不断提升工业经济发展水平，为实现争创“中部百强县”的战略目标提供坚强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二、主要目标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力争在2023年实现“七个突破”：规模以上工业总产值增长12％，突破640亿元；社会消费品零售总额增长12％，突破100亿元，其中限额以上社会消费品零售总额突破30亿元；外贸出口突破6．5亿美元；新增规模以上工业企业突破26家，新增限额以上商贸单位突破25家；培育高新技术企业突破17家，国家级</w:t>
      </w:r>
      <w:r>
        <w:rPr>
          <w:rFonts w:hint="eastAsia"/>
          <w:sz w:val="24"/>
          <w:szCs w:val="24"/>
          <w:lang w:eastAsia="zh-CN"/>
        </w:rPr>
        <w:t>专精特新“小巨人”</w:t>
      </w:r>
      <w:r>
        <w:rPr>
          <w:sz w:val="24"/>
          <w:szCs w:val="24"/>
        </w:rPr>
        <w:t>企业1家，省级“专精特新”中小企业4家，制造业单项冠军企业2家；税收超2000万元工业制造业企业突破2家，税收超1000万元工业制造业企业突破5家；技改投资占工业投资比重突破30％。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三、重点任务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一）精准实施招商引资。围绕构建“5511”产业体系，深化产业链招商、园区招商，平台招商，大力实施“回归工程”，科创园、中小企业创业园“满园计划”，举办形式多样的联谊、推介活动，促进企业回乡、人才回归、资金回流。推动随县（武汉）离岸科创中心规范运营，孵化一批注册在随县、税收在随县、工作在武汉的科创企业。力争全年招引亿元以上项目50个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二）全力推动项目建设。聚焦项目建设主战场，优化完善“周会商、月通报、季评比、年考核”工作机制，进一步健全项目“签约—开工—建设—投产”全生命周期服务体系，强化日常调度和要素服务保障，着力解决项目建设审批、用地、用工、资金等实际困难，确保完成固定资产投资224亿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三）做大三大平台。坚持“部门围着园区转、园区围着企业转、企业围着项目转”，整合提升“一区两园”能级，加快园区基础设施提档升级和循环化改造，强化综合承载功能。推进以先进制造业为方向的县经济开发区和以特色产业为方向的石材产业园、农产品深加工产业园做大做强，力争2023年县经济开发区规模以上工业总产值突破135亿元，石材产业园产值突破300亿元，农产品深加工产业园产值突破250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四）实施传统产业提升工程。用好随县“稻米油之乡”金字招牌，打造好“两香一油”品牌，以湖北现代农业、意亚食品等公司为依托，培育产业集群，重点推进米糠油提取谷维素－阿魏酸脂研发产业化项目、生猪屠宰分割、熟食加工与冷链物流产业链项目投产达效，力争粮油食品加工产业2023年产值突破85亿元。加大厉山纺织工业园升级改造，打造服装纺织完整产业链，力争纺织服装产业2023年产值突破50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五）实施特色产业强链工程。推进香菇产业集群发展，以产业基地为载体、产业集群为依托，打造区域核心品牌。重点依托裕国菇业、耀兴大海等龙头企业，推动随县香菇精深加工及出口，构建具有全国竞争力的香菇生产加工出口基地和产品集散地，力争2023年产值突破105亿元。推进石材全产业链有序发展，完成花岗岩明阳塘矿区和钾长石矿权出让，启动建设华中石材博览园、钾长石科技产业园，推动中润石材二期、鸿盛石业、华亿丰综合利用等项目建成投产，支持石材企业技改升级、兼并重组，争取更多市场份额，力争石材产业产值突破300亿元。推进专汽及零部件产业错位发展，加大企业技改和扩能力度，重点发展房车、电力应急车、环卫车和关键零部件，推动长沣（湖北）专用汽车制造、昊飞汽车年产八千吨房车零配件生产线等项目投产达效，力争2023年产值突破55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六）实施新兴产业壮大工程。围绕高端装备、生物医药、电子信息、新材料等领域，重点推动泰熠光电高端显示屏制造项目、坤石特种容器制造项目、福鑫钢化玻璃生产项目建设，力争先进制造业产值达到90亿元。加快发展新能源产业，优化风光水储等新能源产业布局，提升风电、光电规模，推进国能长源随县百万千瓦新能源多能互补项目、随县徐家湾抽水蓄能电站项目等一批新能源项目落地，努力建成绿色综合能源示范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七）实施企业技改提能工程。实施企业技改提能工程，聚焦新兴产业发展方向，大力实施“机器换人、设备换芯、生产换线”行动，推动工业智能化、绿色化、集群化、服务化、安全化转型，巩固提升传统产业发展动能。争取省、市技改政策支持，每年由县财政拿出专项资金支持技改项目，力争2023年工业技改投资占工业投资比重突破30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八）实施中小企业成长工程。实施企业择优扶强，遴选有发展潜力、有创新能力的企业，分别纳入专精特新、单项冠军企业培育库，提供有针对性地“专精特新”培育指导工作，力争新增国家级专精特新“小巨人”企业1家、省级“专精特新”中小企业4家、制造业单项冠军企业2家；加快企业进规培育，各部门加强协作，密切配合，严格落实会商制度，加强分类指导和全程帮扶，做好小微企业的定向培育、数据统计和申报进规工作，力争2023年新增规模以上工业企业突破26家。引导中小企业“走出去”发展创汇经济，力争新增出口备案企业突破20家，新增出口实绩企业6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（九）实施企业信用培植工程。进一步加强企业推介与企业辅导，推动中小微企业入库，遵循“存量控制，滚动推进”的工作方式，争取全县入库企业达到30家。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十）健全县域商业体系。实施县域商业建设行动。支持各镇（场、开发区）改造提升乡镇商贸中心、集贸市场、便民商店，增强县域商业服务能力，构建新型农村消费市场网络。力争2023年新建或改造提升乡镇商贸中心2个，县级物流配送中心1个。〖JP〗</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十一）推进企业科技创新。实施创新驱动发展战略，加大科技创新资金扶持，力争2023年高新技术企业累计达到30家、科技型中小企业达到120家，高新技术产业总产值达到160亿元，增加值38．5亿元，高新技术产业增加值占GDP比重达到12．5％，全年转化应用科技成果突破7项，技术合同成交额达到10亿元。〖JP〗</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十二）持续优化营商环境。持续深化“放管服”改革，进一步落实“领导带部门包企业”工作机制，认真开展“四个一”（“一企一策”和“一事一议”）服务，当好服务企业“有呼必应、无事不扰”的“店小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四、考核调度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（一）完善考核办法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1．按照县绩效办制定的考核指标体系，结合我县实际，对我县经济商务指标通过“规企产值”“新增规企个数”“限上社会消费品零售总额”“新增限上商贸企业个数”“外贸出口额”五个指标进行考核。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2．规企产值和新增规企个数合并按100分计分，其中规企产值70分，新增规企30分；限额以上社零总额和新增限上商贸企业个数按100分计分，其中限额以上社零总额70分，新增限上商贸企业30分；外贸出口额按100分计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3．每季度对各镇（场、景区、开发区）经济商务指标按平均完成进度进行打分，以简报形式进行通报；年终按照绩效办制定的考核指标体系对各镇（场、景区、开发区）所承载的目标任务按百分制乘以权重进行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（二）建立调度机制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由县招商服务中心牵头，县发改、科经、财政、税务、统计等相关部门参加，每月3日、13日、23日组织一次会商调度活动，以“一企一策”现场办公形式和集中会议会商形式进行，主要对招商项目可行性进行论证，对项目建设、企业生产经营、工业经济商务运行中遇到的困难和问题进行会商研究。落实各部门责任分工，及时解决各环节的“急难愁盼”问题，注重实效、解决“难点”、打通“堵点”、消除“痛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五、政策支持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一）鼓励企业进规进限。支持引导经营能力强、效益好的小微企业等市场主体快成长上规模，对新纳入的规上工业企业、限上商贸企业、规模以上服务业，每户由县财政一次性奖励3万元，每净增一家规上、限上企业由县级财政补助镇（场、景区、开发区）工作经费1万元，补助县级主管部门工作经费1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二）加大技改支持力度。每年从财政资金安排500万元支持技改项目，凡新增设备投资额达500万元以上，在“湖北省工业和技术改造项目管理系统”平台上完成数据录入，且进入我县统计部门工业投资和技术改造项目库的技改项目，给予实际设备投资额5％的补贴，单个项目补贴最高不超过100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三）鼓励企业试点示范。对获得湖北省支柱产业细分领域隐形冠军的企业，县财政一次性奖励10万元；对获得国家级、省级专精特新“小巨人”的企业分别一次性奖励20万元、10万元；对获得国家级、省级智能制造试点示范企业的企业分别奖励20万元、10万元；对评定为湖北省信息化和工业化融合试点示范企业的企业一次性奖补10万元；持续推进“万企上云”工程，对获得省级上云标杆企业的企业，每家奖励5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四）鼓励企业多做贡献。对生产经营年度纳税达到500万元及以上的规上工业制造业企业（不含资源性企业），按照实际纳税额进行奖励，年纳税500－1000万元的奖励5万元，1000－2000万元的奖励10万元，2000万元以上的税收每增加1000万元增加奖励10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五）鼓励发展“飞地经济”。由乡镇引进落户开发区的企业，乡镇承担投入和兑现奖励的，所有经济指标及税收留成归属招引乡镇；不承担投入和兑现奖励的，所有经济指标归属招引乡镇，企业缴纳税收的地方留成部分30％归属招引乡镇，70％归属县人民政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（六）支持企业进入资本市场。对在主板上市的企业一次性奖励300万元，对在“新三板”挂牌且实现税收的企业给予一次性奖励50万元。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（七）支持市场体系建设。对于建成后达标使用的乡镇便民农贸市场，每个一次性奖励30万元。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八）支持企业拓展境外市场。自营出口企业每出口1美元奖励0．04元人民币（企业在享受我县与税收挂钩的奖励政策期间，不再享受此项政策），对首次新开口企业且出口额超过200万美元的另外给予一次性奖励2万元人民币。对新注册设立并实际投产的外资企业，直接利用外资500－1000万美元的，一次性奖励5万元；直接利用外资1000万美元及以上的，一次性奖励10万元，利用外资额需经省商务厅认定（企业股本含有国资性质的除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九）支持科技创新平台建设。对获得认定的产业技术研究院、重点实验室的主要参建企业给予奖励，其中国家级和省级的当年一次性分别奖励30万元、20万元；对获得认定的省级及以上产业创新联合体、科技成果转化中试研究基地一次性奖励10万元；对获得认定的省级及以上创新型企业、专业型研究所（公司）、企校联合创新中心、乡村振兴科技创新示范基地、知识产权示范企业，一次性奖励5万元；对获得认定的科技企业孵化器、众创空间给予奖励，其中国家级和省级的当年一次性分别奖励10万元、5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十）支持企业研发投入。对首次认定为高新技术企业的奖励5万元，重新认定为高新技术企业的奖励2万元。年度研发投入超过100万元（含），且完成年度研发费用加计扣除备案，并享受税前加计扣除政策的，按核定研发费用的2％给予奖励，最高不超过20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十一）鼓励企业产学研合作。对转化应用高等院校、科研院所或其他非产权关联企业及个人的科技成果投入生产的企业给予其相应补贴。属于技术交易的，依据其成果有效证件、技术交易合同、交易结算手续，按成果交易额（10万元以上）的10％给予补贴；属于技术入股的，依据其成果有效证件、协议文件、股权证明，按成果作价（或股权折算）出资额（10万元以上）的10％给予补贴；属于合作开发的，依据其成果有效证件、合作协议、支付凭证，按技术服务费的10％给予补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六、组织保障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一）提高思想认识。全县各地各部门要充分认识到做好2023年工业经济高质量发展工作的重要性，增强紧迫感、责任感和使命感，坚定信心、齐心协力、埋头苦干、狠抓落实，确保完成全年各项目标任务，促进全县工业经济平稳健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二）压实工作责任。各地各部门要根据工作方案确定的工作目标，认真研究分析，摸清底数，做到早谋划、早落实、早推进，细化工作任务，明确具体工作措施和工作完成时限，全面落实工作责任，做到目标到位、责任到位、措施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三）强化督察服务。加强对工业经济高质量发展的全过程服务，继续实施县级领导联系重点企业制度，组织开展专题调研督查工作，深入一线调研解决企业发展中遇到的难题，督促各职能部门履行助推工业发展政策落地的责任，形成共抓工业发展的强大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sz w:val="24"/>
          <w:szCs w:val="24"/>
        </w:rPr>
        <w:t>本方案自发布之日起执行，此前随县人民政府办公室印发的关于工业经济高质量发展的实施方案同时废止。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r>
        <w:rPr>
          <w:sz w:val="24"/>
          <w:szCs w:val="24"/>
        </w:rPr>
        <w:t>随县人民政府办公室  2023年4月3日印发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rPr>
          <w:sz w:val="24"/>
          <w:szCs w:val="24"/>
        </w:rPr>
      </w:pPr>
    </w:p>
    <w:p>
      <w:pPr>
        <w:pStyle w:val="2"/>
        <w:keepNext w:val="0"/>
        <w:keepLines w:val="0"/>
        <w:widowControl/>
        <w:suppressLineNumbers w:val="0"/>
        <w:spacing w:before="0" w:beforeAutospacing="0" w:line="315" w:lineRule="atLeast"/>
        <w:ind w:left="0" w:firstLine="0"/>
        <w:jc w:val="both"/>
        <w:rPr>
          <w:rFonts w:hint="default" w:ascii="sans-serif" w:hAnsi="sans-serif" w:eastAsia="sans-serif" w:cs="sans-serif"/>
          <w:i w:val="0"/>
          <w:iCs w:val="0"/>
          <w:caps w:val="0"/>
          <w:color w:val="000000"/>
          <w:spacing w:val="0"/>
          <w:sz w:val="27"/>
          <w:szCs w:val="27"/>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rFonts w:ascii="宋体" w:hAnsi="宋体" w:eastAsia="宋体" w:cs="宋体"/>
          <w:b/>
          <w:bCs/>
          <w:kern w:val="0"/>
          <w:sz w:val="42"/>
          <w:szCs w:val="4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30" w:lineRule="atLeast"/>
        <w:ind w:left="0" w:right="0"/>
        <w:jc w:val="center"/>
        <w:textAlignment w:val="auto"/>
        <w:rPr>
          <w:b/>
          <w:bCs/>
          <w:sz w:val="42"/>
          <w:szCs w:val="42"/>
        </w:rPr>
      </w:pPr>
      <w:r>
        <w:rPr>
          <w:rFonts w:ascii="宋体" w:hAnsi="宋体" w:eastAsia="宋体" w:cs="宋体"/>
          <w:b/>
          <w:bCs/>
          <w:kern w:val="0"/>
          <w:sz w:val="42"/>
          <w:szCs w:val="42"/>
          <w:lang w:val="en-US" w:eastAsia="zh-CN" w:bidi="ar"/>
        </w:rPr>
        <w:t>县人民政府办公室 关于印发随县政府投资项目管理办法的通知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jc w:val="center"/>
        <w:rPr>
          <w:sz w:val="24"/>
          <w:szCs w:val="24"/>
        </w:rPr>
      </w:pPr>
      <w:r>
        <w:rPr>
          <w:rFonts w:ascii="楷体_GB2312" w:eastAsia="楷体_GB2312" w:cs="楷体_GB2312"/>
          <w:sz w:val="31"/>
          <w:szCs w:val="31"/>
        </w:rPr>
        <w:t>（随县政办发〔2023〕13号）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jc w:val="center"/>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jc w:val="left"/>
        <w:rPr>
          <w:sz w:val="24"/>
          <w:szCs w:val="24"/>
        </w:rPr>
      </w:pPr>
      <w:r>
        <w:rPr>
          <w:rFonts w:ascii="仿宋_GB2312" w:eastAsia="仿宋_GB2312" w:cs="仿宋_GB2312"/>
          <w:sz w:val="31"/>
          <w:szCs w:val="31"/>
        </w:rPr>
        <w:t>各镇人民政府、万福店农场，各风景名胜区、开发区管委会，县政府各部门：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《随县政府投资项目管理办法》已经县人民政府同意，现印发给你们，请遵照执行。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r>
        <w:rPr>
          <w:rFonts w:hint="default" w:ascii="仿宋_GB2312" w:eastAsia="仿宋_GB2312" w:cs="仿宋_GB2312"/>
          <w:sz w:val="31"/>
          <w:szCs w:val="31"/>
        </w:rPr>
        <w:t>2023年6月29日    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center"/>
        <w:rPr>
          <w:sz w:val="24"/>
          <w:szCs w:val="24"/>
        </w:rPr>
      </w:pPr>
      <w:r>
        <w:rPr>
          <w:rFonts w:hint="eastAsia" w:ascii="宋体" w:hAnsi="宋体" w:eastAsia="宋体" w:cs="宋体"/>
          <w:sz w:val="36"/>
          <w:szCs w:val="36"/>
        </w:rPr>
        <w:t>随县政府投资项目管理办法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center"/>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第一章　总则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一条为进一步加强政府投资项目管理，不断提高政府投资项目管理水平，增进投资决策科学化、民主化，增强项目可行性、可操作性，降低投资成本、防范投资风险、预防投资腐败和提高投资效益，结合随县实际，制定本管理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条本办法所称的政府投资项目，是指财政预算内工程建设项目，国有资本占控股地位或者主导地位的企业、政府投融资平台公司投资的重点工程建设项目，政府以特殊国有资源和优惠政策与社会资本合作建设的公共工程项目，贯彻落实国家重大政策措施情况的工程建设项目，其他涉及国家战略和公共安全、重大社会公共利益的公共工程项目。上级投资补助和贷款贴息方式的政府投资项目，按照有关规定执行，但需报经县政府同意后方可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三条政府投资应当符合国民经济和社会发展规划，坚持科学统筹、突出重点、量力而行、公开透明、注重实效的原则，体现政府经济调节、市场监管、社会管理和公共服务职能，推进基本公共服务均等化和优化经济结构，促进经济社会全面协调可持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第四条各行业主管部门应当编制行业发展规划，建立本行业的项目储备库。县发改局结合各行业的项目储备库，建立全县政府投资项目储备库，作为项目决策和政府投资计划安排的重要依据。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县发改、财政、审计、住建等部门及其他与政府投资项目建设有关的单位和个人应当配合并协助做好政府投资项目管理工作，并各自承担相应的管理责任。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第二章　计划编制和项目审批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五条政府投资项目实行年度计划管理和中长期储备制度。各行业主管部门于每年9月底前编制行业发展规划，建立本行业的项目储备库，并向县发改局提出下一年度项目投资计划。县发改局和县财政局等部门于每年第四季度拟定下一年度政府投资计划，报县政府常务会审议。政府投资项目储备库实行常年筛选、动态跟踪、滚动储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六条年度政府投资项目计划经批准后，县发改局应当及时向各项目业主下达投资计划，并将投资计划抄送县审计局备案。项目投资计划一经批准，必须严格执行。计划执行过程中，确需调整年度政府投资额或增减开工项目的，由建设项目单位提出申请，报县政府审批后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第七条政府投资项目应当由建设单位按照下列规定履行审批程序。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（一）总投资500万元以上（含500万元）的，应当报送项目建议书、可行性研究报告和初步设计，送县发改局审查，县政府审批；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（二）总投资200万元以上（含200万元）500万元以下的，应当报送可行性研究报告和初步设计，送县发改局审查，县政府审批；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（三）总投资50万元以上（含50万元）200万元以下的，应当报送初步设计，送县发改局审查，县政府审批。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八条项目建议书、项目可行性研究报告可由建设单位自行编制，或委托符合资质要求的咨询机构编制；项目初步设计由建设单位委托符合资质要求的咨询机构编制。县发改部门委托符合资质的咨询机构评估认证，征询行业主管部门意见后批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九条〖JP3〗建设单位根据批复的初步设计，委托或通过公开招标的方式选择符合资质要求的设计单位开展施工图设计，委托或通过公开招标的方式选择符合资质要求的咨询机构编制预算；项目预算须经财政部门投资评审机构或建设单位组织拦标（招标控制）价审核，并按审核后的招标控制价作为投标最高限价招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第十条除涉及国家秘密的项目外，各行业主管部门应当使用湖北省投资和重大项目智慧应用平台（以下简称智慧平台）生成的项目代码办理县级政府投资项目审批手续。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各行业主管部门应当通过智慧平台列明与政府投资有关的规划、产业政策等，公开政府投资项目审批的办理流程、办理时限、办理要件等，并为项目单位提供相关咨询服务。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第三章　项目招标与建设管理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第十一条依法必须进行招标的政府投资建设项目，统一进入县公共资源交易中心进行招标，并接受县公共资源交易监督管理局全程监督和管理。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列入年度计划的政府投资项目，应当尽早完成各项前期准备工作，按照县发改局核准的招标范围、招标方式和招标组织形式进行招标。招标标底和招标控制价应当控制在批准的概算内。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第十二条勘察、设计、施工、监理以及与工程建设有关的重要设备、材料等的采购达到下列标准之一的，必须招标：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（一）施工单项合同估算价在400万元以上；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（二）重要设备、材料等货物的采购，单项合同估算价在200万元以上；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（三）勘察、设计、监理等服务的采购，单项合同估算价在100万元以上。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同一项目中可以合并进行的勘察、设计、施工、监理以及与工程建设有关的重要设备、材料等的采购，合同估算价合计达到前款规定标准的，必须招标。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第十三条经批准采用其他融资模式的政府投资项目，建设单位应通过公开招标确定投资人，并对项目勘测、设计、监理进行招标。项目施工、设备材料采购由投资人依法进行招标。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四条在招标过程中，提交投标文件的投标人少于三个的，建设单位应调整建设方案，并提交县公共资源交易监督管理局会审后依法重新招标。重新招标后，提交投标文件的投标人仍少于三个的，报经原审批、核准部门批准后，可以不再进行招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第十五条确定中标人后，政府投资项目的勘测、设计、监理和施工均应签订书面合同。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第四章投资控制与资金拨付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第十六条严格控制政府投资项目建设规模和投资。初步设计的建设内容、建设标准不得超过可行性研究报告批复的范围，概算总投资原则上不得超过可行性研究报告批复的投资估算。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在建设过程中，因设计变更、不可抗力等因素造成工程造价增加，经过工程监理、施工单位和建设单位项目负责人等三方签证后，单项10万元以下的，建设单位上报县政府分管领导审批后方可增加；单项10万元以上（含10万元）50万元以下（含50万元）的，建设单位上报县政府领导会签后方可增加；单项超过50万元或总造价超过县发改局概算批复10％的，县财政局和建设单位进行重新评审后，县发改局会同县财政局提出调整方案，报县政府批准后调整概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七条建设项目应按项目计划预算、工程进度、合同约定及有关规定拨付工程款。政府投资项目资金实行专款专用、专账管理和直接支付制度。工程款、勘测、设计、监理等费用不低于已完成工程价款的80％。工程项目在概算调整期内，暂停拨付建设资金，调整概算批复后恢复资金拨付（可在总概算调整后的80％以内拨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第十八条政府投资项目建设工程完工后，施工单位应及时编制工程竣工结算书，并报监理机构和建设单位审核。结算书按分类管理规定组织审计后，由县发改局组织项目评价后报县财政局批复决算。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第五章监督管理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第十九条政府投资项目实行工程质量终身负责制。政府投资项目的建设单位、项目法人代表和勘测、设计、施工以及监理单位的相关责任人，按各自的职责对工程质量终身负责。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第二十条县发改局负责政府投资项目的项目建议书、可行性研究报告、初步设计审批，组织项目竣工验收、重大项目后评价及政府投资项目储备库建设管理工作。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县财政局负责提出县政府用于项目建设的总规模及县政府年度投资计划建议；负责财政投资评审、决算批复、国库集中支付平台及专户管理，建立完善资金审批及拨付制度和流程，并对项目资金使用全过程实施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县自然资源和规划局负责政府投资项目的前期规划、勘察设计。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县住建局负责政府投资项目的质量检查、工程竣工验收、建筑施工安全生产检查等工作。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县纪委、公安局、检察院等执纪执法机关负责对相关部门落实工程监管情况进行检查，对履职不到位、违反有关规定的问题依照相关规定实施责任追究；对收到的举报函件及审计移送处理书，应当依法调查处理。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市生态环境局随县分局、县应急管理局、县公共资源交易监督管理局等相关职能部门按照各自职责对政府投资项目进行管理。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一条县审计局对政府投资项目实行审计监督。对政府重点投资项目开展竣工决算审计，对建设周期长、资金量大〔概算批复5000万元（含5000万元）以上的〕的交通、水利、城市路网、能源工程等重点基础设施和公共工程，经建设单位申请，县审计委员会审议通过，纳入年度审计项目计划，实施跟踪审计。重点关注项目规划、投资审批、征地拆迁、环境保护、工程招标投标、物资采购、资金管理使用和工程质量管理等环节，加强政府投资建设项目绩效审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第六章　责任追究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第二十二条建立政府投资项目责任追究制度。各职能部门依法依纪查处政府投资项目决策、项目立项审批和项目组织实施全过程中的违法违纪行为。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第二十三条招投标各方、各职能部门相关人员有违反招标投标规定的，由县公共资源交易监督管理局依法处理；需要给予纪律处分的，移送县纪检监察机关处理；涉嫌犯罪的，移送司法机关追究相应责任。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第二十四条在政府投资项目建设管理中，建设单位、施工单位及监理、勘测、设计、招标代理等单位及有关人员失职、　渎职或未按程序报批的，应追究相关人员的责任；构成犯罪的，由司法机关追究刑事责任。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第七章　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第二十五条本办法在实施过程中，如国家、省有新规定从其规定。原县政府投资项目管理有关规定与本办法不一致的，以本办法为准。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第二十六条本办法自印发之日起施行，有效期5年。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r>
        <w:rPr>
          <w:rFonts w:hint="default" w:ascii="仿宋_GB2312" w:eastAsia="仿宋_GB2312" w:cs="仿宋_GB2312"/>
          <w:sz w:val="31"/>
          <w:szCs w:val="31"/>
        </w:rPr>
        <w:t>第二十七条本办法由县发改局、县财政局负责解释。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420"/>
        <w:jc w:val="right"/>
        <w:rPr>
          <w:sz w:val="24"/>
          <w:szCs w:val="24"/>
        </w:rPr>
      </w:pPr>
      <w:r>
        <w:rPr>
          <w:rFonts w:hint="default" w:ascii="仿宋_GB2312" w:eastAsia="仿宋_GB2312" w:cs="仿宋_GB2312"/>
          <w:sz w:val="31"/>
          <w:szCs w:val="31"/>
        </w:rPr>
        <w:t>随县人民政府办公室  2023年6月29日印发    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226" w:afterAutospacing="0" w:line="480" w:lineRule="atLeast"/>
        <w:ind w:left="0" w:right="0" w:firstLine="0"/>
        <w:rPr>
          <w:sz w:val="24"/>
          <w:szCs w:val="24"/>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hint="eastAsia" w:ascii="宋体" w:hAnsi="宋体" w:eastAsia="宋体" w:cs="宋体"/>
          <w:i w:val="0"/>
          <w:iCs w:val="0"/>
          <w:caps w:val="0"/>
          <w:color w:val="000000"/>
          <w:spacing w:val="0"/>
          <w:sz w:val="43"/>
          <w:szCs w:val="43"/>
        </w:rPr>
      </w:pPr>
    </w:p>
    <w:p>
      <w:pPr>
        <w:pStyle w:val="2"/>
        <w:keepNext w:val="0"/>
        <w:keepLines w:val="0"/>
        <w:widowControl/>
        <w:suppressLineNumbers w:val="0"/>
        <w:spacing w:line="315" w:lineRule="atLeast"/>
        <w:ind w:left="0" w:firstLine="420"/>
        <w:jc w:val="center"/>
        <w:rPr>
          <w:rFonts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43"/>
          <w:szCs w:val="43"/>
        </w:rPr>
        <w:t>县人民政府办公室印发</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43"/>
          <w:szCs w:val="43"/>
        </w:rPr>
        <w:t>关于随县知识产权促进高质量发展企业奖补政策</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43"/>
          <w:szCs w:val="43"/>
        </w:rPr>
        <w:t>实施办法的通知</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r>
        <w:rPr>
          <w:rFonts w:ascii="楷体" w:hAnsi="楷体" w:eastAsia="楷体" w:cs="楷体"/>
          <w:i w:val="0"/>
          <w:iCs w:val="0"/>
          <w:caps w:val="0"/>
          <w:color w:val="000000"/>
          <w:spacing w:val="0"/>
          <w:sz w:val="31"/>
          <w:szCs w:val="31"/>
        </w:rPr>
        <w:t>随县政办发〔2023〕15号</w:t>
      </w:r>
    </w:p>
    <w:p>
      <w:pPr>
        <w:pStyle w:val="2"/>
        <w:keepNext w:val="0"/>
        <w:keepLines w:val="0"/>
        <w:widowControl/>
        <w:suppressLineNumbers w:val="0"/>
        <w:spacing w:after="270" w:afterAutospacing="0" w:line="315" w:lineRule="atLeast"/>
        <w:ind w:left="0" w:firstLine="0"/>
        <w:jc w:val="left"/>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各镇人民政府、万福店农场，各风景名胜区、开发区管委会，县政府各部门：</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《随县知识产权促进高质量发展企业奖补政策实施办法》已经县政府同意，现印发给你们，请遵照执行。</w:t>
      </w:r>
    </w:p>
    <w:p>
      <w:pPr>
        <w:pStyle w:val="2"/>
        <w:keepNext w:val="0"/>
        <w:keepLines w:val="0"/>
        <w:widowControl/>
        <w:suppressLineNumbers w:val="0"/>
        <w:spacing w:line="315" w:lineRule="atLeast"/>
        <w:ind w:left="0" w:firstLine="420"/>
        <w:jc w:val="righ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2023年8月22日</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43"/>
          <w:szCs w:val="43"/>
        </w:rPr>
        <w:t>随县知识产权促进高质量发展企业奖补政策实施办法</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000000"/>
          <w:spacing w:val="0"/>
          <w:sz w:val="31"/>
          <w:szCs w:val="31"/>
        </w:rPr>
        <w:t>第一章  总则</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第一条  为充分运用知识产权提升全县企业核心竞争力，提高全县知识产权创造、运用、保护、管理、服务能力和水平，特制定本办法。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第二条  本办法奖励的对象是随县行政区域内取得知识产权证书上所载的第一权利人。</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000000"/>
          <w:spacing w:val="0"/>
          <w:sz w:val="31"/>
          <w:szCs w:val="31"/>
        </w:rPr>
        <w:t>第二章  范围及标准</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第三条  奖补范围</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每年对上年度知识产权工作情况进行奖补。发明专利授权时间以授权公告日为准，商标和品牌以注册或认定时间为准。</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第四条  奖补标准</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一）专利授权补贴。获得授权发明专利权的，每件给予5000元奖励。获得授权实用新型专利的，专利权人为企事业单位的，每件给予500元奖励。获得授权实用新型专利的，专利权人为学生、医务人员的，每件给予500元奖励。对事业单位（医院、学校等）所属人员当年累计授权专利5件（含5件）以上的，一次性给予2000元奖励。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（二）PCT专利授权补贴。对通过专利合作条约（PCT）途径在境外获得授权的专利，每件给予5万元奖励。</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（三）国家、省知识产权企业认定奖励。对新认定的国家知识产权示范企业、国家知识产权优势企业、省知识产权优势企业，分别给予20万元、10万元、5万元一次性奖励。</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（四）知识产权园区、双创基地认定奖励。对新认定的国家级知识产权示范园区、省级知识产权示范园区，分别给予　30万元、10万元的一次性奖励；对认定为省级知识产权双创服务基地建设机构，认定当年补助经费5万元。</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（五）贯标补贴。对开展《企业知识产权管理规范》（GB／T29490－2013）贯标工作，通过国家级认证的企业，一次性给予3万元补贴。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（六）示范试点学校认定补贴。对纳入国家、省中小学知识产权教育示范的学校，认定当年分别补助经费10万元、5万元。</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七）商标、品牌奖励。对首次被评为中国驰名商标的企业奖励20万元；对新核准注册的地理标志集体商标、证明商标的商标主体（协会或社团组织）奖励8万元；对新获得国家地理标志保护产品的单位或企业奖励8万元。</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八）高质量发明专利转化运用。全县发明专利权利人，正在实施或许可实施该专利权利人的高维持发明专利（从专利申请日起算，截至上年底超过10年，目前仍处于有效状态的国内发明专利），经确认后每件给予2000元奖励。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九）知识产权质押融资贴息贴费。开展知识产权质押融资贷款，借款企业在还本付息后，可享受不高于合同签订当日贷款市场报价利率（LPR）的30％贷款利息补贴（单个企业最高不超过10万元）；对因知识产权质押贷款形成的知识产权价值评估费用，给予全额补助。</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（十）服务机构奖补。加大对知识产权服务机构的引进、培育和帮扶，对上年度被省知识产权局评定AAAA级以上专利代理机构，给予2万元奖励。</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（十一）专利获奖奖励。对本年度获得国家专利金奖、银奖，每件分别给予专利权人5万元、3万元奖励。对获得省专利金奖、银奖，每件分别给予专利权人3万元、2万元奖励。</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十二）专利转移转化补贴。对本县中小微企业以转化实施为目的，通过转让、许可、作价入股等方式从高等学校、科研机构及中央、省属国有企业获取专利技术，并在国家知识产权局办理完成专利权转移或许可合同备案手续的，按不超过专利转让、许可合同实付专利技术交易金额的30％给予补贴，单个企业年度补贴不超过10万元。</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（十三）专利项目补贴。对认定为省级高价值专利培育、转化和产业化项目的承担单位，认定当年补助经费3万元。</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000000"/>
          <w:spacing w:val="0"/>
          <w:sz w:val="31"/>
          <w:szCs w:val="31"/>
        </w:rPr>
        <w:t>第三章  申报及审核</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第五条  随县市场监管局每年下发开展知识产权奖励申报工作的通知，对申报时间、程序及其他事项予以具体规定，未在规定时间内申报的不予奖励。对于纳入免申即享的奖补事项参照其他规定执行。</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第六条  申报奖励资金的企事业单位或个人，应当提交以下材料：</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（一）知识产权奖励申报表。</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（二）企业营业执照或事业单位法人资格证书的复印件，或个人身份证明复印件。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（三）组织机构代码证复印件。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（四）知识产权证书复印件。</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（五）有效发明专利最后一次交年费发票复印件。</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（六）申请奖励总额达到10万元的企业提交纳税证明材料。</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（七）获得国家、省级奖励的需要提交获得国家、省有关行政主管部门颁发的相关荣誉证书或批准文件复印件。</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（八）开展《企业知识产权管理规范》（GB／T29490－2013）贯标工作，并通过国家级认证的企业需要提交验收材料、认证证书、认证费或监督审核费用发票。</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（九）需要提交的其他材料。</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000000"/>
          <w:spacing w:val="0"/>
          <w:sz w:val="31"/>
          <w:szCs w:val="31"/>
        </w:rPr>
        <w:t>第四章  管理与监督</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第七条  申报单位和个人应当确保提供材料和相关证明的真实性。以虚报、冒领等手段骗取专利奖励资金的，一经查实，将全额收回专利奖补资金，并取消其三年内申报各类专利奖补的资格。</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第八条  相关单位和责任人应做到规范办理、严格审核。对因失职渎职而导致违规套取、冒领专利奖补资金的，严肃追究责任部门和责任人的责任，情节严重触犯法律的，移交司法机关处理。</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000000"/>
          <w:spacing w:val="0"/>
          <w:sz w:val="31"/>
          <w:szCs w:val="31"/>
        </w:rPr>
        <w:t>第五章  附则</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第九条  本办法自发布之日起实施，有效期三年。</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第十条  本办法由随县市场监督管理局、随县财政局负责解释。　</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抄送：县委各部门，县人武部，各人民团体、县人大办，县政协办，县法院，县检察院。</w:t>
      </w:r>
    </w:p>
    <w:p>
      <w:pPr>
        <w:pStyle w:val="2"/>
        <w:keepNext w:val="0"/>
        <w:keepLines w:val="0"/>
        <w:widowControl/>
        <w:suppressLineNumbers w:val="0"/>
        <w:spacing w:line="315" w:lineRule="atLeast"/>
        <w:ind w:left="0" w:firstLine="420"/>
        <w:jc w:val="left"/>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0"/>
        <w:jc w:val="righ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随县人民政府办公室   2023年8月22日印发</w:t>
      </w: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p>
    <w:p>
      <w:pPr>
        <w:pStyle w:val="2"/>
        <w:keepNext w:val="0"/>
        <w:keepLines w:val="0"/>
        <w:widowControl/>
        <w:suppressLineNumbers w:val="0"/>
        <w:spacing w:before="0" w:beforeAutospacing="0" w:line="315" w:lineRule="atLeast"/>
        <w:ind w:left="0" w:firstLine="0"/>
        <w:jc w:val="center"/>
        <w:rPr>
          <w:rFonts w:hint="eastAsia" w:ascii="黑体" w:hAnsi="黑体" w:eastAsia="黑体" w:cs="黑体"/>
          <w:i w:val="0"/>
          <w:iCs w:val="0"/>
          <w:caps w:val="0"/>
          <w:color w:val="000000"/>
          <w:spacing w:val="0"/>
          <w:sz w:val="44"/>
          <w:szCs w:val="44"/>
        </w:rPr>
      </w:pPr>
      <w:r>
        <w:rPr>
          <w:rFonts w:hint="eastAsia" w:ascii="黑体" w:hAnsi="黑体" w:eastAsia="黑体" w:cs="黑体"/>
          <w:i w:val="0"/>
          <w:iCs w:val="0"/>
          <w:caps w:val="0"/>
          <w:color w:val="000000"/>
          <w:spacing w:val="0"/>
          <w:sz w:val="44"/>
          <w:szCs w:val="44"/>
        </w:rPr>
        <w:t>随县招商引资若干政策规定</w:t>
      </w:r>
    </w:p>
    <w:p>
      <w:pPr>
        <w:pStyle w:val="2"/>
        <w:keepNext w:val="0"/>
        <w:keepLines w:val="0"/>
        <w:widowControl/>
        <w:suppressLineNumbers w:val="0"/>
        <w:spacing w:before="0" w:beforeAutospacing="0" w:line="315" w:lineRule="atLeast"/>
        <w:ind w:left="0" w:firstLine="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before="0" w:beforeAutospacing="0" w:line="315" w:lineRule="atLeast"/>
        <w:ind w:left="0" w:firstLine="0"/>
        <w:jc w:val="both"/>
        <w:rPr>
          <w:rFonts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各镇人民政府、万福店农场，各风景名胜区、经济开发区管委会，县政府各部门：</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《随县招商引资若干政策规定》已经县政府常务会议审议通过，现印发给你们，请遵照执行。</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righ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2022年1月27日</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随县招商引资若干政策规定</w:t>
      </w:r>
    </w:p>
    <w:p>
      <w:pPr>
        <w:pStyle w:val="2"/>
        <w:keepNext w:val="0"/>
        <w:keepLines w:val="0"/>
        <w:widowControl/>
        <w:suppressLineNumbers w:val="0"/>
        <w:spacing w:line="315" w:lineRule="atLeast"/>
        <w:ind w:left="0" w:firstLine="420"/>
        <w:jc w:val="center"/>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第一章总则</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为进一步加大招商引资力度，优化营商环境，拓宽引资渠道，充分调动社会各界参与招商引资的积极性，鼓励和吸引各类投资主体在我县投资兴业，根据《市人民政府关于印发随州市招商引资若干政策规定的通知》（随政发〔2021〕11号）等有关文件规定，结合我县实际，制定本规定。</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第二章项目用地支持</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一条准入门槛。落户随县经济开发区自建厂房的工业项目，固定资产投资不低于5000万元人民币，固定资产投资强度不低于150万元／亩，容积率不低于1．0，亩平税收不低于10万元／亩；鼓励建设多层厂房，建设工期不超过18个月。部分有特殊安全间距要求的行业，按照国家相关规定和具备资质的设计单位确定的投资强度和容积率执行。</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二条创新工业用地方式。鼓励采用租赁、先租后让、租让结合的方式取得土地使用权。对一次性固定资产投资达5000万元人民币及以上且符合我县产业发展规划的重点工业项目，可按合同约定分期缴纳土地出让价款，首次缴纳比例不低于50％，一年内缴清。</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三条补贴企业基础设施建设。对新引进固定资产投资在5000万元人民币以上、3亿元人民币以下的工业项目，按照不低于土地出让成交价50％的比例给予基础设施建设补贴；对固定资产投资3亿元人民币以上的工业项目，实行一事一议方式进行基础设施建设补贴。入园工业企业按期建成投产达效的，企业缴纳的耕地占用税奖补给企业用于基础设施建设。入园工业企业，城镇基础设施配套基金全额奖补给企业用于基础设施建设。</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第三章税收贡献奖励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四条实行税收贡献奖励。对按协议约定期限投产且达到协议约定税收额度的工业企业给予奖励，前三年按其缴纳的企业所得税和增值税地方留成部分的100％奖励给企业，第四年、第五年按其缴纳的企业所得税和增值税地方留成部分的50％奖励给企业。</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五条实行企业技改税收贡献奖励。对工业企业技改新增固定资产投资额达500万元以上人民币，所产生的企业所得税和增值税增量部分，前三年按其缴纳的企业所得税和增值税地方留成增量部分的100％奖励给企业，第四年、第五年按其缴纳的企业所得税和增值税地方留成增量部分的50％奖励给企业。</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第四章重资产招商项目政策</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六条有序推进重资产招商。对一次性固定资产投资达到1亿元人民币以上的工业龙头项目，以及带动产业发展、税收前景广阔的优质工业项目，可由项目所在地政府（管委会）为企业代建厂房及配套设施，实现企业轻资产“拎包入驻”。</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企业参与厂房规划设计、工程造价、质量监督、工程决算等，共同锁定建设成本。企业按建设成本的10％缴纳项目保证金（可冲抵回购款），并在厂房交付之日起五年内按照建设成本完成回购。</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七条鼓励企业租用厂房。对租用现有厂房且实现合同约定的税收贡献（每平方米厂房纳税300元及以上）的工业项目，前三年将企业每年所交厂房租金全额奖励给企业，第四、第五年按租金的50％奖励。房租奖励与税收奖励不重复享受，就高不就低。</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第八条对租用厂房需要装修净化车间的企业，按照净化车间装修级别标准给予补贴：十万级给予100元／平方米补贴；万级给予300元／平方米补贴；千级及以上给予500元／平方米补贴。</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第五章物流运输支持</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九条鼓励物流企业发展。支持利用工业企业旧厂房、仓库和存量土地建设物流设施或提供物流服务，涉及原划拨土地转让的，可协议办理出让用地手续。租赁国有建设用地的，可分年度缴纳租金。对固定资产投资5000万元人民币以上、2亿元人民币以下（含2亿元人民币）的现代物流项目，原始出资人持股达到40％以上的，可按工业用地价格供地，按照合同约定完成建设任务的，建成后按照总出让地价的50％给予基础设施配套补贴，对固定资产投资2亿元人民币以上的实行一事一议。</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条降低企业物流成本。新引进工业企业三年内每年上缴税收在1000万元人民币及以上的，按照年物流运输费用总额（以随县本级税务部门开具的发票为依据）的5％给予连续三年物流成本补贴。每年补贴额度不超过100万元人民币。</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第六章项目投资奖励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一条补贴企业固定资产投资。对新引进的固定资产投资在1亿元人民币及以上的工业项目和新引进的固定资产投资在5000万元人民币及以上的战略性新兴产业项目（信息技术、高端装备、先进材料、节能环保、数字创意、科技服务等），按实际固定资产投资额的3％给予一次性补贴。补贴金额最高不超过5000万元人民币。　　　</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第十二条加大利用外资力度。对新注册设立并实际投产的外资工业企业，固定资产投资在1000万美元以上的，按实际固定资产投资额的3％给予一次性补贴。补贴金额最高不超过5000万元人民币。</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第十三条鼓励农文旅结合项目。对固定资产投资达1亿元人民币及以上的现代农业、文化、旅游结合项目，实行一事一议。</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第七章其他政策</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第十四条给予企业搬迁补贴。对从随县外搬迁落户随县的工业企业，对重要生产设备给予一定的搬迁补贴。具体补贴标准一事一议。</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五条降低企业用电成本。对符合产业政策且年用电量达到100万千瓦时以上、增幅超过10％的重点调度工业企业给予电费补贴。以上年度用电量为基数，对本年度新增用电量按每度0．1元的标准予以补贴，年度补贴最高不超过50万元人民币。</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六条鼓励引进工业企业人才。新引进工业企业副总以上高级管理人员和副高以上的专业技术人员在本县缴纳个人所得税的，按照有关文件规定，五年内对其薪酬部分所缴纳的个人所得税地方留成部分按照100％的标准予以奖励，奖励资金直接划入其个人账户。鼓励上述人员在随县城区购买自持住房，首套房给予每平方米300元补贴，二套房给予每平方米200元补贴。</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第十七条企业高管子女入学保障。对招商引资企业高管子女申请就读义务教育公办学校的，坚持相对就近入学原则，由县教育行政主管部门优先安排到辖区内公办学校就读。</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第八章招商引资工作奖励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八条鼓励发展“飞地经济”。乡镇招引项目可安排到县城规划范围内的产业园落户。乡镇具备支持项目落户条件的，所有经济指标归属招引乡镇；乡镇不具备支持项目落户条件的，所有经济指标归属招引乡镇，企业缴纳税收的地方留成部分30％归属招引乡镇，70％归属县人民政府。</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第十九条为激励社会各界人士积极参与招商，形成全员招商良好氛围，对招商引资工作有实际贡献的给予奖励。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一）加大引资单位的奖励。对当年新签约落地亿元人民币以上工业项目，且完成投资50％以上的项目，给予引资单位记嘉奖一次；对新引进一次性固定资产投资5000万元人民币以上的工业项目，按期建成投产且达到约定税收后，按实际固定资产投资额的2‰给予引资单位一次性招商引资工作经费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二）加大引资人员的激励。对新引进固定资产投资5亿元人民币以上工业项目的公职人员，经组织部门考核，符合干部任用条件的，予以提拔重用。对新引进固定资产投资5000万元人民币以上工业项目的村干部及其他非公职人员，按实际固定资产投资额的3‰给予一次性奖励。</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三）加大中介招商奖励。对引进一次性固定资产投资5000万元人民币及以上、1亿元人民币以下的工业项目（单个，下同），按期建成投产且达到约定税收后，按固定资产投资额的3‰给予项目第一引资人（公职人员除外，下同）或单位一次性奖励；对引进固定资产投资额1亿元人民币及以上、10亿元人民币以下的工业项目，按期建成投产且达到约定税收后，按固定资产投资额的5‰给予项目第一引资人或单位一次性奖励；对引进世界或国内500强企业投资工业项目且投资达到1亿元人民币及以上的工业项目，按期建成投产且达到约定税收后，按固定资产投资额的8‰给予项目第一引资人或单位一次性奖励。以上奖励最高不超过100万元人民币。对招商引资中有重大贡献的干部，在考核评定、评先表模、提拔任用方面优先考虑。</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第九章附则</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本规定自印发之日起施行，有效期3年。原文件与本规定不一致的按本规定执行。原已经签订投资合同，并在优惠政策期内的，继续按照原投资合同执行。</w:t>
      </w:r>
    </w:p>
    <w:p>
      <w:pPr>
        <w:pStyle w:val="2"/>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本规定中的加大招商引资奖励政策条款只认定项目第一引资单位或引资人；所指的企业固定资产实际投资额，由政府公开选取第三方评估机构予以认定。引进风电、光电及资源利用类项目，不享受本招商激励政策。奖励办法执行期间，如遇法律、法规和上级政策调整，以法律、法规和上级政策为准。各项奖补资金由受益地方财政承担。</w:t>
      </w:r>
    </w:p>
    <w:p>
      <w:pPr>
        <w:pStyle w:val="2"/>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     各镇（场、景区、开发区）可参照此规定执行，亦可自行制定并兑现优惠政策。</w:t>
      </w:r>
    </w:p>
    <w:p>
      <w:pPr>
        <w:pStyle w:val="2"/>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p>
    <w:p>
      <w:pPr>
        <w:pStyle w:val="2"/>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p>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144"/>
          <w:szCs w:val="14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r>
        <w:rPr>
          <w:rFonts w:hint="eastAsia" w:ascii="黑体" w:hAnsi="黑体" w:eastAsia="黑体" w:cs="黑体"/>
          <w:b/>
          <w:bCs/>
          <w:kern w:val="0"/>
          <w:sz w:val="96"/>
          <w:szCs w:val="96"/>
          <w:lang w:val="en-US" w:eastAsia="zh-CN" w:bidi="ar"/>
        </w:rPr>
        <w:t>二、重点项目绩效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r>
        <w:rPr>
          <w:rFonts w:hint="eastAsia" w:ascii="黑体" w:hAnsi="黑体" w:eastAsia="黑体" w:cs="黑体"/>
          <w:b/>
          <w:bCs/>
          <w:kern w:val="0"/>
          <w:sz w:val="96"/>
          <w:szCs w:val="96"/>
          <w:lang w:val="en-US" w:eastAsia="zh-CN" w:bidi="ar"/>
        </w:rPr>
        <w:t>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eastAsia" w:ascii="黑体" w:hAnsi="黑体" w:eastAsia="黑体" w:cs="黑体"/>
          <w:b/>
          <w:bCs/>
          <w:kern w:val="0"/>
          <w:sz w:val="96"/>
          <w:szCs w:val="96"/>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30" w:lineRule="atLeast"/>
        <w:ind w:left="0" w:right="0"/>
        <w:jc w:val="center"/>
        <w:textAlignment w:val="auto"/>
        <w:rPr>
          <w:rFonts w:hint="default" w:ascii="黑体" w:hAnsi="黑体" w:eastAsia="黑体" w:cs="黑体"/>
          <w:b/>
          <w:bCs/>
          <w:kern w:val="0"/>
          <w:sz w:val="96"/>
          <w:szCs w:val="96"/>
          <w:lang w:val="en-US" w:eastAsia="zh-CN" w:bidi="ar"/>
        </w:rPr>
      </w:pPr>
      <w:r>
        <w:rPr>
          <w:rFonts w:hint="default" w:ascii="黑体" w:hAnsi="黑体" w:eastAsia="黑体" w:cs="黑体"/>
          <w:b/>
          <w:bCs/>
          <w:kern w:val="0"/>
          <w:sz w:val="96"/>
          <w:szCs w:val="96"/>
          <w:lang w:val="en-US" w:eastAsia="zh-CN" w:bidi="ar"/>
        </w:rPr>
        <w:drawing>
          <wp:inline distT="0" distB="0" distL="114300" distR="114300">
            <wp:extent cx="2569845" cy="8823325"/>
            <wp:effectExtent l="0" t="0" r="1905" b="15875"/>
            <wp:docPr id="2" name="图片 2" descr="W02023021056903414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30210569034148158"/>
                    <pic:cNvPicPr>
                      <a:picLocks noChangeAspect="1"/>
                    </pic:cNvPicPr>
                  </pic:nvPicPr>
                  <pic:blipFill>
                    <a:blip r:embed="rId4"/>
                    <a:stretch>
                      <a:fillRect/>
                    </a:stretch>
                  </pic:blipFill>
                  <pic:spPr>
                    <a:xfrm>
                      <a:off x="0" y="0"/>
                      <a:ext cx="2569845" cy="8823325"/>
                    </a:xfrm>
                    <a:prstGeom prst="rect">
                      <a:avLst/>
                    </a:prstGeom>
                  </pic:spPr>
                </pic:pic>
              </a:graphicData>
            </a:graphic>
          </wp:inline>
        </w:drawing>
      </w:r>
    </w:p>
    <w:p>
      <w:pPr>
        <w:jc w:val="both"/>
        <w:rPr>
          <w:rFonts w:hint="eastAsia"/>
          <w:lang w:eastAsia="zh-CN"/>
        </w:rPr>
      </w:pPr>
    </w:p>
    <w:p>
      <w:pPr>
        <w:jc w:val="both"/>
        <w:rPr>
          <w:rFonts w:hint="eastAsia"/>
          <w:lang w:eastAsia="zh-CN"/>
        </w:rPr>
      </w:pPr>
    </w:p>
    <w:p>
      <w:pPr>
        <w:jc w:val="center"/>
        <w:rPr>
          <w:rFonts w:hint="eastAsia"/>
          <w:lang w:eastAsia="zh-CN"/>
        </w:rPr>
      </w:pPr>
      <w:r>
        <w:rPr>
          <w:rFonts w:hint="eastAsia"/>
          <w:lang w:eastAsia="zh-CN"/>
        </w:rPr>
        <w:drawing>
          <wp:inline distT="0" distB="0" distL="114300" distR="114300">
            <wp:extent cx="2569845" cy="8834755"/>
            <wp:effectExtent l="0" t="0" r="1905" b="4445"/>
            <wp:docPr id="3" name="图片 3" descr="W0202302105690341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020230210569034158943"/>
                    <pic:cNvPicPr>
                      <a:picLocks noChangeAspect="1"/>
                    </pic:cNvPicPr>
                  </pic:nvPicPr>
                  <pic:blipFill>
                    <a:blip r:embed="rId5"/>
                    <a:stretch>
                      <a:fillRect/>
                    </a:stretch>
                  </pic:blipFill>
                  <pic:spPr>
                    <a:xfrm>
                      <a:off x="0" y="0"/>
                      <a:ext cx="2569845" cy="8834755"/>
                    </a:xfrm>
                    <a:prstGeom prst="rect">
                      <a:avLst/>
                    </a:prstGeom>
                  </pic:spPr>
                </pic:pic>
              </a:graphicData>
            </a:graphic>
          </wp:inline>
        </w:drawing>
      </w: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center"/>
        <w:rPr>
          <w:rFonts w:hint="eastAsia"/>
          <w:lang w:eastAsia="zh-CN"/>
        </w:rPr>
      </w:pPr>
      <w:bookmarkStart w:id="0" w:name="_GoBack"/>
      <w:r>
        <w:rPr>
          <w:rFonts w:hint="eastAsia"/>
          <w:lang w:eastAsia="zh-CN"/>
        </w:rPr>
        <w:drawing>
          <wp:inline distT="0" distB="0" distL="114300" distR="114300">
            <wp:extent cx="2736215" cy="8847455"/>
            <wp:effectExtent l="0" t="0" r="6985" b="10795"/>
            <wp:docPr id="4" name="图片 4" descr="W02023021056903412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020230210569034124027"/>
                    <pic:cNvPicPr>
                      <a:picLocks noChangeAspect="1"/>
                    </pic:cNvPicPr>
                  </pic:nvPicPr>
                  <pic:blipFill>
                    <a:blip r:embed="rId6"/>
                    <a:stretch>
                      <a:fillRect/>
                    </a:stretch>
                  </pic:blipFill>
                  <pic:spPr>
                    <a:xfrm>
                      <a:off x="0" y="0"/>
                      <a:ext cx="2736215" cy="8847455"/>
                    </a:xfrm>
                    <a:prstGeom prst="rect">
                      <a:avLst/>
                    </a:prstGeom>
                  </pic:spPr>
                </pic:pic>
              </a:graphicData>
            </a:graphic>
          </wp:inline>
        </w:drawing>
      </w:r>
      <w:bookmarkEnd w:id="0"/>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2010601030101010101"/>
    <w:charset w:val="86"/>
    <w:family w:val="script"/>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lOWM4OWVlZjI0N2M2YTc5YzE3NWM0ZjA1ODViYjkifQ=="/>
  </w:docVars>
  <w:rsids>
    <w:rsidRoot w:val="00000000"/>
    <w:rsid w:val="0BFD5470"/>
    <w:rsid w:val="11F87DCA"/>
    <w:rsid w:val="27012583"/>
    <w:rsid w:val="2C31419D"/>
    <w:rsid w:val="682676EC"/>
    <w:rsid w:val="721450F9"/>
    <w:rsid w:val="7E1D2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2023-09-22T08:18:00Z</dcterms:created>
  <dc:creator>Administrator</dc:creator>
  <cp:lastModifiedBy>M</cp:lastModifiedBy>
  <dcterms:modified xsi:type="dcterms:W3CDTF">2024-02-06T09:45:28Z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5FBD7F26C98946C9A15B460FF123924C_13</vt:lpwstr>
  </property>
</Properties>
</file>