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C45D74">
      <w:pPr>
        <w:spacing w:before="86" w:line="213" w:lineRule="auto"/>
        <w:ind w:left="848"/>
        <w:rPr>
          <w:rFonts w:ascii="方正小标宋_GBK" w:hAnsi="方正小标宋_GBK" w:eastAsia="方正小标宋_GBK" w:cs="方正小标宋_GBK"/>
          <w:sz w:val="43"/>
          <w:szCs w:val="43"/>
        </w:rPr>
      </w:pPr>
      <w:r>
        <w:rPr>
          <w:rFonts w:ascii="方正小标宋_GBK" w:hAnsi="方正小标宋_GBK" w:eastAsia="方正小标宋_GBK" w:cs="方正小标宋_GBK"/>
          <w:spacing w:val="9"/>
          <w:sz w:val="43"/>
          <w:szCs w:val="43"/>
        </w:rPr>
        <w:t>湖北省住房和城乡建设行政处罚裁量基准</w:t>
      </w:r>
    </w:p>
    <w:p w14:paraId="34E05204">
      <w:pPr>
        <w:spacing w:before="103" w:line="211" w:lineRule="auto"/>
        <w:ind w:left="3926"/>
        <w:rPr>
          <w:rFonts w:ascii="方正小标宋_GBK" w:hAnsi="方正小标宋_GBK" w:eastAsia="方正小标宋_GBK" w:cs="方正小标宋_GBK"/>
          <w:sz w:val="43"/>
          <w:szCs w:val="43"/>
        </w:rPr>
      </w:pPr>
      <w:r>
        <w:rPr>
          <w:rFonts w:ascii="方正小标宋_GBK" w:hAnsi="方正小标宋_GBK" w:eastAsia="方正小标宋_GBK" w:cs="方正小标宋_GBK"/>
          <w:spacing w:val="8"/>
          <w:sz w:val="43"/>
          <w:szCs w:val="43"/>
        </w:rPr>
        <w:t>适用规则</w:t>
      </w:r>
    </w:p>
    <w:p w14:paraId="4EBDE4B8">
      <w:pPr>
        <w:spacing w:line="355" w:lineRule="auto"/>
        <w:rPr>
          <w:rFonts w:ascii="Arial"/>
          <w:sz w:val="21"/>
        </w:rPr>
      </w:pPr>
    </w:p>
    <w:p w14:paraId="6EC69717">
      <w:pPr>
        <w:spacing w:line="355" w:lineRule="auto"/>
        <w:rPr>
          <w:rFonts w:ascii="Arial"/>
          <w:sz w:val="21"/>
        </w:rPr>
      </w:pPr>
    </w:p>
    <w:p w14:paraId="20B92423">
      <w:pPr>
        <w:pStyle w:val="2"/>
        <w:spacing w:before="101" w:line="357" w:lineRule="auto"/>
        <w:ind w:firstLine="657"/>
      </w:pPr>
      <w:r>
        <w:rPr>
          <w:b/>
          <w:bCs/>
          <w:spacing w:val="7"/>
        </w:rPr>
        <w:t>第一条</w:t>
      </w:r>
      <w:r>
        <w:rPr>
          <w:spacing w:val="7"/>
        </w:rPr>
        <w:t xml:space="preserve">  为规范湖北省住房和城乡建设行政处罚</w:t>
      </w:r>
      <w:r>
        <w:rPr>
          <w:rFonts w:hint="eastAsia"/>
          <w:spacing w:val="7"/>
          <w:lang w:eastAsia="zh-CN"/>
        </w:rPr>
        <w:t>自由</w:t>
      </w:r>
      <w:r>
        <w:rPr>
          <w:spacing w:val="7"/>
        </w:rPr>
        <w:t>裁量权的行</w:t>
      </w:r>
      <w:r>
        <w:rPr>
          <w:spacing w:val="10"/>
        </w:rPr>
        <w:t>使，确保依法行政，保护公民、法人或者其他组织的合法权益，根据</w:t>
      </w:r>
      <w:r>
        <w:rPr>
          <w:spacing w:val="4"/>
        </w:rPr>
        <w:t>《中华人民共和国行政处罚法》《湖北省行政执</w:t>
      </w:r>
      <w:r>
        <w:rPr>
          <w:spacing w:val="3"/>
        </w:rPr>
        <w:t>法条例》等有关法律、</w:t>
      </w:r>
      <w:r>
        <w:rPr>
          <w:spacing w:val="10"/>
        </w:rPr>
        <w:t>法规和规章，结合《规范住房和城乡建设部工程建设行政处罚裁量权实施办法》《住房和城乡建设部工程建设行政处罚裁量基准</w:t>
      </w:r>
      <w:r>
        <w:rPr>
          <w:rFonts w:hint="eastAsia"/>
          <w:spacing w:val="10"/>
          <w:lang w:eastAsia="zh-CN"/>
        </w:rPr>
        <w:t>》等</w:t>
      </w:r>
      <w:r>
        <w:rPr>
          <w:spacing w:val="10"/>
        </w:rPr>
        <w:t>有关规</w:t>
      </w:r>
      <w:r>
        <w:rPr>
          <w:spacing w:val="7"/>
        </w:rPr>
        <w:t>定和本省实际，制定本规则。</w:t>
      </w:r>
    </w:p>
    <w:p w14:paraId="4C04ED9B">
      <w:pPr>
        <w:pStyle w:val="2"/>
        <w:spacing w:before="1" w:line="357" w:lineRule="auto"/>
        <w:ind w:left="9" w:right="102" w:firstLine="712"/>
      </w:pPr>
      <w:r>
        <w:rPr>
          <w:b/>
          <w:bCs/>
          <w:spacing w:val="7"/>
        </w:rPr>
        <w:t>第二条</w:t>
      </w:r>
      <w:r>
        <w:rPr>
          <w:spacing w:val="7"/>
        </w:rPr>
        <w:t xml:space="preserve">  湖北省住房和城乡建设厅负责指导、监督本行政区域内</w:t>
      </w:r>
      <w:r>
        <w:rPr>
          <w:spacing w:val="8"/>
        </w:rPr>
        <w:t>的住房和城乡建设行政处罚</w:t>
      </w:r>
      <w:r>
        <w:rPr>
          <w:rFonts w:hint="eastAsia"/>
          <w:spacing w:val="8"/>
          <w:lang w:eastAsia="zh-CN"/>
        </w:rPr>
        <w:t>自由</w:t>
      </w:r>
      <w:r>
        <w:rPr>
          <w:spacing w:val="8"/>
        </w:rPr>
        <w:t>裁量权的行使。全省各地各级住房和</w:t>
      </w:r>
      <w:r>
        <w:rPr>
          <w:spacing w:val="10"/>
        </w:rPr>
        <w:t>城乡建设行政（执法）机关及</w:t>
      </w:r>
      <w:bookmarkStart w:id="0" w:name="_GoBack"/>
      <w:r>
        <w:rPr>
          <w:spacing w:val="10"/>
        </w:rPr>
        <w:t>法律、法规</w:t>
      </w:r>
      <w:bookmarkEnd w:id="0"/>
      <w:r>
        <w:rPr>
          <w:spacing w:val="10"/>
        </w:rPr>
        <w:t>授权的具有管理公共事务职</w:t>
      </w:r>
      <w:r>
        <w:rPr>
          <w:spacing w:val="5"/>
        </w:rPr>
        <w:t>能的组织（以下简称“执法机构”）行使行政处</w:t>
      </w:r>
      <w:r>
        <w:rPr>
          <w:spacing w:val="4"/>
        </w:rPr>
        <w:t>罚</w:t>
      </w:r>
      <w:r>
        <w:rPr>
          <w:rFonts w:hint="eastAsia"/>
          <w:spacing w:val="4"/>
          <w:lang w:eastAsia="zh-CN"/>
        </w:rPr>
        <w:t>自由</w:t>
      </w:r>
      <w:r>
        <w:rPr>
          <w:spacing w:val="4"/>
        </w:rPr>
        <w:t>裁量权。</w:t>
      </w:r>
    </w:p>
    <w:p w14:paraId="271B2B70">
      <w:pPr>
        <w:pStyle w:val="2"/>
        <w:spacing w:before="1" w:line="357" w:lineRule="auto"/>
        <w:ind w:left="5" w:right="103" w:firstLine="651"/>
      </w:pPr>
      <w:r>
        <w:rPr>
          <w:b/>
          <w:bCs/>
          <w:spacing w:val="7"/>
        </w:rPr>
        <w:t>第三条</w:t>
      </w:r>
      <w:r>
        <w:rPr>
          <w:spacing w:val="7"/>
        </w:rPr>
        <w:t xml:space="preserve">  本规则所称行政处罚</w:t>
      </w:r>
      <w:r>
        <w:rPr>
          <w:rFonts w:hint="eastAsia"/>
          <w:spacing w:val="7"/>
          <w:lang w:eastAsia="zh-CN"/>
        </w:rPr>
        <w:t>自由</w:t>
      </w:r>
      <w:r>
        <w:rPr>
          <w:spacing w:val="7"/>
        </w:rPr>
        <w:t>裁量权，是指依法享有住房和</w:t>
      </w:r>
      <w:r>
        <w:rPr>
          <w:spacing w:val="10"/>
        </w:rPr>
        <w:t>城乡建设行政处罚权的执法机构在法律、法规、规章规定的行政处罚</w:t>
      </w:r>
      <w:r>
        <w:rPr>
          <w:spacing w:val="7"/>
        </w:rPr>
        <w:t>种类和幅度范围内享有的自主决定权。</w:t>
      </w:r>
    </w:p>
    <w:p w14:paraId="607FF2BF">
      <w:pPr>
        <w:pStyle w:val="2"/>
        <w:spacing w:before="2" w:line="357" w:lineRule="auto"/>
        <w:ind w:left="4" w:firstLine="653"/>
      </w:pPr>
      <w:r>
        <w:rPr>
          <w:b/>
          <w:bCs/>
          <w:spacing w:val="9"/>
        </w:rPr>
        <w:t>第四条</w:t>
      </w:r>
      <w:r>
        <w:rPr>
          <w:spacing w:val="9"/>
        </w:rPr>
        <w:t xml:space="preserve">  《湖北省住房和城乡建设行政处罚裁量基准（2021）》</w:t>
      </w:r>
      <w:r>
        <w:rPr>
          <w:spacing w:val="8"/>
        </w:rPr>
        <w:t>（以下简称《裁量基准》）是湖北省住房和城乡建设厅为规范住</w:t>
      </w:r>
      <w:r>
        <w:rPr>
          <w:spacing w:val="1"/>
        </w:rPr>
        <w:t>房和城乡建设行政处罚</w:t>
      </w:r>
      <w:r>
        <w:rPr>
          <w:rFonts w:hint="eastAsia"/>
          <w:spacing w:val="1"/>
          <w:lang w:eastAsia="zh-CN"/>
        </w:rPr>
        <w:t>自由</w:t>
      </w:r>
      <w:r>
        <w:rPr>
          <w:spacing w:val="1"/>
        </w:rPr>
        <w:t>裁量权的行使，视违法行为的事实、性质、</w:t>
      </w:r>
      <w:r>
        <w:rPr>
          <w:spacing w:val="10"/>
        </w:rPr>
        <w:t>情节轻重程度、后果影响大小，合理划分不同档次违法情形，明确行政处罚的具体标准。《裁量基准》按照统一的规则、统一的形式组织</w:t>
      </w:r>
      <w:r>
        <w:rPr>
          <w:spacing w:val="6"/>
        </w:rPr>
        <w:t>编制，并实施动态调整。</w:t>
      </w:r>
    </w:p>
    <w:p w14:paraId="63317458">
      <w:pPr>
        <w:pStyle w:val="2"/>
        <w:spacing w:before="2" w:line="227" w:lineRule="auto"/>
        <w:ind w:left="657"/>
      </w:pPr>
      <w:r>
        <w:rPr>
          <w:b/>
          <w:bCs/>
          <w:spacing w:val="7"/>
        </w:rPr>
        <w:t>第五条</w:t>
      </w:r>
      <w:r>
        <w:rPr>
          <w:spacing w:val="7"/>
        </w:rPr>
        <w:t xml:space="preserve">  《裁量基准》的编制遵循以下原则：</w:t>
      </w:r>
    </w:p>
    <w:p w14:paraId="3274F142">
      <w:pPr>
        <w:spacing w:line="227" w:lineRule="auto"/>
        <w:sectPr>
          <w:footerReference r:id="rId5" w:type="default"/>
          <w:pgSz w:w="11906" w:h="16839"/>
          <w:pgMar w:top="1258" w:right="1029" w:bottom="1072" w:left="1151" w:header="0" w:footer="836" w:gutter="0"/>
          <w:cols w:space="720" w:num="1"/>
        </w:sectPr>
      </w:pPr>
    </w:p>
    <w:p w14:paraId="5D82EC11">
      <w:pPr>
        <w:pStyle w:val="2"/>
        <w:spacing w:before="65" w:line="226" w:lineRule="auto"/>
        <w:ind w:right="50"/>
        <w:jc w:val="right"/>
      </w:pPr>
      <w:r>
        <w:rPr>
          <w:spacing w:val="8"/>
        </w:rPr>
        <w:t>（一）依法编制，忠实于法律规范条文，符合立法目的和原则；</w:t>
      </w:r>
    </w:p>
    <w:p w14:paraId="040EB311">
      <w:pPr>
        <w:pStyle w:val="2"/>
        <w:spacing w:before="219" w:line="228" w:lineRule="auto"/>
        <w:ind w:right="50"/>
        <w:jc w:val="right"/>
      </w:pPr>
      <w:r>
        <w:rPr>
          <w:spacing w:val="8"/>
        </w:rPr>
        <w:t>（二）不同层级效力的法律规范，优先适用层级高的法律规范；</w:t>
      </w:r>
    </w:p>
    <w:p w14:paraId="579A9A27">
      <w:pPr>
        <w:pStyle w:val="2"/>
        <w:spacing w:before="218" w:line="357" w:lineRule="auto"/>
        <w:ind w:left="34" w:right="2" w:firstLine="627"/>
      </w:pPr>
      <w:r>
        <w:rPr>
          <w:spacing w:val="10"/>
        </w:rPr>
        <w:t>（三）不同时间颁布实施的法律规范，适用后颁布实施的法律规</w:t>
      </w:r>
      <w:r>
        <w:rPr>
          <w:spacing w:val="-15"/>
        </w:rPr>
        <w:t>范；</w:t>
      </w:r>
    </w:p>
    <w:p w14:paraId="369CDF59">
      <w:pPr>
        <w:pStyle w:val="2"/>
        <w:spacing w:before="1" w:line="357" w:lineRule="auto"/>
        <w:ind w:left="51" w:right="2" w:firstLine="611"/>
      </w:pPr>
      <w:r>
        <w:rPr>
          <w:spacing w:val="8"/>
        </w:rPr>
        <w:t>（四）合理分档，裁量幅度与情形描述相对应，等次划分合理适</w:t>
      </w:r>
      <w:r>
        <w:rPr>
          <w:spacing w:val="-23"/>
        </w:rPr>
        <w:t>当；</w:t>
      </w:r>
    </w:p>
    <w:p w14:paraId="28A05F56">
      <w:pPr>
        <w:pStyle w:val="2"/>
        <w:spacing w:line="226" w:lineRule="auto"/>
        <w:ind w:left="662"/>
      </w:pPr>
      <w:r>
        <w:rPr>
          <w:spacing w:val="7"/>
        </w:rPr>
        <w:t>（五）简明适用，方便调查取证；</w:t>
      </w:r>
    </w:p>
    <w:p w14:paraId="3B844B9A">
      <w:pPr>
        <w:pStyle w:val="2"/>
        <w:spacing w:before="219" w:line="226" w:lineRule="auto"/>
        <w:ind w:left="662"/>
      </w:pPr>
      <w:r>
        <w:rPr>
          <w:spacing w:val="7"/>
        </w:rPr>
        <w:t>（六）公开发布，动态调整。</w:t>
      </w:r>
    </w:p>
    <w:p w14:paraId="7ACDDA47">
      <w:pPr>
        <w:pStyle w:val="2"/>
        <w:spacing w:before="224" w:line="357" w:lineRule="auto"/>
        <w:ind w:left="19" w:firstLine="651"/>
      </w:pPr>
      <w:r>
        <w:rPr>
          <w:b/>
          <w:bCs/>
          <w:spacing w:val="9"/>
        </w:rPr>
        <w:t>第六条</w:t>
      </w:r>
      <w:r>
        <w:rPr>
          <w:spacing w:val="9"/>
        </w:rPr>
        <w:t xml:space="preserve">  《裁量基准》是全省住房和城乡建设系统执法机构实施</w:t>
      </w:r>
      <w:r>
        <w:rPr>
          <w:spacing w:val="8"/>
        </w:rPr>
        <w:t>行政处罚自</w:t>
      </w:r>
      <w:r>
        <w:rPr>
          <w:spacing w:val="-85"/>
        </w:rPr>
        <w:t xml:space="preserve"> </w:t>
      </w:r>
      <w:r>
        <w:rPr>
          <w:spacing w:val="8"/>
        </w:rPr>
        <w:t>由裁量的基本标准，各级主管部门可以在《裁量基准》规</w:t>
      </w:r>
      <w:r>
        <w:rPr>
          <w:spacing w:val="10"/>
        </w:rPr>
        <w:t>定的等次划分基础上，对情节与危害后果描述和裁量幅度</w:t>
      </w:r>
      <w:r>
        <w:rPr>
          <w:rFonts w:hint="eastAsia"/>
          <w:spacing w:val="10"/>
          <w:lang w:eastAsia="zh-CN"/>
        </w:rPr>
        <w:t>作出</w:t>
      </w:r>
      <w:r>
        <w:rPr>
          <w:spacing w:val="10"/>
        </w:rPr>
        <w:t>更加具体</w:t>
      </w:r>
      <w:r>
        <w:rPr>
          <w:spacing w:val="1"/>
        </w:rPr>
        <w:t>的规定。</w:t>
      </w:r>
    </w:p>
    <w:p w14:paraId="1726694E">
      <w:pPr>
        <w:pStyle w:val="2"/>
        <w:spacing w:before="1" w:line="356" w:lineRule="auto"/>
        <w:ind w:left="17" w:right="72" w:firstLine="642"/>
      </w:pPr>
      <w:r>
        <w:rPr>
          <w:b/>
          <w:bCs/>
          <w:spacing w:val="5"/>
        </w:rPr>
        <w:t>第七条</w:t>
      </w:r>
      <w:r>
        <w:rPr>
          <w:spacing w:val="5"/>
        </w:rPr>
        <w:t xml:space="preserve">  执法机构参照《裁量基准》行使行政处罚自</w:t>
      </w:r>
      <w:r>
        <w:rPr>
          <w:spacing w:val="-87"/>
        </w:rPr>
        <w:t xml:space="preserve"> </w:t>
      </w:r>
      <w:r>
        <w:rPr>
          <w:spacing w:val="5"/>
        </w:rPr>
        <w:t>由裁量权，</w:t>
      </w:r>
      <w:r>
        <w:rPr>
          <w:spacing w:val="8"/>
        </w:rPr>
        <w:t>应当在法律、法规和规章规定的范围内进行。</w:t>
      </w:r>
    </w:p>
    <w:p w14:paraId="28AA61A6">
      <w:pPr>
        <w:pStyle w:val="2"/>
        <w:spacing w:before="5" w:line="357" w:lineRule="auto"/>
        <w:ind w:left="17" w:right="4" w:firstLine="642"/>
      </w:pPr>
      <w:r>
        <w:rPr>
          <w:b/>
          <w:bCs/>
          <w:spacing w:val="7"/>
        </w:rPr>
        <w:t>第八条</w:t>
      </w:r>
      <w:r>
        <w:rPr>
          <w:spacing w:val="7"/>
        </w:rPr>
        <w:t xml:space="preserve">  执法机构参照《裁量基准》行使行政处罚自</w:t>
      </w:r>
      <w:r>
        <w:rPr>
          <w:spacing w:val="-77"/>
        </w:rPr>
        <w:t xml:space="preserve"> </w:t>
      </w:r>
      <w:r>
        <w:rPr>
          <w:spacing w:val="7"/>
        </w:rPr>
        <w:t>由裁量权，</w:t>
      </w:r>
      <w:r>
        <w:rPr>
          <w:spacing w:val="10"/>
        </w:rPr>
        <w:t>应当坚持合法合理、过罚相当、程序正当、行政效率、处罚与教育相</w:t>
      </w:r>
      <w:r>
        <w:rPr>
          <w:spacing w:val="4"/>
        </w:rPr>
        <w:t>结合的原则。</w:t>
      </w:r>
    </w:p>
    <w:p w14:paraId="554B0DAA">
      <w:pPr>
        <w:pStyle w:val="2"/>
        <w:spacing w:before="1" w:line="357" w:lineRule="auto"/>
        <w:ind w:left="16" w:firstLine="655"/>
      </w:pPr>
      <w:r>
        <w:rPr>
          <w:b/>
          <w:bCs/>
          <w:spacing w:val="9"/>
        </w:rPr>
        <w:t>第九条</w:t>
      </w:r>
      <w:r>
        <w:rPr>
          <w:spacing w:val="9"/>
        </w:rPr>
        <w:t xml:space="preserve">  同一违法行为违反不同法律、法规或者规章规定的，在</w:t>
      </w:r>
      <w:r>
        <w:rPr>
          <w:spacing w:val="8"/>
        </w:rPr>
        <w:t>适用具体法律条文时应当遵循下列原则：</w:t>
      </w:r>
    </w:p>
    <w:p w14:paraId="351D459C">
      <w:pPr>
        <w:pStyle w:val="2"/>
        <w:spacing w:before="1" w:line="227" w:lineRule="auto"/>
        <w:ind w:left="662"/>
      </w:pPr>
      <w:r>
        <w:rPr>
          <w:spacing w:val="7"/>
        </w:rPr>
        <w:t>（一）优先适用法律效力高的规定；</w:t>
      </w:r>
    </w:p>
    <w:p w14:paraId="3509DE14">
      <w:pPr>
        <w:pStyle w:val="2"/>
        <w:spacing w:before="218" w:line="227" w:lineRule="auto"/>
        <w:ind w:left="662"/>
      </w:pPr>
      <w:r>
        <w:rPr>
          <w:spacing w:val="8"/>
        </w:rPr>
        <w:t>（二）法律效力相同的，优先适用特别规定；</w:t>
      </w:r>
    </w:p>
    <w:p w14:paraId="7E910FE0">
      <w:pPr>
        <w:pStyle w:val="2"/>
        <w:spacing w:before="218" w:line="225" w:lineRule="auto"/>
        <w:ind w:left="662"/>
      </w:pPr>
      <w:r>
        <w:rPr>
          <w:spacing w:val="8"/>
        </w:rPr>
        <w:t>（三）法律效力相同的，优先适用生效时间在后的规定；</w:t>
      </w:r>
    </w:p>
    <w:p w14:paraId="5AFF8949">
      <w:pPr>
        <w:pStyle w:val="2"/>
        <w:spacing w:before="223" w:line="227" w:lineRule="auto"/>
        <w:ind w:right="2"/>
        <w:jc w:val="right"/>
      </w:pPr>
      <w:r>
        <w:rPr>
          <w:spacing w:val="5"/>
        </w:rPr>
        <w:t>（四）发生其他不一致，不能确定如何适用时，由有关机关按照</w:t>
      </w:r>
    </w:p>
    <w:p w14:paraId="021AB5E6">
      <w:pPr>
        <w:spacing w:line="227" w:lineRule="auto"/>
        <w:sectPr>
          <w:footerReference r:id="rId6" w:type="default"/>
          <w:pgSz w:w="11906" w:h="16839"/>
          <w:pgMar w:top="1389" w:right="1132" w:bottom="1072" w:left="1136" w:header="0" w:footer="836" w:gutter="0"/>
          <w:cols w:space="720" w:num="1"/>
        </w:sectPr>
      </w:pPr>
    </w:p>
    <w:p w14:paraId="7D3B55E9">
      <w:pPr>
        <w:pStyle w:val="2"/>
        <w:spacing w:before="64" w:line="226" w:lineRule="auto"/>
      </w:pPr>
      <w:r>
        <w:rPr>
          <w:spacing w:val="8"/>
        </w:rPr>
        <w:t>《</w:t>
      </w:r>
      <w:r>
        <w:rPr>
          <w:rFonts w:hint="eastAsia"/>
          <w:spacing w:val="8"/>
          <w:lang w:eastAsia="zh-CN"/>
        </w:rPr>
        <w:t>中华人民共和国立法法</w:t>
      </w:r>
      <w:r>
        <w:rPr>
          <w:spacing w:val="8"/>
        </w:rPr>
        <w:t>》的有关规定，作出裁决。</w:t>
      </w:r>
    </w:p>
    <w:p w14:paraId="39D61A22">
      <w:pPr>
        <w:pStyle w:val="2"/>
        <w:spacing w:before="222" w:line="357" w:lineRule="auto"/>
        <w:ind w:left="2" w:right="1" w:firstLine="642"/>
      </w:pPr>
      <w:r>
        <w:rPr>
          <w:b/>
          <w:bCs/>
          <w:spacing w:val="10"/>
        </w:rPr>
        <w:t>第十条</w:t>
      </w:r>
      <w:r>
        <w:rPr>
          <w:spacing w:val="10"/>
        </w:rPr>
        <w:t xml:space="preserve">  有下列情形之一的，执法机构在实施行</w:t>
      </w:r>
      <w:r>
        <w:rPr>
          <w:spacing w:val="9"/>
        </w:rPr>
        <w:t>政处罚时，</w:t>
      </w:r>
      <w:r>
        <w:rPr>
          <w:rFonts w:hint="eastAsia"/>
          <w:spacing w:val="9"/>
          <w:lang w:eastAsia="zh-CN"/>
        </w:rPr>
        <w:t>应当</w:t>
      </w:r>
      <w:r>
        <w:rPr>
          <w:spacing w:val="6"/>
        </w:rPr>
        <w:t>经过集体讨论决定：</w:t>
      </w:r>
    </w:p>
    <w:p w14:paraId="65807CBB">
      <w:pPr>
        <w:pStyle w:val="2"/>
        <w:spacing w:line="227" w:lineRule="auto"/>
        <w:ind w:left="636"/>
      </w:pPr>
      <w:r>
        <w:rPr>
          <w:spacing w:val="8"/>
        </w:rPr>
        <w:t>（一）案情重大、情节复杂、争议较大的；</w:t>
      </w:r>
    </w:p>
    <w:p w14:paraId="0806816E">
      <w:pPr>
        <w:pStyle w:val="2"/>
        <w:spacing w:before="219" w:line="226" w:lineRule="auto"/>
        <w:ind w:left="636"/>
      </w:pPr>
      <w:r>
        <w:rPr>
          <w:spacing w:val="8"/>
        </w:rPr>
        <w:t>（二）处罚较重，可能造成行政处罚执行困难或较大影响的；</w:t>
      </w:r>
    </w:p>
    <w:p w14:paraId="1F3796E4">
      <w:pPr>
        <w:pStyle w:val="2"/>
        <w:spacing w:before="219" w:line="228" w:lineRule="auto"/>
        <w:ind w:left="648"/>
      </w:pPr>
      <w:r>
        <w:rPr>
          <w:spacing w:val="6"/>
        </w:rPr>
        <w:t>（三）涉及重大公共利益；</w:t>
      </w:r>
    </w:p>
    <w:p w14:paraId="777A0E31">
      <w:pPr>
        <w:pStyle w:val="2"/>
        <w:spacing w:before="217" w:line="228" w:lineRule="auto"/>
        <w:ind w:left="648"/>
      </w:pPr>
      <w:r>
        <w:rPr>
          <w:spacing w:val="8"/>
        </w:rPr>
        <w:t>（四）直接关系当事人或者第三人重大权益的；</w:t>
      </w:r>
    </w:p>
    <w:p w14:paraId="6A87D86C">
      <w:pPr>
        <w:pStyle w:val="2"/>
        <w:spacing w:before="217" w:line="227" w:lineRule="auto"/>
        <w:ind w:left="588"/>
      </w:pPr>
      <w:r>
        <w:rPr>
          <w:spacing w:val="7"/>
        </w:rPr>
        <w:t>（五）其他需要集体讨论的。</w:t>
      </w:r>
    </w:p>
    <w:p w14:paraId="0B3A9287">
      <w:pPr>
        <w:pStyle w:val="2"/>
        <w:spacing w:before="219" w:line="357" w:lineRule="auto"/>
        <w:ind w:left="4" w:right="1" w:firstLine="593"/>
      </w:pPr>
      <w:r>
        <w:rPr>
          <w:b/>
          <w:bCs/>
          <w:spacing w:val="11"/>
        </w:rPr>
        <w:t>第十一条</w:t>
      </w:r>
      <w:r>
        <w:rPr>
          <w:spacing w:val="11"/>
        </w:rPr>
        <w:t xml:space="preserve">  有下列情形之一，在行政机关负责人作出行政处罚的</w:t>
      </w:r>
      <w:r>
        <w:rPr>
          <w:spacing w:val="10"/>
        </w:rPr>
        <w:t>决定之前，应当由从事行政处罚决定法制审核的人员进行法制审核；</w:t>
      </w:r>
      <w:r>
        <w:rPr>
          <w:spacing w:val="8"/>
        </w:rPr>
        <w:t>未经法制审核或者审核未通过的，不得作出决定：</w:t>
      </w:r>
    </w:p>
    <w:p w14:paraId="5F650BBD">
      <w:pPr>
        <w:pStyle w:val="2"/>
        <w:spacing w:before="1" w:line="228" w:lineRule="auto"/>
        <w:ind w:left="588"/>
      </w:pPr>
      <w:r>
        <w:rPr>
          <w:spacing w:val="7"/>
        </w:rPr>
        <w:t>（一）涉及重大公共利益的；</w:t>
      </w:r>
    </w:p>
    <w:p w14:paraId="288E147F">
      <w:pPr>
        <w:pStyle w:val="2"/>
        <w:spacing w:before="217" w:line="228" w:lineRule="auto"/>
        <w:ind w:left="588"/>
      </w:pPr>
      <w:r>
        <w:rPr>
          <w:spacing w:val="8"/>
        </w:rPr>
        <w:t>（二）直接关系当事人或者第三人重大权益，经过听证程序的；</w:t>
      </w:r>
    </w:p>
    <w:p w14:paraId="2F832B12">
      <w:pPr>
        <w:pStyle w:val="2"/>
        <w:spacing w:before="217" w:line="228" w:lineRule="auto"/>
        <w:ind w:left="588"/>
      </w:pPr>
      <w:r>
        <w:rPr>
          <w:spacing w:val="8"/>
        </w:rPr>
        <w:t>（三）案件情况疑难复杂、涉及多个法律关系的；</w:t>
      </w:r>
    </w:p>
    <w:p w14:paraId="5FD5E444">
      <w:pPr>
        <w:pStyle w:val="2"/>
        <w:spacing w:before="218" w:line="226" w:lineRule="auto"/>
        <w:ind w:left="588"/>
      </w:pPr>
      <w:r>
        <w:rPr>
          <w:spacing w:val="8"/>
        </w:rPr>
        <w:t>（四）法律、法规规定应当进行法制审核的其他情形。</w:t>
      </w:r>
    </w:p>
    <w:p w14:paraId="77F3ABA4">
      <w:pPr>
        <w:pStyle w:val="2"/>
        <w:spacing w:before="221" w:line="357" w:lineRule="auto"/>
        <w:ind w:left="6" w:right="1" w:firstLine="639"/>
      </w:pPr>
      <w:r>
        <w:rPr>
          <w:spacing w:val="10"/>
        </w:rPr>
        <w:t>行政机关中初次从事行政处罚决定法制审核的人员，应当通过国</w:t>
      </w:r>
      <w:r>
        <w:rPr>
          <w:spacing w:val="8"/>
        </w:rPr>
        <w:t>家统一法律职业资格考试取得法律职业资格。</w:t>
      </w:r>
    </w:p>
    <w:p w14:paraId="619C14A3">
      <w:pPr>
        <w:pStyle w:val="2"/>
        <w:spacing w:before="2" w:line="357" w:lineRule="auto"/>
        <w:ind w:left="5" w:right="1" w:firstLine="651"/>
      </w:pPr>
      <w:r>
        <w:rPr>
          <w:b/>
          <w:bCs/>
          <w:spacing w:val="9"/>
        </w:rPr>
        <w:t>第十二条</w:t>
      </w:r>
      <w:r>
        <w:rPr>
          <w:spacing w:val="9"/>
        </w:rPr>
        <w:t xml:space="preserve">  当事人有下列情形之一的，应当根据法律、法规、规</w:t>
      </w:r>
      <w:r>
        <w:rPr>
          <w:spacing w:val="8"/>
        </w:rPr>
        <w:t>章和《裁量基准》，从轻或者减轻处罚：</w:t>
      </w:r>
    </w:p>
    <w:p w14:paraId="51B05333">
      <w:pPr>
        <w:pStyle w:val="2"/>
        <w:spacing w:line="226" w:lineRule="auto"/>
        <w:ind w:left="648"/>
      </w:pPr>
      <w:r>
        <w:rPr>
          <w:spacing w:val="8"/>
        </w:rPr>
        <w:t>（一）主动消除或者减轻违法行为危害后果的；</w:t>
      </w:r>
    </w:p>
    <w:p w14:paraId="7CA44200">
      <w:pPr>
        <w:pStyle w:val="2"/>
        <w:spacing w:before="221" w:line="226" w:lineRule="auto"/>
        <w:ind w:left="648"/>
      </w:pPr>
      <w:r>
        <w:rPr>
          <w:spacing w:val="8"/>
        </w:rPr>
        <w:t>（二）受他人胁迫或者诱骗实施违法行为的；</w:t>
      </w:r>
    </w:p>
    <w:p w14:paraId="63BD2FA5">
      <w:pPr>
        <w:pStyle w:val="2"/>
        <w:spacing w:before="220" w:line="226" w:lineRule="auto"/>
        <w:ind w:left="648"/>
      </w:pPr>
      <w:r>
        <w:rPr>
          <w:spacing w:val="8"/>
        </w:rPr>
        <w:t>（三）主动供述行政机关尚未掌握的违法行为的；</w:t>
      </w:r>
    </w:p>
    <w:p w14:paraId="3E054A8C">
      <w:pPr>
        <w:pStyle w:val="2"/>
        <w:spacing w:before="221" w:line="226" w:lineRule="auto"/>
        <w:ind w:left="648"/>
      </w:pPr>
      <w:r>
        <w:rPr>
          <w:spacing w:val="8"/>
        </w:rPr>
        <w:t>（四）配合行政机关查处违法行为有立功表现的；</w:t>
      </w:r>
    </w:p>
    <w:p w14:paraId="7E2D70A0">
      <w:pPr>
        <w:spacing w:line="226" w:lineRule="auto"/>
        <w:sectPr>
          <w:footerReference r:id="rId7" w:type="default"/>
          <w:pgSz w:w="11906" w:h="16839"/>
          <w:pgMar w:top="1389" w:right="1133" w:bottom="1072" w:left="1151" w:header="0" w:footer="836" w:gutter="0"/>
          <w:cols w:space="720" w:num="1"/>
        </w:sectPr>
      </w:pPr>
    </w:p>
    <w:p w14:paraId="24A7EFE2">
      <w:pPr>
        <w:pStyle w:val="2"/>
        <w:spacing w:before="65" w:line="226" w:lineRule="auto"/>
        <w:jc w:val="right"/>
      </w:pPr>
      <w:r>
        <w:rPr>
          <w:spacing w:val="3"/>
        </w:rPr>
        <w:t>（五）法律、法规、规章规定其他应当从轻或者减轻行政处罚的。</w:t>
      </w:r>
    </w:p>
    <w:p w14:paraId="5BC602EE">
      <w:pPr>
        <w:pStyle w:val="2"/>
        <w:spacing w:before="220" w:line="357" w:lineRule="auto"/>
        <w:ind w:left="28" w:right="8" w:firstLine="644"/>
      </w:pPr>
      <w:r>
        <w:rPr>
          <w:b/>
          <w:bCs/>
          <w:spacing w:val="2"/>
        </w:rPr>
        <w:t>第十三条</w:t>
      </w:r>
      <w:r>
        <w:rPr>
          <w:spacing w:val="2"/>
        </w:rPr>
        <w:t xml:space="preserve">  当事人的违法行为有下列情形之一的，应当根据法律、</w:t>
      </w:r>
      <w:r>
        <w:rPr>
          <w:spacing w:val="7"/>
        </w:rPr>
        <w:t>法规、规章和《裁量基准》，从重处罚：</w:t>
      </w:r>
    </w:p>
    <w:p w14:paraId="6146C5B1">
      <w:pPr>
        <w:pStyle w:val="2"/>
        <w:spacing w:before="1" w:line="357" w:lineRule="auto"/>
        <w:ind w:left="50" w:right="114" w:firstLine="612"/>
      </w:pPr>
      <w:r>
        <w:rPr>
          <w:spacing w:val="10"/>
        </w:rPr>
        <w:t>（一）危及公共安全、社会安定、生命财产安全、生态环境安全</w:t>
      </w:r>
      <w:r>
        <w:rPr>
          <w:spacing w:val="4"/>
        </w:rPr>
        <w:t>以及直接关系人身健康的；</w:t>
      </w:r>
    </w:p>
    <w:p w14:paraId="65D0357E">
      <w:pPr>
        <w:pStyle w:val="2"/>
        <w:spacing w:before="1" w:line="225" w:lineRule="auto"/>
        <w:ind w:left="663"/>
      </w:pPr>
      <w:r>
        <w:rPr>
          <w:spacing w:val="6"/>
        </w:rPr>
        <w:t>（二）造成群体性事件的；</w:t>
      </w:r>
    </w:p>
    <w:p w14:paraId="5F6A7D04">
      <w:pPr>
        <w:pStyle w:val="2"/>
        <w:spacing w:before="221" w:line="226" w:lineRule="auto"/>
        <w:ind w:left="663"/>
      </w:pPr>
      <w:r>
        <w:rPr>
          <w:spacing w:val="8"/>
        </w:rPr>
        <w:t>（三）经提醒、告诫、约谈、劝阻等仍继续实施违法行为的；</w:t>
      </w:r>
    </w:p>
    <w:p w14:paraId="0D98EE52">
      <w:pPr>
        <w:pStyle w:val="2"/>
        <w:spacing w:before="220" w:line="227" w:lineRule="auto"/>
        <w:ind w:left="663"/>
      </w:pPr>
      <w:r>
        <w:rPr>
          <w:spacing w:val="8"/>
        </w:rPr>
        <w:t>（四）妨碍、阻挠、逃避或者抗拒执法的；</w:t>
      </w:r>
    </w:p>
    <w:p w14:paraId="523700F6">
      <w:pPr>
        <w:pStyle w:val="2"/>
        <w:spacing w:before="219" w:line="227" w:lineRule="auto"/>
        <w:ind w:left="663"/>
      </w:pPr>
      <w:r>
        <w:rPr>
          <w:spacing w:val="8"/>
        </w:rPr>
        <w:t>（五）隐瞒事实，伪造、藏匿、销毁有关证据的；</w:t>
      </w:r>
    </w:p>
    <w:p w14:paraId="0726E452">
      <w:pPr>
        <w:pStyle w:val="2"/>
        <w:spacing w:before="219" w:line="226" w:lineRule="auto"/>
        <w:ind w:left="663"/>
      </w:pPr>
      <w:r>
        <w:rPr>
          <w:spacing w:val="7"/>
        </w:rPr>
        <w:t>（六）胁迫、教唆他人实施违法行为的；</w:t>
      </w:r>
    </w:p>
    <w:p w14:paraId="4DD4AF66">
      <w:pPr>
        <w:pStyle w:val="2"/>
        <w:spacing w:before="220" w:line="226" w:lineRule="auto"/>
        <w:ind w:left="663"/>
      </w:pPr>
      <w:r>
        <w:rPr>
          <w:spacing w:val="7"/>
        </w:rPr>
        <w:t>（七）对检举人、证人实施打击报复的；</w:t>
      </w:r>
    </w:p>
    <w:p w14:paraId="5916B86D">
      <w:pPr>
        <w:pStyle w:val="2"/>
        <w:spacing w:before="221" w:line="357" w:lineRule="auto"/>
        <w:ind w:left="20" w:right="114" w:firstLine="642"/>
      </w:pPr>
      <w:r>
        <w:rPr>
          <w:spacing w:val="10"/>
        </w:rPr>
        <w:t>（八）在发生突发公共事件时实施违反突发事件应对措施的违法</w:t>
      </w:r>
      <w:r>
        <w:rPr>
          <w:spacing w:val="1"/>
        </w:rPr>
        <w:t>行为的；</w:t>
      </w:r>
    </w:p>
    <w:p w14:paraId="15F12656">
      <w:pPr>
        <w:pStyle w:val="2"/>
        <w:spacing w:before="1" w:line="226" w:lineRule="auto"/>
        <w:ind w:left="663"/>
      </w:pPr>
      <w:r>
        <w:rPr>
          <w:spacing w:val="8"/>
        </w:rPr>
        <w:t>（九）其他依法应当从重行政处罚的情形。</w:t>
      </w:r>
    </w:p>
    <w:p w14:paraId="50C48CB3">
      <w:pPr>
        <w:pStyle w:val="2"/>
        <w:spacing w:before="221" w:line="226" w:lineRule="auto"/>
        <w:ind w:left="672"/>
        <w:outlineLvl w:val="0"/>
      </w:pPr>
      <w:r>
        <w:rPr>
          <w:b/>
          <w:bCs/>
          <w:spacing w:val="7"/>
        </w:rPr>
        <w:t>第十四条</w:t>
      </w:r>
      <w:r>
        <w:rPr>
          <w:spacing w:val="7"/>
        </w:rPr>
        <w:t xml:space="preserve">  有下列情形之一的，不予行政处罚：</w:t>
      </w:r>
    </w:p>
    <w:p w14:paraId="33AB21D0">
      <w:pPr>
        <w:pStyle w:val="2"/>
        <w:spacing w:before="220" w:line="227" w:lineRule="auto"/>
        <w:ind w:left="663"/>
      </w:pPr>
      <w:r>
        <w:rPr>
          <w:spacing w:val="7"/>
        </w:rPr>
        <w:t>（一）违法事实不能成立的；</w:t>
      </w:r>
    </w:p>
    <w:p w14:paraId="5ACDD749">
      <w:pPr>
        <w:pStyle w:val="2"/>
        <w:spacing w:before="220" w:line="357" w:lineRule="auto"/>
        <w:ind w:left="19" w:right="114" w:firstLine="644"/>
      </w:pPr>
      <w:r>
        <w:rPr>
          <w:spacing w:val="10"/>
        </w:rPr>
        <w:t>（二）违法行为轻微并及时改正，没有造成危害后果的，不予行</w:t>
      </w:r>
      <w:r>
        <w:rPr>
          <w:spacing w:val="1"/>
        </w:rPr>
        <w:t>政处罚；</w:t>
      </w:r>
    </w:p>
    <w:p w14:paraId="6CF478A9">
      <w:pPr>
        <w:pStyle w:val="2"/>
        <w:spacing w:before="2" w:line="356" w:lineRule="auto"/>
        <w:ind w:left="658" w:right="199" w:firstLine="4"/>
      </w:pPr>
      <w:r>
        <w:rPr>
          <w:spacing w:val="5"/>
        </w:rPr>
        <w:t>（三）</w:t>
      </w:r>
      <w:r>
        <w:rPr>
          <w:spacing w:val="-88"/>
        </w:rPr>
        <w:t xml:space="preserve"> </w:t>
      </w:r>
      <w:r>
        <w:rPr>
          <w:spacing w:val="5"/>
        </w:rPr>
        <w:t>当事人有证据足以证明没有主观过错的，不予行政处</w:t>
      </w:r>
      <w:r>
        <w:rPr>
          <w:spacing w:val="4"/>
        </w:rPr>
        <w:t>罚。</w:t>
      </w:r>
      <w:r>
        <w:rPr>
          <w:spacing w:val="9"/>
        </w:rPr>
        <w:t>初次违法且危害后果轻微并及时改正的，可</w:t>
      </w:r>
      <w:r>
        <w:rPr>
          <w:spacing w:val="8"/>
        </w:rPr>
        <w:t>以不予行政处罚。</w:t>
      </w:r>
    </w:p>
    <w:p w14:paraId="3C51CDE0">
      <w:pPr>
        <w:pStyle w:val="2"/>
        <w:spacing w:before="3" w:line="226" w:lineRule="auto"/>
        <w:ind w:left="661"/>
      </w:pPr>
      <w:r>
        <w:rPr>
          <w:spacing w:val="10"/>
        </w:rPr>
        <w:t>对当事人的违法行为依法不予行政处罚的，行政机关应当对当事</w:t>
      </w:r>
    </w:p>
    <w:p w14:paraId="5E629A3B">
      <w:pPr>
        <w:pStyle w:val="2"/>
        <w:spacing w:before="220" w:line="226" w:lineRule="auto"/>
        <w:ind w:left="23"/>
      </w:pPr>
      <w:r>
        <w:rPr>
          <w:spacing w:val="3"/>
        </w:rPr>
        <w:t>人进行教育。</w:t>
      </w:r>
    </w:p>
    <w:p w14:paraId="03966581">
      <w:pPr>
        <w:pStyle w:val="2"/>
        <w:spacing w:before="220" w:line="227" w:lineRule="auto"/>
        <w:ind w:left="672"/>
      </w:pPr>
      <w:r>
        <w:rPr>
          <w:b/>
          <w:bCs/>
          <w:spacing w:val="9"/>
        </w:rPr>
        <w:t>第十五条</w:t>
      </w:r>
      <w:r>
        <w:rPr>
          <w:spacing w:val="9"/>
        </w:rPr>
        <w:t xml:space="preserve">  如具有相关法律、法规和规章规定或本规则的规定依</w:t>
      </w:r>
    </w:p>
    <w:p w14:paraId="35619DE4">
      <w:pPr>
        <w:spacing w:line="227" w:lineRule="auto"/>
        <w:sectPr>
          <w:footerReference r:id="rId8" w:type="default"/>
          <w:pgSz w:w="11906" w:h="16839"/>
          <w:pgMar w:top="1389" w:right="1021" w:bottom="1072" w:left="1135" w:header="0" w:footer="836" w:gutter="0"/>
          <w:cols w:space="720" w:num="1"/>
        </w:sectPr>
      </w:pPr>
    </w:p>
    <w:p w14:paraId="6280137B">
      <w:pPr>
        <w:pStyle w:val="2"/>
        <w:spacing w:before="65" w:line="226" w:lineRule="auto"/>
        <w:ind w:left="11"/>
      </w:pPr>
      <w:r>
        <w:rPr>
          <w:spacing w:val="8"/>
        </w:rPr>
        <w:t>法予以从轻、减轻或从重处罚的，应当按照下列规定执行：</w:t>
      </w:r>
    </w:p>
    <w:p w14:paraId="7D6367C9">
      <w:pPr>
        <w:pStyle w:val="2"/>
        <w:spacing w:before="219" w:line="357" w:lineRule="auto"/>
        <w:ind w:left="39" w:right="2" w:firstLine="606"/>
      </w:pPr>
      <w:r>
        <w:rPr>
          <w:spacing w:val="10"/>
        </w:rPr>
        <w:t>（一）依法予以从轻处罚的，应当在法定的处罚种类和处罚幅度</w:t>
      </w:r>
      <w:r>
        <w:rPr>
          <w:spacing w:val="7"/>
        </w:rPr>
        <w:t>内，选择较轻的处罚种类或者选择较低的处罚幅度进行处罚；</w:t>
      </w:r>
    </w:p>
    <w:p w14:paraId="4239C6B6">
      <w:pPr>
        <w:pStyle w:val="2"/>
        <w:spacing w:before="2" w:line="357" w:lineRule="auto"/>
        <w:ind w:left="9" w:right="2" w:firstLine="636"/>
      </w:pPr>
      <w:r>
        <w:rPr>
          <w:spacing w:val="10"/>
        </w:rPr>
        <w:t>（二）依法予以减轻处罚的，应当在法定的处罚种类或处罚幅度</w:t>
      </w:r>
      <w:r>
        <w:rPr>
          <w:spacing w:val="6"/>
        </w:rPr>
        <w:t>最低限以下进行处罚或处理；</w:t>
      </w:r>
    </w:p>
    <w:p w14:paraId="3D0A3013">
      <w:pPr>
        <w:pStyle w:val="2"/>
        <w:spacing w:before="3" w:line="356" w:lineRule="auto"/>
        <w:ind w:left="39" w:right="2" w:firstLine="606"/>
      </w:pPr>
      <w:r>
        <w:rPr>
          <w:spacing w:val="10"/>
        </w:rPr>
        <w:t>（三）依法予以从重处罚的，应当在法定的处罚种类和处罚幅度</w:t>
      </w:r>
      <w:r>
        <w:rPr>
          <w:spacing w:val="7"/>
        </w:rPr>
        <w:t>内，选择较重的处罚种类或者选择较高的处罚幅度进行处罚。</w:t>
      </w:r>
    </w:p>
    <w:p w14:paraId="723E1F07">
      <w:pPr>
        <w:pStyle w:val="2"/>
        <w:spacing w:before="2" w:line="357" w:lineRule="auto"/>
        <w:ind w:left="2" w:firstLine="641"/>
      </w:pPr>
      <w:r>
        <w:rPr>
          <w:b/>
          <w:bCs/>
          <w:spacing w:val="-1"/>
        </w:rPr>
        <w:t>第十六条</w:t>
      </w:r>
      <w:r>
        <w:rPr>
          <w:spacing w:val="-1"/>
        </w:rPr>
        <w:t xml:space="preserve">  《裁量基准》表格中“</w:t>
      </w:r>
      <w:r>
        <w:rPr>
          <w:spacing w:val="-91"/>
        </w:rPr>
        <w:t xml:space="preserve"> </w:t>
      </w:r>
      <w:r>
        <w:rPr>
          <w:spacing w:val="-1"/>
        </w:rPr>
        <w:t>以上</w:t>
      </w:r>
      <w:r>
        <w:rPr>
          <w:spacing w:val="-110"/>
        </w:rPr>
        <w:t xml:space="preserve"> </w:t>
      </w:r>
      <w:r>
        <w:rPr>
          <w:spacing w:val="-1"/>
        </w:rPr>
        <w:t>”“</w:t>
      </w:r>
      <w:r>
        <w:rPr>
          <w:spacing w:val="-99"/>
        </w:rPr>
        <w:t xml:space="preserve"> </w:t>
      </w:r>
      <w:r>
        <w:rPr>
          <w:spacing w:val="-1"/>
        </w:rPr>
        <w:t>以下</w:t>
      </w:r>
      <w:r>
        <w:rPr>
          <w:spacing w:val="-107"/>
        </w:rPr>
        <w:t xml:space="preserve"> </w:t>
      </w:r>
      <w:r>
        <w:rPr>
          <w:spacing w:val="-1"/>
        </w:rPr>
        <w:t>”“</w:t>
      </w:r>
      <w:r>
        <w:rPr>
          <w:spacing w:val="-99"/>
        </w:rPr>
        <w:t xml:space="preserve"> </w:t>
      </w:r>
      <w:r>
        <w:rPr>
          <w:spacing w:val="-1"/>
        </w:rPr>
        <w:t>以内</w:t>
      </w:r>
      <w:r>
        <w:rPr>
          <w:spacing w:val="-112"/>
        </w:rPr>
        <w:t xml:space="preserve"> </w:t>
      </w:r>
      <w:r>
        <w:rPr>
          <w:spacing w:val="-1"/>
        </w:rPr>
        <w:t>”均含</w:t>
      </w:r>
      <w:r>
        <w:rPr>
          <w:spacing w:val="2"/>
        </w:rPr>
        <w:t>本数，“不满</w:t>
      </w:r>
      <w:r>
        <w:rPr>
          <w:spacing w:val="-99"/>
        </w:rPr>
        <w:t xml:space="preserve"> </w:t>
      </w:r>
      <w:r>
        <w:rPr>
          <w:spacing w:val="2"/>
        </w:rPr>
        <w:t>”“超过</w:t>
      </w:r>
      <w:r>
        <w:rPr>
          <w:spacing w:val="-110"/>
        </w:rPr>
        <w:t xml:space="preserve"> </w:t>
      </w:r>
      <w:r>
        <w:rPr>
          <w:spacing w:val="2"/>
        </w:rPr>
        <w:t>”均不含本数。</w:t>
      </w:r>
    </w:p>
    <w:p w14:paraId="6953A482">
      <w:pPr>
        <w:pStyle w:val="2"/>
        <w:spacing w:before="2" w:line="357" w:lineRule="auto"/>
        <w:ind w:firstLine="643"/>
      </w:pPr>
      <w:r>
        <w:rPr>
          <w:b/>
          <w:bCs/>
          <w:spacing w:val="8"/>
        </w:rPr>
        <w:t>第十七条</w:t>
      </w:r>
      <w:r>
        <w:rPr>
          <w:spacing w:val="8"/>
        </w:rPr>
        <w:t xml:space="preserve">  《裁量基准》表格中的“处罚幅度”部分记载的“责</w:t>
      </w:r>
      <w:r>
        <w:rPr>
          <w:spacing w:val="2"/>
        </w:rPr>
        <w:t>令改正</w:t>
      </w:r>
      <w:r>
        <w:rPr>
          <w:rFonts w:hint="eastAsia"/>
          <w:spacing w:val="2"/>
          <w:lang w:eastAsia="zh-CN"/>
        </w:rPr>
        <w:t>”“</w:t>
      </w:r>
      <w:r>
        <w:rPr>
          <w:spacing w:val="2"/>
        </w:rPr>
        <w:t>责令限期改正</w:t>
      </w:r>
      <w:r>
        <w:rPr>
          <w:rFonts w:hint="eastAsia"/>
          <w:spacing w:val="2"/>
          <w:lang w:eastAsia="zh-CN"/>
        </w:rPr>
        <w:t>”“</w:t>
      </w:r>
      <w:r>
        <w:rPr>
          <w:spacing w:val="2"/>
        </w:rPr>
        <w:t>责令限期补办登记手续”等</w:t>
      </w:r>
      <w:r>
        <w:rPr>
          <w:spacing w:val="1"/>
        </w:rPr>
        <w:t>其他措</w:t>
      </w:r>
      <w:r>
        <w:rPr>
          <w:spacing w:val="10"/>
        </w:rPr>
        <w:t>施，并非行政处罚，用于提示执法机构在行政处罚的同时采取其他措</w:t>
      </w:r>
      <w:r>
        <w:rPr>
          <w:spacing w:val="-6"/>
        </w:rPr>
        <w:t>施。</w:t>
      </w:r>
    </w:p>
    <w:p w14:paraId="7DFD6337">
      <w:pPr>
        <w:pStyle w:val="2"/>
        <w:spacing w:before="1" w:line="357" w:lineRule="auto"/>
        <w:ind w:left="30" w:firstLine="612"/>
      </w:pPr>
      <w:r>
        <w:rPr>
          <w:b/>
          <w:bCs/>
          <w:spacing w:val="10"/>
        </w:rPr>
        <w:t>第十八条</w:t>
      </w:r>
      <w:r>
        <w:rPr>
          <w:spacing w:val="10"/>
        </w:rPr>
        <w:t xml:space="preserve">  《裁量基准》及本规则的具体适用</w:t>
      </w:r>
      <w:r>
        <w:rPr>
          <w:spacing w:val="9"/>
        </w:rPr>
        <w:t>由湖北省住房和城</w:t>
      </w:r>
      <w:r>
        <w:rPr>
          <w:spacing w:val="3"/>
        </w:rPr>
        <w:t>乡建设厅负责解释。</w:t>
      </w:r>
    </w:p>
    <w:p w14:paraId="612C8912">
      <w:pPr>
        <w:pStyle w:val="2"/>
        <w:spacing w:before="1" w:line="357" w:lineRule="auto"/>
        <w:ind w:left="2" w:right="2" w:firstLine="641"/>
      </w:pPr>
      <w:r>
        <w:rPr>
          <w:b/>
          <w:bCs/>
          <w:spacing w:val="-4"/>
        </w:rPr>
        <w:t>第十九条</w:t>
      </w:r>
      <w:r>
        <w:rPr>
          <w:spacing w:val="-4"/>
        </w:rPr>
        <w:t xml:space="preserve">  本规则及《裁量基准》自</w:t>
      </w:r>
      <w:r>
        <w:rPr>
          <w:spacing w:val="-47"/>
        </w:rPr>
        <w:t xml:space="preserve"> </w:t>
      </w:r>
      <w:r>
        <w:rPr>
          <w:spacing w:val="-4"/>
        </w:rPr>
        <w:t>2022</w:t>
      </w:r>
      <w:r>
        <w:rPr>
          <w:spacing w:val="-47"/>
        </w:rPr>
        <w:t xml:space="preserve"> </w:t>
      </w:r>
      <w:r>
        <w:rPr>
          <w:spacing w:val="-4"/>
        </w:rPr>
        <w:t>年</w:t>
      </w:r>
      <w:r>
        <w:rPr>
          <w:spacing w:val="-41"/>
        </w:rPr>
        <w:t xml:space="preserve"> </w:t>
      </w:r>
      <w:r>
        <w:rPr>
          <w:spacing w:val="-4"/>
        </w:rPr>
        <w:t>1</w:t>
      </w:r>
      <w:r>
        <w:rPr>
          <w:spacing w:val="-38"/>
        </w:rPr>
        <w:t xml:space="preserve"> </w:t>
      </w:r>
      <w:r>
        <w:rPr>
          <w:spacing w:val="-4"/>
        </w:rPr>
        <w:t>月</w:t>
      </w:r>
      <w:r>
        <w:rPr>
          <w:spacing w:val="-39"/>
        </w:rPr>
        <w:t xml:space="preserve"> </w:t>
      </w:r>
      <w:r>
        <w:rPr>
          <w:spacing w:val="-4"/>
        </w:rPr>
        <w:t>1 日起施行，有</w:t>
      </w:r>
      <w:r>
        <w:rPr>
          <w:spacing w:val="4"/>
        </w:rPr>
        <w:t>效期</w:t>
      </w:r>
      <w:r>
        <w:rPr>
          <w:spacing w:val="-51"/>
        </w:rPr>
        <w:t xml:space="preserve"> </w:t>
      </w:r>
      <w:r>
        <w:rPr>
          <w:spacing w:val="4"/>
        </w:rPr>
        <w:t>5</w:t>
      </w:r>
      <w:r>
        <w:rPr>
          <w:spacing w:val="-42"/>
        </w:rPr>
        <w:t xml:space="preserve"> </w:t>
      </w:r>
      <w:r>
        <w:rPr>
          <w:spacing w:val="4"/>
        </w:rPr>
        <w:t>年。2010</w:t>
      </w:r>
      <w:r>
        <w:rPr>
          <w:spacing w:val="-42"/>
        </w:rPr>
        <w:t xml:space="preserve"> </w:t>
      </w:r>
      <w:r>
        <w:rPr>
          <w:spacing w:val="4"/>
        </w:rPr>
        <w:t>年</w:t>
      </w:r>
      <w:r>
        <w:rPr>
          <w:spacing w:val="-54"/>
        </w:rPr>
        <w:t xml:space="preserve"> </w:t>
      </w:r>
      <w:r>
        <w:rPr>
          <w:spacing w:val="4"/>
        </w:rPr>
        <w:t>5</w:t>
      </w:r>
      <w:r>
        <w:rPr>
          <w:spacing w:val="-33"/>
        </w:rPr>
        <w:t xml:space="preserve"> </w:t>
      </w:r>
      <w:r>
        <w:rPr>
          <w:spacing w:val="4"/>
        </w:rPr>
        <w:t>月</w:t>
      </w:r>
      <w:r>
        <w:rPr>
          <w:spacing w:val="-54"/>
        </w:rPr>
        <w:t xml:space="preserve"> </w:t>
      </w:r>
      <w:r>
        <w:rPr>
          <w:spacing w:val="4"/>
        </w:rPr>
        <w:t>21 日起施行的</w:t>
      </w:r>
      <w:r>
        <w:rPr>
          <w:rFonts w:hint="eastAsia"/>
          <w:spacing w:val="4"/>
          <w:lang w:eastAsia="zh-CN"/>
        </w:rPr>
        <w:t>《湖北省住房和城乡建设行政处罚裁量权基准（试行）》</w:t>
      </w:r>
      <w:r>
        <w:rPr>
          <w:spacing w:val="-71"/>
        </w:rPr>
        <w:t xml:space="preserve"> </w:t>
      </w:r>
      <w:r>
        <w:rPr>
          <w:spacing w:val="3"/>
        </w:rPr>
        <w:t>同时废止。</w:t>
      </w:r>
    </w:p>
    <w:sectPr>
      <w:footerReference r:id="rId9" w:type="default"/>
      <w:pgSz w:w="11906" w:h="16839"/>
      <w:pgMar w:top="1389" w:right="1132" w:bottom="1012" w:left="1152" w:header="0" w:footer="85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467F3F">
    <w:pPr>
      <w:spacing w:line="226" w:lineRule="exact"/>
      <w:ind w:left="9552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position w:val="1"/>
        <w:sz w:val="18"/>
        <w:szCs w:val="18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7ED07F">
    <w:pPr>
      <w:spacing w:line="226" w:lineRule="exac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position w:val="1"/>
        <w:sz w:val="18"/>
        <w:szCs w:val="18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3CBE80">
    <w:pPr>
      <w:spacing w:line="226" w:lineRule="exact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8"/>
        <w:position w:val="1"/>
        <w:sz w:val="18"/>
        <w:szCs w:val="18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DFEB2C">
    <w:pPr>
      <w:spacing w:line="226" w:lineRule="exac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position w:val="1"/>
        <w:sz w:val="18"/>
        <w:szCs w:val="18"/>
      </w:rPr>
      <w:t>4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F1AA20">
    <w:pPr>
      <w:spacing w:line="173" w:lineRule="auto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9"/>
        <w:sz w:val="18"/>
        <w:szCs w:val="18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BEE1A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a14df0f1-e597-4099-a35e-906da99cae4e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20B92423</paraID>
      <start>87</start>
      <end>92</end>
      <status>ignored</status>
      <modifiedWord/>
      <trackRevisions>false</trackRevisions>
    </reviewItem>
    <reviewItem>
      <errorID>9cff61a1-5093-403f-b97b-4540cee768bb</errorID>
      <errorWord>》</errorWord>
      <group>L1_Word</group>
      <groupName>字词问题</groupName>
      <ability>L2_Typo</ability>
      <abilityName>字词错误</abilityName>
      <candidateList>
        <item>》等</item>
      </candidateList>
      <explain/>
      <paraID>20B92423</paraID>
      <start>146</start>
      <end>148</end>
      <status>modified</status>
      <modifiedWord>》等</modifiedWord>
      <trackRevisions>false</trackRevisions>
    </reviewItem>
    <reviewItem>
      <errorID>9ff0e2ae-bf12-4c9b-b0bb-209c33a4f6b8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4C04ED9B</paraID>
      <start>72</start>
      <end>77</end>
      <status>ignored</status>
      <modifiedWord/>
      <trackRevisions>false</trackRevisions>
    </reviewItem>
    <reviewItem>
      <errorID>baa21a08-34a1-484c-be99-b0154e287f9b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271B2B70</paraID>
      <start>44</start>
      <end>49</end>
      <status>ignored</status>
      <modifiedWord/>
      <trackRevisions>false</trackRevisions>
    </reviewItem>
    <reviewItem>
      <errorID>88efe5b3-0b50-45a5-a3bb-db555b81c9ed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1726694E</paraID>
      <start>33</start>
      <end>38</end>
      <status>ignored</status>
      <modifiedWord/>
      <trackRevisions>false</trackRevisions>
    </reviewItem>
    <reviewItem>
      <errorID>7cca7267-0107-4e8f-b66b-7445545e94d7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554B0DAA</paraID>
      <start>15</start>
      <end>20</end>
      <status>ignored</status>
      <modifiedWord/>
      <trackRevisions>false</trackRevisions>
    </reviewItem>
    <reviewItem>
      <errorID>cbdd17ba-8bd9-4e64-bcb1-d60166b3b0fa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5FD5E444</paraID>
      <start>3</start>
      <end>8</end>
      <status>ignored</status>
      <modifiedWord/>
      <trackRevisions>false</trackRevisions>
    </reviewItem>
    <reviewItem>
      <errorID>5981417e-b2cc-4f1d-9e63-ab016eaf697f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619C14A3</paraID>
      <start>22</start>
      <end>27</end>
      <status>ignored</status>
      <modifiedWord/>
      <trackRevisions>false</trackRevisions>
    </reviewItem>
    <reviewItem>
      <errorID>b421190c-671a-40f0-afbf-0711c9bbd578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24A7EFE2</paraID>
      <start>3</start>
      <end>8</end>
      <status>ignored</status>
      <modifiedWord/>
      <trackRevisions>false</trackRevisions>
    </reviewItem>
    <reviewItem>
      <errorID>8de84cae-23f7-4d0f-87c5-b636525ab4c4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5BC602EE</paraID>
      <start>27</start>
      <end>32</end>
      <status>ignored</status>
      <modifiedWord/>
      <trackRevisions>false</trackRevisions>
    </reviewItem>
    <reviewItem>
      <errorID>39448b9c-aa5b-4be8-8f8e-eb0cee7d0dc4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 3966581</paraID>
      <start>11</start>
      <end>16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c2324a7-bd9c-4987-8c45-e4bd33ad0ec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2396</Words>
  <Characters>2406</Characters>
  <TotalTime>10</TotalTime>
  <ScaleCrop>false</ScaleCrop>
  <LinksUpToDate>false</LinksUpToDate>
  <CharactersWithSpaces>2486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2022-01-24T09:17:00Z</dcterms:created>
  <dc:creator>Log</dc:creator>
  <cp:lastModifiedBy>玄月思辄</cp:lastModifiedBy>
  <dcterms:modified xsi:type="dcterms:W3CDTF">2026-09-10T07:45:02Z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2026-09-10T15:34:11Z</vt:filetime>
  </property>
  <property fmtid="{D5CDD505-2E9C-101B-9397-08002B2CF9AE}" pid="4" name="KSOTemplateDocerSaveRecord">
    <vt:lpwstr>eyJoZGlkIjoiYmMwNzgyYzMyYmU0NDVlMTlhZTEzYWZjNTA2OWFkNDAiLCJ1c2VySWQiOiIxMjQ1NDU5MSJ9</vt:lpwstr>
  </property>
  <property fmtid="{D5CDD505-2E9C-101B-9397-08002B2CF9AE}" pid="5" name="KSOProductBuildVer">
    <vt:lpwstr>2052-12.1.0.28043</vt:lpwstr>
  </property>
  <property fmtid="{D5CDD505-2E9C-101B-9397-08002B2CF9AE}" pid="6" name="ICV">
    <vt:lpwstr>4968D779C33B4BDD806BA9FF0F783E94_12</vt:lpwstr>
  </property>
</Properties>
</file>