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left="0" w:leftChars="0" w:right="420" w:rightChars="200" w:firstLine="2560" w:firstLineChars="800"/>
        <w:jc w:val="left"/>
        <w:textAlignment w:val="auto"/>
        <w:rPr>
          <w:rFonts w:hint="default"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SXZC-2022-0003</w:t>
      </w: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eastAsia" w:ascii="Times New Roman" w:hAnsi="Times New Roman" w:cs="Times New Roman" w:eastAsiaTheme="minorEastAsia"/>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eastAsia="zh-CN"/>
        </w:rPr>
        <w:t>计算机实训室建设项目</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电脑及电脑桌等相关设备</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headerReference r:id="rId3" w:type="default"/>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5月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90"/>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第二章磋商须知</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rFonts w:hint="eastAsia" w:cs="Times New Roman" w:asciiTheme="majorEastAsia" w:hAnsiTheme="majorEastAsia" w:eastAsiaTheme="majorEastAsia"/>
              <w:b/>
              <w:color w:val="auto"/>
              <w:sz w:val="30"/>
              <w:szCs w:val="30"/>
              <w:lang w:val="hr-HR" w:bidi="ar-EG"/>
            </w:rPr>
            <w:t>采购</w:t>
          </w:r>
          <w:r>
            <w:rPr>
              <w:rFonts w:hint="eastAsia" w:cs="Times New Roman" w:asciiTheme="majorEastAsia" w:hAnsiTheme="majorEastAsia" w:eastAsiaTheme="majorEastAsia"/>
              <w:b/>
              <w:color w:val="auto"/>
              <w:sz w:val="30"/>
              <w:szCs w:val="30"/>
            </w:rPr>
            <w:t>货物技术参数、规格及要求</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第六章响应文件格式</w:t>
          </w:r>
          <w:r>
            <w:rPr>
              <w:b/>
              <w:color w:val="auto"/>
              <w:sz w:val="30"/>
              <w:szCs w:val="30"/>
            </w:rPr>
            <w:fldChar w:fldCharType="end"/>
          </w: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ind w:left="0" w:leftChars="0" w:firstLine="0" w:firstLineChars="0"/>
            <w:rPr>
              <w:color w:val="auto"/>
            </w:rPr>
          </w:pPr>
        </w:p>
        <w:p>
          <w:pPr>
            <w:pStyle w:val="191"/>
            <w:tabs>
              <w:tab w:val="right" w:leader="dot" w:pos="8820"/>
            </w:tabs>
            <w:ind w:left="0" w:leftChars="0" w:firstLine="0" w:firstLineChars="0"/>
            <w:rPr>
              <w:color w:val="auto"/>
            </w:rPr>
          </w:pPr>
        </w:p>
        <w:p>
          <w:pPr>
            <w:pStyle w:val="191"/>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随县职业技术教育中心计算机实训室建设项目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28359012"/>
      <w:bookmarkStart w:id="3" w:name="_Toc17951"/>
      <w:bookmarkStart w:id="4" w:name="_Toc28359089"/>
      <w:bookmarkStart w:id="5" w:name="_Toc35393798"/>
      <w:bookmarkStart w:id="6" w:name="_Toc35393629"/>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2022-02-001649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随县职业技术教育中心计算机实训室建设项目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校级</w:t>
      </w:r>
      <w:r>
        <w:rPr>
          <w:rFonts w:hint="eastAsia" w:ascii="宋体" w:hAnsi="宋体"/>
          <w:sz w:val="24"/>
          <w:szCs w:val="24"/>
          <w:lang w:val="en-US" w:eastAsia="zh-CN"/>
        </w:rPr>
        <w:t>集中管理运维服务器1套，触控一体机4套，控制讲台4台，台式计算机270台，教学软件270套，电脑桌椅135套及相应配套设备</w:t>
      </w:r>
      <w:r>
        <w:rPr>
          <w:rFonts w:hint="eastAsia" w:ascii="宋体" w:hAnsi="宋体" w:eastAsia="宋体" w:cs="宋体"/>
          <w:color w:val="auto"/>
          <w:sz w:val="24"/>
          <w:szCs w:val="24"/>
          <w:lang w:eastAsia="zh-CN"/>
        </w:rPr>
        <w:t>（具体内容</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w:t>
      </w:r>
      <w:r>
        <w:rPr>
          <w:rFonts w:hint="eastAsia" w:ascii="Times New Roman" w:hAnsi="Times New Roman" w:eastAsia="宋体" w:cs="Times New Roman"/>
          <w:color w:val="auto"/>
          <w:sz w:val="24"/>
          <w:szCs w:val="24"/>
        </w:rPr>
        <w:t>合同签订</w:t>
      </w:r>
      <w:r>
        <w:rPr>
          <w:rFonts w:hint="eastAsia" w:ascii="Times New Roman" w:hAnsi="Times New Roman" w:eastAsia="宋体" w:cs="Times New Roman"/>
          <w:color w:val="auto"/>
          <w:sz w:val="24"/>
          <w:szCs w:val="24"/>
          <w:lang w:eastAsia="zh-CN"/>
        </w:rPr>
        <w:t>之日起</w:t>
      </w:r>
      <w:r>
        <w:rPr>
          <w:rFonts w:hint="eastAsia" w:ascii="Times New Roman" w:hAnsi="Times New Roman" w:eastAsia="宋体" w:cs="Times New Roman"/>
          <w:color w:val="auto"/>
          <w:sz w:val="24"/>
          <w:szCs w:val="24"/>
          <w:lang w:val="en-US" w:eastAsia="zh-CN"/>
        </w:rPr>
        <w:t>1个月内完成</w:t>
      </w:r>
      <w:r>
        <w:rPr>
          <w:rFonts w:hint="eastAsia"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kinsoku/>
        <w:wordWrap/>
        <w:overflowPunct/>
        <w:topLinePunct w:val="0"/>
        <w:autoSpaceDE/>
        <w:autoSpaceDN/>
        <w:bidi w:val="0"/>
        <w:adjustRightInd/>
        <w:snapToGrid w:val="0"/>
        <w:spacing w:line="336" w:lineRule="auto"/>
        <w:ind w:firstLine="480" w:firstLineChars="200"/>
        <w:textAlignment w:val="auto"/>
        <w:rPr>
          <w:rFonts w:hint="eastAsia"/>
          <w:lang w:val="en-US" w:eastAsia="zh-CN"/>
        </w:rPr>
      </w:pPr>
      <w:r>
        <w:rPr>
          <w:rFonts w:hint="eastAsia" w:ascii="宋体" w:hAnsi="宋体" w:cs="宋体"/>
          <w:sz w:val="24"/>
          <w:szCs w:val="24"/>
        </w:rPr>
        <w:t>本项目（是/否）专门面向中小微企业：</w:t>
      </w:r>
      <w:r>
        <w:rPr>
          <w:rFonts w:hint="eastAsia" w:ascii="宋体" w:hAnsi="宋体" w:cs="宋体"/>
          <w:sz w:val="24"/>
          <w:szCs w:val="24"/>
          <w:lang w:eastAsia="zh-CN"/>
        </w:rPr>
        <w:t>是</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28359090"/>
      <w:bookmarkStart w:id="8" w:name="_Toc35393630"/>
      <w:bookmarkStart w:id="9" w:name="_Toc35393799"/>
      <w:bookmarkStart w:id="10" w:name="_Toc28359013"/>
      <w:bookmarkStart w:id="11" w:name="_Toc30736"/>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91"/>
      <w:bookmarkStart w:id="13" w:name="_Toc28359014"/>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6、本项目的特定资格要求：无</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时间：</w:t>
      </w:r>
      <w:r>
        <w:rPr>
          <w:rFonts w:hint="eastAsia" w:ascii="仿宋" w:hAnsi="仿宋" w:cs="仿宋"/>
          <w:color w:val="auto"/>
          <w:spacing w:val="-3"/>
          <w:sz w:val="24"/>
          <w:lang w:val="en-US" w:eastAsia="zh-CN"/>
        </w:rPr>
        <w:t>2022年5月25日至2022年5月31日，每天上午00:00 至12:00，下午12:00 至24:00（北京时间，法定节假日除外）。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color w:val="auto"/>
          <w:spacing w:val="-2"/>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ascii="仿宋" w:hAnsi="仿宋" w:cs="仿宋"/>
          <w:color w:val="auto"/>
          <w:spacing w:val="-2"/>
          <w:sz w:val="24"/>
        </w:rPr>
        <w:t>登录</w:t>
      </w:r>
      <w:r>
        <w:rPr>
          <w:rFonts w:hint="eastAsia" w:ascii="仿宋" w:hAnsi="仿宋" w:cs="仿宋"/>
          <w:color w:val="auto"/>
          <w:spacing w:val="-2"/>
          <w:sz w:val="24"/>
          <w:lang w:eastAsia="zh-CN"/>
        </w:rPr>
        <w:t>随县</w:t>
      </w:r>
      <w:r>
        <w:rPr>
          <w:rFonts w:hint="eastAsia" w:ascii="仿宋" w:hAnsi="仿宋" w:cs="仿宋"/>
          <w:color w:val="auto"/>
          <w:spacing w:val="-2"/>
          <w:sz w:val="24"/>
        </w:rPr>
        <w:t>政府电子采购平台</w:t>
      </w:r>
      <w:r>
        <w:rPr>
          <w:rFonts w:ascii="仿宋" w:hAnsi="仿宋" w:cs="仿宋"/>
          <w:color w:val="auto"/>
          <w:spacing w:val="0"/>
          <w:sz w:val="24"/>
        </w:rPr>
        <w:t>直接获取</w:t>
      </w:r>
      <w:r>
        <w:rPr>
          <w:rFonts w:hint="eastAsia" w:ascii="仿宋" w:hAnsi="仿宋" w:cs="仿宋"/>
          <w:color w:val="auto"/>
          <w:spacing w:val="0"/>
          <w:sz w:val="24"/>
          <w:lang w:eastAsia="zh-CN"/>
        </w:rPr>
        <w:t>。</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pStyle w:val="22"/>
        <w:rPr>
          <w:rFonts w:hint="default" w:ascii="宋体" w:hAnsi="宋体" w:eastAsia="宋体" w:cs="宋体"/>
          <w:i w:val="0"/>
          <w:iCs w:val="0"/>
          <w:color w:val="auto"/>
          <w:kern w:val="2"/>
          <w:sz w:val="24"/>
          <w:szCs w:val="24"/>
          <w:lang w:val="en-US" w:eastAsia="zh-CN" w:bidi="ar-SA"/>
        </w:rPr>
      </w:pPr>
      <w:r>
        <w:rPr>
          <w:rFonts w:hint="eastAsia" w:ascii="宋体" w:hAnsi="宋体" w:eastAsia="宋体" w:cs="宋体"/>
          <w:i w:val="0"/>
          <w:iCs w:val="0"/>
          <w:color w:val="auto"/>
          <w:kern w:val="2"/>
          <w:sz w:val="24"/>
          <w:szCs w:val="24"/>
          <w:lang w:val="en-US" w:eastAsia="zh-CN" w:bidi="ar-SA"/>
        </w:rPr>
        <w:t>3、售价：0元</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1、开始时间：2022年5月25日09点00分（北京时间）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2022年6月7日09点30分（北京时间）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2022年6月7日09点30分（北京时间）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1、</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2、政府采购相关政策执行：落实政府采购强制、优先采购节能产品政策；政府采购优先采购环保产品政策；政府采购促进中小企业发展（监狱企业、残疾人福利性单位视同小微企业）等政策。</w:t>
      </w:r>
    </w:p>
    <w:p>
      <w:pPr>
        <w:overflowPunct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质疑：供应商对磋商文件、采购过程和中标结果使自己的权益受到损害的，可以在知道或者应知其权益受到损害之日起7个工作日内，向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4、为支持扶持中小微企业及推进“政采贷”政策落实，目前随县已开通的“政采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贷”银行有2家，联系方式如下：（1）建设银行随县支行：0722-3338009；（2）邮储银行随县支行：0722-3338922。</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35393805"/>
      <w:bookmarkStart w:id="20" w:name="_Toc28359018"/>
      <w:bookmarkStart w:id="21" w:name="_Toc20538"/>
      <w:bookmarkStart w:id="22" w:name="_Toc35393636"/>
      <w:bookmarkStart w:id="23" w:name="_Toc28359095"/>
      <w:bookmarkStart w:id="24" w:name="_Toc24012"/>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随县职业技术教育中心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地    址：随州市随县交通大道与S49随岳高速出口交叉口东南100米</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联系人：廖主任</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rPr>
        <w:t>联系电话：</w:t>
      </w:r>
      <w:bookmarkStart w:id="25" w:name="_Toc35393638"/>
      <w:bookmarkStart w:id="26" w:name="_Toc28359020"/>
      <w:bookmarkStart w:id="27" w:name="_Toc35393807"/>
      <w:bookmarkStart w:id="28" w:name="_Toc28359097"/>
      <w:r>
        <w:rPr>
          <w:rFonts w:hint="eastAsia" w:ascii="宋体" w:hAnsi="宋体" w:eastAsia="宋体" w:cs="宋体"/>
          <w:color w:val="auto"/>
          <w:sz w:val="24"/>
          <w:szCs w:val="24"/>
          <w:lang w:val="en-US" w:eastAsia="zh-CN"/>
        </w:rPr>
        <w:t>13872895936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23</w:t>
      </w:r>
      <w:r>
        <w:rPr>
          <w:rFonts w:asciiTheme="minorEastAsia" w:hAnsiTheme="minorEastAsia" w:cstheme="minorEastAsia"/>
          <w:color w:val="auto"/>
          <w:sz w:val="24"/>
          <w:szCs w:val="24"/>
        </w:rPr>
        <w:t xml:space="preserve"> </w:t>
      </w:r>
      <w:r>
        <w:rPr>
          <w:rFonts w:hint="eastAsia" w:asciiTheme="minorEastAsia" w:hAnsiTheme="minorEastAsia" w:cstheme="minorEastAsia"/>
          <w:color w:val="auto"/>
          <w:sz w:val="24"/>
          <w:szCs w:val="24"/>
        </w:rPr>
        <w:t>日</w:t>
      </w:r>
    </w:p>
    <w:p>
      <w:pPr>
        <w:rPr>
          <w:color w:val="auto"/>
        </w:rPr>
      </w:pPr>
      <w:bookmarkStart w:id="29" w:name="_Toc22032"/>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0" w:name="_Toc6368"/>
      <w:r>
        <w:rPr>
          <w:rFonts w:hint="eastAsia" w:ascii="Times New Roman" w:hAnsi="Times New Roman" w:cs="Times New Roman"/>
          <w:b/>
          <w:color w:val="auto"/>
          <w:sz w:val="36"/>
          <w:szCs w:val="36"/>
          <w:lang w:val="hr-HR" w:bidi="ar-EG"/>
        </w:rPr>
        <w:t>第二章磋商须知</w:t>
      </w:r>
      <w:bookmarkEnd w:id="30"/>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1"/>
        <w:keepNext w:val="0"/>
        <w:keepLines w:val="0"/>
        <w:pageBreakBefore w:val="0"/>
        <w:widowControl w:val="0"/>
        <w:numPr>
          <w:ilvl w:val="0"/>
          <w:numId w:val="8"/>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1"/>
        <w:ind w:left="480" w:firstLine="0" w:firstLineChars="0"/>
        <w:rPr>
          <w:rFonts w:ascii="Times New Roman" w:hAnsi="Times New Roman"/>
          <w:color w:val="auto"/>
          <w:sz w:val="24"/>
          <w:szCs w:val="24"/>
        </w:rPr>
      </w:pPr>
    </w:p>
    <w:tbl>
      <w:tblPr>
        <w:tblStyle w:val="4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2022-02-001649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随县职业技术教育中心计算机实训室建设项目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电脑及相关设备</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90</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eastAsia="zh-CN"/>
              </w:rPr>
              <w:t>随县职业技术教育中心</w:t>
            </w:r>
          </w:p>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地    址：随州市随县交通大道与S49随岳高速出口交叉口东南100米</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联系人：廖主任</w:t>
            </w:r>
            <w:r>
              <w:rPr>
                <w:rFonts w:hint="eastAsia" w:ascii="Times New Roman" w:hAnsi="Times New Roman" w:eastAsia="宋体" w:cs="Times New Roman"/>
                <w:color w:val="auto"/>
                <w:kern w:val="0"/>
                <w:sz w:val="24"/>
                <w:szCs w:val="24"/>
                <w:lang w:val="en-US" w:eastAsia="zh-CN"/>
              </w:rPr>
              <w:tab/>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hint="eastAsia" w:ascii="Times New Roman" w:hAnsi="Times New Roman" w:eastAsia="宋体" w:cs="Times New Roman"/>
                <w:color w:val="auto"/>
                <w:kern w:val="0"/>
                <w:sz w:val="24"/>
                <w:szCs w:val="24"/>
                <w:lang w:val="en-US" w:eastAsia="zh-CN"/>
              </w:rPr>
              <w:t>13872895936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eastAsia="zh-CN"/>
              </w:rPr>
              <w:t>钦盼</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ind w:left="638" w:leftChars="0" w:hanging="638" w:hangingChars="266"/>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（1）应具备《中华人民共和国政府采购法》第二十二条第一款规定的条件。</w:t>
            </w: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（2）未被列入“信用中国”、“中国政府采购网”失信被执行人、重大税收违法案件当事人名单、政府采购严重违法失信行为记录名单。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9"/>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9"/>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由采购人代表和</w:t>
            </w:r>
            <w:r>
              <w:rPr>
                <w:rFonts w:ascii="Times New Roman" w:hAnsi="Times New Roman" w:cs="Times New Roman"/>
                <w:color w:val="auto"/>
                <w:sz w:val="24"/>
                <w:szCs w:val="24"/>
                <w:u w:val="single"/>
                <w:lang w:val="en-US"/>
              </w:rPr>
              <w:t xml:space="preserve"> 2 </w:t>
            </w:r>
            <w:r>
              <w:rPr>
                <w:rFonts w:ascii="Times New Roman" w:hAnsi="Times New Roman" w:cs="Times New Roman"/>
                <w:color w:val="auto"/>
                <w:sz w:val="24"/>
                <w:szCs w:val="24"/>
                <w:lang w:val="en-US"/>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9"/>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9"/>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9"/>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8"/>
                <w:rFonts w:hint="eastAsia"/>
                <w:color w:val="auto"/>
                <w:sz w:val="24"/>
              </w:rPr>
              <w:t>https://dzcg.hubeigp.gov.cn/assets/special/100/hbenterpoint.html</w:t>
            </w:r>
            <w:r>
              <w:rPr>
                <w:rStyle w:val="48"/>
                <w:rFonts w:hint="eastAsia"/>
                <w:color w:val="auto"/>
                <w:sz w:val="24"/>
                <w:lang w:eastAsia="zh-CN"/>
              </w:rPr>
              <w:t>）</w:t>
            </w:r>
            <w:r>
              <w:rPr>
                <w:rStyle w:val="48"/>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1" w:name="_Toc3291"/>
      <w:bookmarkStart w:id="32" w:name="_Toc9068"/>
      <w:r>
        <w:rPr>
          <w:rFonts w:hint="eastAsia" w:ascii="Times New Roman" w:hAnsi="Times New Roman" w:eastAsia="黑体" w:cs="Times New Roman"/>
          <w:color w:val="auto"/>
          <w:sz w:val="24"/>
          <w:szCs w:val="24"/>
        </w:rPr>
        <w:t>四、报价要求</w:t>
      </w:r>
      <w:bookmarkEnd w:id="31"/>
      <w:bookmarkEnd w:id="32"/>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1"/>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2"/>
        <w:rPr>
          <w:color w:val="auto"/>
        </w:rPr>
      </w:pPr>
    </w:p>
    <w:p>
      <w:pPr>
        <w:rPr>
          <w:color w:val="auto"/>
        </w:rPr>
      </w:pPr>
    </w:p>
    <w:p>
      <w:pPr>
        <w:pStyle w:val="22"/>
        <w:rPr>
          <w:color w:val="auto"/>
        </w:rPr>
      </w:pPr>
    </w:p>
    <w:p>
      <w:pPr>
        <w:rPr>
          <w:color w:val="auto"/>
        </w:rPr>
      </w:pPr>
    </w:p>
    <w:p>
      <w:pPr>
        <w:pStyle w:val="22"/>
        <w:ind w:left="0" w:leftChars="0" w:firstLine="0" w:firstLineChars="0"/>
        <w:rPr>
          <w:color w:val="auto"/>
        </w:rPr>
      </w:pPr>
    </w:p>
    <w:p>
      <w:pPr>
        <w:rPr>
          <w:color w:val="auto"/>
        </w:rPr>
      </w:pPr>
    </w:p>
    <w:p>
      <w:pPr>
        <w:rPr>
          <w:color w:val="auto"/>
        </w:rPr>
      </w:pPr>
    </w:p>
    <w:p>
      <w:pPr>
        <w:numPr>
          <w:ilvl w:val="0"/>
          <w:numId w:val="10"/>
        </w:numPr>
        <w:spacing w:line="500" w:lineRule="exact"/>
        <w:ind w:left="840" w:leftChars="0" w:right="1039" w:rightChars="495" w:firstLineChars="0"/>
        <w:jc w:val="center"/>
        <w:outlineLvl w:val="0"/>
        <w:rPr>
          <w:rFonts w:hint="eastAsia" w:cs="Times New Roman" w:asciiTheme="majorEastAsia" w:hAnsiTheme="majorEastAsia" w:eastAsiaTheme="majorEastAsia"/>
          <w:b/>
          <w:color w:val="auto"/>
          <w:sz w:val="36"/>
          <w:szCs w:val="36"/>
        </w:rPr>
      </w:pPr>
      <w:bookmarkStart w:id="33" w:name="_Toc25440"/>
      <w:r>
        <w:rPr>
          <w:rFonts w:hint="eastAsia" w:cs="Times New Roman" w:asciiTheme="majorEastAsia" w:hAnsiTheme="majorEastAsia" w:eastAsiaTheme="majorEastAsia"/>
          <w:b/>
          <w:color w:val="auto"/>
          <w:sz w:val="36"/>
          <w:szCs w:val="36"/>
          <w:lang w:val="hr-HR" w:bidi="ar-EG"/>
        </w:rPr>
        <w:t>采购</w:t>
      </w:r>
      <w:r>
        <w:rPr>
          <w:rFonts w:hint="eastAsia" w:cs="Times New Roman" w:asciiTheme="majorEastAsia" w:hAnsiTheme="majorEastAsia" w:eastAsiaTheme="majorEastAsia"/>
          <w:b/>
          <w:color w:val="auto"/>
          <w:sz w:val="36"/>
          <w:szCs w:val="36"/>
        </w:rPr>
        <w:t>货物技术参数、规格及要求</w:t>
      </w:r>
      <w:bookmarkEnd w:id="29"/>
      <w:bookmarkEnd w:id="33"/>
      <w:bookmarkStart w:id="34" w:name="_Toc432753211"/>
      <w:bookmarkStart w:id="35" w:name="_Toc78299292"/>
      <w:bookmarkStart w:id="36" w:name="_Toc1458930"/>
    </w:p>
    <w:p>
      <w:pPr>
        <w:pStyle w:val="22"/>
        <w:numPr>
          <w:ilvl w:val="0"/>
          <w:numId w:val="0"/>
        </w:numPr>
        <w:rPr>
          <w:color w:val="auto"/>
          <w:lang w:val="hr-HR"/>
        </w:rPr>
      </w:pPr>
    </w:p>
    <w:bookmarkEnd w:id="34"/>
    <w:bookmarkEnd w:id="35"/>
    <w:bookmarkEnd w:id="36"/>
    <w:p>
      <w:pPr>
        <w:pStyle w:val="4"/>
        <w:pageBreakBefore w:val="0"/>
        <w:widowControl w:val="0"/>
        <w:numPr>
          <w:ilvl w:val="0"/>
          <w:numId w:val="11"/>
        </w:numPr>
        <w:kinsoku/>
        <w:wordWrap/>
        <w:overflowPunct/>
        <w:topLinePunct w:val="0"/>
        <w:autoSpaceDE/>
        <w:autoSpaceDN/>
        <w:bidi w:val="0"/>
        <w:adjustRightInd/>
        <w:snapToGrid/>
        <w:ind w:right="0" w:rightChars="0"/>
        <w:textAlignment w:val="auto"/>
        <w:rPr>
          <w:rFonts w:hint="eastAsia"/>
          <w:color w:val="auto"/>
        </w:rPr>
      </w:pPr>
      <w:bookmarkStart w:id="37" w:name="_Toc2507"/>
      <w:bookmarkStart w:id="38" w:name="_Toc23295"/>
      <w:r>
        <w:rPr>
          <w:rFonts w:hint="eastAsia"/>
          <w:color w:val="auto"/>
        </w:rPr>
        <w:t>采购清单</w:t>
      </w:r>
    </w:p>
    <w:tbl>
      <w:tblPr>
        <w:tblStyle w:val="42"/>
        <w:tblW w:w="5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588"/>
        <w:gridCol w:w="795"/>
        <w:gridCol w:w="771"/>
        <w:gridCol w:w="544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356" w:type="pct"/>
            <w:noWrap w:val="0"/>
            <w:vAlign w:val="center"/>
          </w:tcPr>
          <w:p>
            <w:pPr>
              <w:snapToGrid/>
              <w:spacing w:before="0" w:beforeAutospacing="0" w:after="0" w:afterAutospacing="0" w:line="360" w:lineRule="auto"/>
              <w:jc w:val="center"/>
              <w:textAlignment w:val="baseline"/>
              <w:rPr>
                <w:rStyle w:val="192"/>
                <w:rFonts w:hint="default"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序号</w:t>
            </w:r>
          </w:p>
        </w:tc>
        <w:tc>
          <w:tcPr>
            <w:tcW w:w="729" w:type="pct"/>
            <w:noWrap w:val="0"/>
            <w:vAlign w:val="center"/>
          </w:tcPr>
          <w:p>
            <w:pPr>
              <w:snapToGrid/>
              <w:spacing w:before="0" w:beforeAutospacing="0" w:after="0" w:afterAutospacing="0" w:line="360" w:lineRule="auto"/>
              <w:jc w:val="center"/>
              <w:textAlignment w:val="baseline"/>
              <w:rPr>
                <w:rStyle w:val="192"/>
                <w:rFonts w:hint="default"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产品及服务内容</w:t>
            </w:r>
          </w:p>
        </w:tc>
        <w:tc>
          <w:tcPr>
            <w:tcW w:w="365" w:type="pct"/>
            <w:noWrap w:val="0"/>
            <w:vAlign w:val="center"/>
          </w:tcPr>
          <w:p>
            <w:pPr>
              <w:snapToGrid/>
              <w:spacing w:before="0" w:beforeAutospacing="0" w:after="0" w:afterAutospacing="0" w:line="360" w:lineRule="auto"/>
              <w:jc w:val="center"/>
              <w:textAlignment w:val="baseline"/>
              <w:rPr>
                <w:rStyle w:val="192"/>
                <w:rFonts w:hint="default"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数量</w:t>
            </w:r>
          </w:p>
        </w:tc>
        <w:tc>
          <w:tcPr>
            <w:tcW w:w="354" w:type="pct"/>
            <w:noWrap w:val="0"/>
            <w:vAlign w:val="center"/>
          </w:tcPr>
          <w:p>
            <w:pPr>
              <w:snapToGrid/>
              <w:spacing w:before="0" w:beforeAutospacing="0" w:after="0" w:afterAutospacing="0" w:line="360" w:lineRule="auto"/>
              <w:jc w:val="center"/>
              <w:textAlignment w:val="baseline"/>
              <w:rPr>
                <w:rStyle w:val="192"/>
                <w:rFonts w:hint="default"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单位</w:t>
            </w:r>
          </w:p>
        </w:tc>
        <w:tc>
          <w:tcPr>
            <w:tcW w:w="2499" w:type="pct"/>
            <w:noWrap w:val="0"/>
            <w:vAlign w:val="center"/>
          </w:tcPr>
          <w:p>
            <w:pPr>
              <w:snapToGrid/>
              <w:spacing w:before="0" w:beforeAutospacing="0" w:after="0" w:afterAutospacing="0" w:line="360" w:lineRule="auto"/>
              <w:jc w:val="center"/>
              <w:textAlignment w:val="baseline"/>
              <w:rPr>
                <w:rStyle w:val="192"/>
                <w:rFonts w:hint="default"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要求/备注</w:t>
            </w:r>
          </w:p>
        </w:tc>
        <w:tc>
          <w:tcPr>
            <w:tcW w:w="693" w:type="pct"/>
            <w:noWrap w:val="0"/>
            <w:vAlign w:val="center"/>
          </w:tcPr>
          <w:p>
            <w:pPr>
              <w:snapToGrid/>
              <w:spacing w:before="0" w:beforeAutospacing="0" w:after="0" w:afterAutospacing="0" w:line="360" w:lineRule="auto"/>
              <w:jc w:val="center"/>
              <w:textAlignment w:val="baseline"/>
              <w:rPr>
                <w:rStyle w:val="192"/>
                <w:rFonts w:hint="eastAsia"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货物</w:t>
            </w:r>
          </w:p>
          <w:p>
            <w:pPr>
              <w:snapToGrid/>
              <w:spacing w:before="0" w:beforeAutospacing="0" w:after="0" w:afterAutospacing="0" w:line="360" w:lineRule="auto"/>
              <w:jc w:val="center"/>
              <w:textAlignment w:val="baseline"/>
              <w:rPr>
                <w:rStyle w:val="192"/>
                <w:rFonts w:hint="eastAsia" w:ascii="宋体" w:hAnsi="宋体"/>
                <w:b w:val="0"/>
                <w:i w:val="0"/>
                <w:caps w:val="0"/>
                <w:color w:val="auto"/>
                <w:spacing w:val="0"/>
                <w:w w:val="100"/>
                <w:kern w:val="2"/>
                <w:sz w:val="24"/>
                <w:szCs w:val="24"/>
                <w:lang w:val="en-US" w:eastAsia="zh-CN" w:bidi="ar-SA"/>
              </w:rPr>
            </w:pPr>
            <w:r>
              <w:rPr>
                <w:rStyle w:val="192"/>
                <w:rFonts w:hint="eastAsia" w:ascii="宋体" w:hAnsi="宋体"/>
                <w:b w:val="0"/>
                <w:i w:val="0"/>
                <w:caps w:val="0"/>
                <w:color w:val="auto"/>
                <w:spacing w:val="0"/>
                <w:w w:val="100"/>
                <w:kern w:val="2"/>
                <w:sz w:val="24"/>
                <w:szCs w:val="24"/>
                <w:lang w:val="en-US" w:eastAsia="zh-CN" w:bidi="ar-S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72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校级集中管理运维服务器</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w:t>
            </w:r>
          </w:p>
        </w:tc>
        <w:tc>
          <w:tcPr>
            <w:tcW w:w="35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套</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CPU：≥六核十二线程I5-10500,主频≥3.1Ghz,缓存：≥12MB；</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主板芯片：Intel W480芯片组或以上；</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内存：≥8G DDR4 2933MHz内存，≥2个内存插槽，最大支持32GB DDR4内存；</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硬盘：256GB M.2  PCIE Nvme+1TB 7200转机械存储硬盘；</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72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触控一体机</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35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套</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多功能一体机≥86英寸</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视频展台≥500万像素</w:t>
            </w:r>
          </w:p>
          <w:p>
            <w:pPr>
              <w:snapToGrid/>
              <w:spacing w:before="0" w:beforeAutospacing="0" w:after="0" w:afterAutospacing="0" w:line="360" w:lineRule="auto"/>
              <w:jc w:val="both"/>
              <w:textAlignment w:val="baseline"/>
              <w:rPr>
                <w:rFonts w:hint="default"/>
                <w:color w:val="auto"/>
                <w:lang w:val="en-US" w:eastAsia="zh-CN"/>
              </w:rPr>
            </w:pPr>
            <w:r>
              <w:rPr>
                <w:rFonts w:hint="default" w:ascii="宋体" w:hAnsi="宋体"/>
                <w:color w:val="auto"/>
                <w:sz w:val="24"/>
                <w:szCs w:val="24"/>
                <w:lang w:val="en-US" w:eastAsia="zh-CN"/>
              </w:rPr>
              <w:t>推拉黑板尺寸：4000mm×1300mm，可根据所配液晶一体机适当调整，确保与液晶一体机的有效配套</w:t>
            </w:r>
            <w:r>
              <w:rPr>
                <w:rFonts w:hint="eastAsia" w:ascii="宋体" w:hAnsi="宋体"/>
                <w:color w:val="auto"/>
                <w:sz w:val="24"/>
                <w:szCs w:val="24"/>
                <w:lang w:val="en-US" w:eastAsia="zh-CN"/>
              </w:rPr>
              <w:t>。</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3</w:t>
            </w:r>
          </w:p>
        </w:tc>
        <w:tc>
          <w:tcPr>
            <w:tcW w:w="72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控制讲台</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35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台</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1、尺寸：1200*560*900mm。 </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2、材料：优质冷轧钢板+高档木质扶手，钢制部分采用≥0.8mm 和≥1.0mm 冷轧钢板制作。   </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3、工艺：钣金件表面经过处理，坚固耐用，具有防腐蚀性强、防盗、防潮、耐磨等优点。</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72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台式计算机</w:t>
            </w:r>
          </w:p>
        </w:tc>
        <w:tc>
          <w:tcPr>
            <w:tcW w:w="365"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270</w:t>
            </w:r>
          </w:p>
        </w:tc>
        <w:tc>
          <w:tcPr>
            <w:tcW w:w="35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台</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CPU：≥物理四核八线程intel i3-10105；</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主板芯片：≥intel H510系列，中英文BIOS；</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内存：≥8G DDR4 2666MHz 内存，提供双内存槽位；</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硬盘：≥256G M.2固态硬盘；</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5</w:t>
            </w:r>
          </w:p>
        </w:tc>
        <w:tc>
          <w:tcPr>
            <w:tcW w:w="72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教学软件</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270</w:t>
            </w:r>
          </w:p>
        </w:tc>
        <w:tc>
          <w:tcPr>
            <w:tcW w:w="354"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套</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全面支持Windows系列操作系统，包括Windows 8/8.1（32位、64位）、windows 10（32位、64位）操作系统，与云虚拟桌面无缝集成</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6</w:t>
            </w:r>
          </w:p>
        </w:tc>
        <w:tc>
          <w:tcPr>
            <w:tcW w:w="729"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电脑桌椅</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135</w:t>
            </w:r>
          </w:p>
        </w:tc>
        <w:tc>
          <w:tcPr>
            <w:tcW w:w="35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套</w:t>
            </w:r>
          </w:p>
        </w:tc>
        <w:tc>
          <w:tcPr>
            <w:tcW w:w="2499" w:type="pct"/>
            <w:noWrap w:val="0"/>
            <w:vAlign w:val="center"/>
          </w:tcPr>
          <w:p>
            <w:pPr>
              <w:snapToGrid/>
              <w:spacing w:before="0" w:beforeAutospacing="0" w:after="0" w:afterAutospacing="0" w:line="360" w:lineRule="auto"/>
              <w:jc w:val="both"/>
              <w:textAlignment w:val="baseline"/>
              <w:rPr>
                <w:rFonts w:hint="default"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 xml:space="preserve">电脑桌（1桌两人位，配方凳两张）：尺寸1400*600*750mm，材质：优质冷轧方管+三氨密度板包边台面，钢制部分采用≥1.0mm 冷轧钢板制作，方管加喷涂工艺，预留线孔。每台电脑桌可放置两台电脑显示器及主机； </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7</w:t>
            </w:r>
          </w:p>
        </w:tc>
        <w:tc>
          <w:tcPr>
            <w:tcW w:w="729"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插座</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135</w:t>
            </w:r>
          </w:p>
        </w:tc>
        <w:tc>
          <w:tcPr>
            <w:tcW w:w="35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个</w:t>
            </w:r>
          </w:p>
        </w:tc>
        <w:tc>
          <w:tcPr>
            <w:tcW w:w="2499" w:type="pct"/>
            <w:noWrap w:val="0"/>
            <w:vAlign w:val="center"/>
          </w:tcPr>
          <w:p>
            <w:pPr>
              <w:pStyle w:val="38"/>
              <w:keepNext w:val="0"/>
              <w:keepLines w:val="0"/>
              <w:widowControl w:val="0"/>
              <w:suppressLineNumbers w:val="0"/>
              <w:spacing w:before="0" w:beforeAutospacing="0" w:after="0" w:afterAutospacing="0"/>
              <w:ind w:left="0" w:leftChars="0" w:right="0" w:rightChars="0" w:firstLine="0" w:firstLineChars="0"/>
              <w:jc w:val="left"/>
              <w:rPr>
                <w:rFonts w:hint="default"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1.8米带插头多孔插座，可满足电脑主机和显示屏供电，符合国家强制标准；</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8</w:t>
            </w:r>
          </w:p>
        </w:tc>
        <w:tc>
          <w:tcPr>
            <w:tcW w:w="729"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交换机</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15</w:t>
            </w:r>
          </w:p>
        </w:tc>
        <w:tc>
          <w:tcPr>
            <w:tcW w:w="35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个</w:t>
            </w:r>
          </w:p>
        </w:tc>
        <w:tc>
          <w:tcPr>
            <w:tcW w:w="2499"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交换机，24口千兆10/100/1000BASE-T</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6"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9</w:t>
            </w:r>
          </w:p>
        </w:tc>
        <w:tc>
          <w:tcPr>
            <w:tcW w:w="729"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辅助材料及施工</w:t>
            </w:r>
          </w:p>
        </w:tc>
        <w:tc>
          <w:tcPr>
            <w:tcW w:w="365"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4</w:t>
            </w:r>
          </w:p>
        </w:tc>
        <w:tc>
          <w:tcPr>
            <w:tcW w:w="354" w:type="pct"/>
            <w:noWrap w:val="0"/>
            <w:vAlign w:val="center"/>
          </w:tcPr>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间</w:t>
            </w:r>
          </w:p>
        </w:tc>
        <w:tc>
          <w:tcPr>
            <w:tcW w:w="2499"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1、安装的主要内容包括：设备的安装、互联和所有线路双向标识码，与设备新增的所需配套的交换机、机柜、电源线、网线、视频线、数据线布置，教学所需必须软件安装等。 </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2、电源线：符合国家标准，负载满足要求，三线分色分类阻燃分离布线。英语口语教室的主干电源线采用品牌厂家生产的4 mm2 优质多芯铜质护套线，其他电源线采用品牌厂家生产的 2.5 mm2 优质多芯铜质护套线，所有电源线必须取得检测合格证。  </w:t>
            </w:r>
          </w:p>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3、网线：品牌厂家生产的六类双绞线，网线上打码。 </w:t>
            </w:r>
          </w:p>
          <w:p>
            <w:pPr>
              <w:snapToGrid/>
              <w:spacing w:before="0" w:beforeAutospacing="0" w:after="0" w:afterAutospacing="0" w:line="360" w:lineRule="auto"/>
              <w:jc w:val="both"/>
              <w:textAlignment w:val="baseline"/>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4、线槽及扣条：金属线槽，符合国家安全标准，踢脚处线槽外必须加盖一次成型的不锈钢扣板。 </w:t>
            </w:r>
          </w:p>
        </w:tc>
        <w:tc>
          <w:tcPr>
            <w:tcW w:w="693" w:type="pct"/>
            <w:noWrap w:val="0"/>
            <w:vAlign w:val="center"/>
          </w:tcPr>
          <w:p>
            <w:pPr>
              <w:snapToGrid/>
              <w:spacing w:before="0" w:beforeAutospacing="0" w:after="0" w:afterAutospacing="0" w:line="360" w:lineRule="auto"/>
              <w:jc w:val="both"/>
              <w:textAlignment w:val="baseline"/>
              <w:rPr>
                <w:rFonts w:hint="eastAsia" w:ascii="宋体" w:hAnsi="宋体"/>
                <w:color w:val="auto"/>
                <w:sz w:val="24"/>
                <w:szCs w:val="24"/>
                <w:lang w:val="en-US" w:eastAsia="zh-CN"/>
              </w:rPr>
            </w:pPr>
            <w:r>
              <w:rPr>
                <w:rFonts w:hint="eastAsia" w:ascii="宋体" w:hAnsi="宋体"/>
                <w:color w:val="auto"/>
                <w:sz w:val="24"/>
                <w:szCs w:val="24"/>
                <w:lang w:val="en-US" w:eastAsia="zh-CN"/>
              </w:rPr>
              <w:t>货物</w:t>
            </w:r>
          </w:p>
        </w:tc>
      </w:tr>
    </w:tbl>
    <w:p>
      <w:pPr>
        <w:pStyle w:val="4"/>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项目概述及简介</w:t>
      </w:r>
      <w:bookmarkStart w:id="39" w:name="_Toc494665933"/>
      <w:bookmarkStart w:id="40" w:name="_Toc509997287"/>
      <w:bookmarkStart w:id="41" w:name="_Toc494745300"/>
      <w:bookmarkStart w:id="42" w:name="_Toc494702253"/>
      <w:bookmarkStart w:id="43" w:name="_Toc509992675"/>
      <w:bookmarkStart w:id="44" w:name="_Toc1458934"/>
      <w:bookmarkStart w:id="45" w:name="_Toc494721083"/>
      <w:bookmarkStart w:id="46" w:name="_Toc1421486"/>
      <w:bookmarkStart w:id="47" w:name="_Toc494664983"/>
      <w:bookmarkStart w:id="48" w:name="_Toc75007954"/>
      <w:bookmarkStart w:id="49" w:name="_Toc494665536"/>
    </w:p>
    <w:p>
      <w:pPr>
        <w:pStyle w:val="4"/>
        <w:pageBreakBefore w:val="0"/>
        <w:widowControl w:val="0"/>
        <w:numPr>
          <w:ilvl w:val="1"/>
          <w:numId w:val="0"/>
        </w:numPr>
        <w:kinsoku/>
        <w:wordWrap/>
        <w:overflowPunct/>
        <w:topLinePunct w:val="0"/>
        <w:autoSpaceDE/>
        <w:autoSpaceDN/>
        <w:bidi w:val="0"/>
        <w:adjustRightInd/>
        <w:snapToGrid/>
        <w:ind w:leftChars="0" w:right="0" w:rightChars="0" w:firstLine="480" w:firstLineChars="200"/>
        <w:textAlignment w:val="auto"/>
        <w:rPr>
          <w:rFonts w:hint="eastAsia"/>
          <w:lang w:val="en-US" w:eastAsia="zh-CN"/>
        </w:rPr>
      </w:pPr>
      <w:r>
        <w:rPr>
          <w:rStyle w:val="192"/>
          <w:rFonts w:hint="eastAsia" w:asciiTheme="minorEastAsia" w:hAnsiTheme="minorEastAsia" w:cstheme="minorEastAsia"/>
          <w:b w:val="0"/>
          <w:bCs w:val="0"/>
          <w:i w:val="0"/>
          <w:caps w:val="0"/>
          <w:spacing w:val="0"/>
          <w:w w:val="100"/>
          <w:sz w:val="24"/>
          <w:szCs w:val="24"/>
          <w:lang w:val="zh-CN"/>
        </w:rPr>
        <w:t>根据《关于按要求上报相关上级补助资金申报材料的通知》（鄂财教函【2020】4号）、《湖北省财政厅 湖北省教育厅关于印发&lt;湖北省中等职业教育发展引导奖补资金管理办法&gt;的通知》（鄂财教规【2017】20号）文件精神，2021年下半年，省财政</w:t>
      </w:r>
      <w:r>
        <w:rPr>
          <w:rStyle w:val="192"/>
          <w:rFonts w:hint="eastAsia" w:asciiTheme="minorEastAsia" w:hAnsiTheme="minorEastAsia" w:cstheme="minorEastAsia"/>
          <w:b w:val="0"/>
          <w:bCs w:val="0"/>
          <w:i w:val="0"/>
          <w:caps w:val="0"/>
          <w:spacing w:val="0"/>
          <w:w w:val="100"/>
          <w:sz w:val="24"/>
          <w:szCs w:val="24"/>
          <w:lang w:val="zh-CN" w:eastAsia="zh-CN"/>
        </w:rPr>
        <w:t>依据</w:t>
      </w:r>
      <w:r>
        <w:rPr>
          <w:rStyle w:val="192"/>
          <w:rFonts w:hint="eastAsia" w:asciiTheme="minorEastAsia" w:hAnsiTheme="minorEastAsia" w:cstheme="minorEastAsia"/>
          <w:b w:val="0"/>
          <w:bCs w:val="0"/>
          <w:i w:val="0"/>
          <w:caps w:val="0"/>
          <w:spacing w:val="0"/>
          <w:w w:val="100"/>
          <w:sz w:val="24"/>
          <w:szCs w:val="24"/>
          <w:lang w:val="zh-CN"/>
        </w:rPr>
        <w:t>（鄂财教发【2021】41号）拨付随县中等职业技术学校“湖北省现代职业教育质量提升计划项目”专项资金90万元。将新建四个计算机实训室，以提高随县职教中心综合办学实力和核心竞争力为目标，力争建设成具有大型实训中心、实习基地的产教结合的特色学校</w:t>
      </w:r>
      <w:r>
        <w:rPr>
          <w:rStyle w:val="192"/>
          <w:rFonts w:hint="eastAsia" w:asciiTheme="minorEastAsia" w:hAnsiTheme="minorEastAsia" w:cstheme="minorEastAsia"/>
          <w:b w:val="0"/>
          <w:bCs w:val="0"/>
          <w:i w:val="0"/>
          <w:caps w:val="0"/>
          <w:spacing w:val="0"/>
          <w:w w:val="100"/>
          <w:sz w:val="24"/>
          <w:szCs w:val="24"/>
          <w:lang w:val="zh-CN" w:eastAsia="zh-CN"/>
        </w:rPr>
        <w:t>。</w:t>
      </w:r>
      <w:bookmarkEnd w:id="39"/>
      <w:bookmarkEnd w:id="40"/>
      <w:bookmarkEnd w:id="41"/>
      <w:bookmarkEnd w:id="42"/>
      <w:bookmarkEnd w:id="43"/>
      <w:bookmarkEnd w:id="44"/>
      <w:bookmarkEnd w:id="45"/>
      <w:bookmarkEnd w:id="46"/>
      <w:bookmarkEnd w:id="47"/>
      <w:bookmarkEnd w:id="48"/>
      <w:bookmarkEnd w:id="49"/>
    </w:p>
    <w:p>
      <w:pPr>
        <w:pStyle w:val="4"/>
        <w:pageBreakBefore w:val="0"/>
        <w:widowControl w:val="0"/>
        <w:numPr>
          <w:ilvl w:val="0"/>
          <w:numId w:val="11"/>
        </w:numPr>
        <w:kinsoku/>
        <w:wordWrap/>
        <w:overflowPunct/>
        <w:topLinePunct w:val="0"/>
        <w:autoSpaceDE/>
        <w:autoSpaceDN/>
        <w:bidi w:val="0"/>
        <w:adjustRightInd/>
        <w:snapToGrid/>
        <w:ind w:left="432" w:leftChars="0" w:right="0" w:rightChars="0" w:hanging="432" w:firstLine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国家相关行政主管部门颁布的标准、规范</w:t>
      </w:r>
    </w:p>
    <w:p>
      <w:pPr>
        <w:snapToGrid/>
        <w:spacing w:before="0" w:beforeAutospacing="0" w:after="0" w:afterAutospacing="0" w:line="240" w:lineRule="auto"/>
        <w:ind w:firstLine="480" w:firstLineChars="200"/>
        <w:jc w:val="both"/>
        <w:textAlignment w:val="baseline"/>
        <w:rPr>
          <w:rFonts w:hint="eastAsia"/>
          <w:lang w:val="en-US" w:eastAsia="zh-CN"/>
        </w:rPr>
      </w:pPr>
      <w:r>
        <w:rPr>
          <w:rStyle w:val="192"/>
          <w:rFonts w:hint="eastAsia" w:asciiTheme="minorEastAsia" w:hAnsiTheme="minorEastAsia" w:eastAsiaTheme="minorEastAsia" w:cstheme="minorEastAsia"/>
          <w:b w:val="0"/>
          <w:i w:val="0"/>
          <w:caps w:val="0"/>
          <w:spacing w:val="0"/>
          <w:w w:val="100"/>
          <w:kern w:val="2"/>
          <w:sz w:val="24"/>
          <w:szCs w:val="24"/>
          <w:lang w:val="zh-CN" w:eastAsia="zh-CN" w:bidi="ar-SA"/>
        </w:rPr>
        <w:t>采购内容需执行国家相关标准、行业标准、地方标准或者其他标准、规范</w:t>
      </w:r>
      <w:r>
        <w:rPr>
          <w:rStyle w:val="192"/>
          <w:rFonts w:hint="eastAsia" w:asciiTheme="minorEastAsia" w:hAnsiTheme="minorEastAsia" w:cstheme="minorEastAsia"/>
          <w:b w:val="0"/>
          <w:i w:val="0"/>
          <w:caps w:val="0"/>
          <w:spacing w:val="0"/>
          <w:w w:val="100"/>
          <w:kern w:val="2"/>
          <w:sz w:val="24"/>
          <w:szCs w:val="24"/>
          <w:lang w:val="zh-CN" w:eastAsia="zh-CN" w:bidi="ar-SA"/>
        </w:rPr>
        <w:t>。</w:t>
      </w: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四、技术、服务要求</w:t>
      </w:r>
    </w:p>
    <w:p>
      <w:pPr>
        <w:keepNext w:val="0"/>
        <w:keepLines w:val="0"/>
        <w:pageBreakBefore w:val="0"/>
        <w:widowControl w:val="0"/>
        <w:kinsoku/>
        <w:wordWrap/>
        <w:overflowPunct/>
        <w:topLinePunct w:val="0"/>
        <w:bidi w:val="0"/>
        <w:adjustRightInd/>
        <w:snapToGrid/>
        <w:spacing w:line="360" w:lineRule="auto"/>
        <w:ind w:left="773" w:leftChars="26" w:right="0" w:rightChars="0" w:hanging="718"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1、投标人在投标文件《技术、服务要求响应、偏离说明表》中未对以下技术、</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left="773" w:leftChars="368" w:right="0" w:rightChars="0" w:firstLine="2" w:firstLineChars="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bidi w:val="0"/>
        <w:adjustRightInd/>
        <w:snapToGrid/>
        <w:spacing w:line="360" w:lineRule="auto"/>
        <w:ind w:left="0" w:leftChars="0" w:right="0" w:rightChars="0" w:firstLine="840" w:firstLineChars="350"/>
        <w:textAlignment w:val="auto"/>
        <w:rPr>
          <w:rFonts w:hint="default" w:eastAsiaTheme="minorEastAsia"/>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p>
    <w:tbl>
      <w:tblPr>
        <w:tblStyle w:val="42"/>
        <w:tblW w:w="9787"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656"/>
        <w:gridCol w:w="772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675" w:type="dxa"/>
            <w:noWrap/>
            <w:tcMar>
              <w:top w:w="15" w:type="dxa"/>
              <w:left w:w="15" w:type="dxa"/>
              <w:bottom w:w="0" w:type="dxa"/>
              <w:right w:w="15" w:type="dxa"/>
            </w:tcMar>
            <w:vAlign w:val="center"/>
          </w:tcPr>
          <w:p>
            <w:pPr>
              <w:jc w:val="center"/>
              <w:rPr>
                <w:rFonts w:hint="eastAsia" w:ascii="黑体" w:hAnsi="黑体" w:eastAsia="黑体" w:cs="黑体"/>
                <w:sz w:val="24"/>
                <w:szCs w:val="24"/>
              </w:rPr>
            </w:pPr>
            <w:bookmarkStart w:id="50" w:name="_Toc75007956"/>
            <w:bookmarkStart w:id="51" w:name="_Toc1458936"/>
            <w:r>
              <w:rPr>
                <w:rFonts w:hint="eastAsia" w:ascii="黑体" w:hAnsi="黑体" w:eastAsia="黑体" w:cs="黑体"/>
                <w:sz w:val="24"/>
                <w:szCs w:val="24"/>
              </w:rPr>
              <w:t>序号</w:t>
            </w:r>
          </w:p>
        </w:tc>
        <w:tc>
          <w:tcPr>
            <w:tcW w:w="656" w:type="dxa"/>
            <w:noWrap/>
            <w:tcMar>
              <w:top w:w="15" w:type="dxa"/>
              <w:left w:w="15" w:type="dxa"/>
              <w:bottom w:w="0" w:type="dxa"/>
              <w:right w:w="1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名称</w:t>
            </w:r>
          </w:p>
        </w:tc>
        <w:tc>
          <w:tcPr>
            <w:tcW w:w="7725" w:type="dxa"/>
            <w:noWrap/>
            <w:tcMar>
              <w:top w:w="15" w:type="dxa"/>
              <w:left w:w="15" w:type="dxa"/>
              <w:bottom w:w="0" w:type="dxa"/>
              <w:right w:w="15" w:type="dxa"/>
            </w:tcMar>
            <w:vAlign w:val="center"/>
          </w:tcPr>
          <w:p>
            <w:pPr>
              <w:jc w:val="center"/>
              <w:rPr>
                <w:rFonts w:hint="eastAsia" w:ascii="黑体" w:hAnsi="黑体" w:eastAsia="黑体" w:cs="黑体"/>
                <w:sz w:val="24"/>
                <w:szCs w:val="24"/>
              </w:rPr>
            </w:pPr>
            <w:r>
              <w:rPr>
                <w:rFonts w:hint="eastAsia" w:ascii="黑体" w:hAnsi="黑体" w:eastAsia="黑体" w:cs="黑体"/>
                <w:b/>
                <w:sz w:val="24"/>
                <w:szCs w:val="24"/>
              </w:rPr>
              <w:t>功能及技术参数</w:t>
            </w:r>
          </w:p>
        </w:tc>
        <w:tc>
          <w:tcPr>
            <w:tcW w:w="731" w:type="dxa"/>
            <w:noWrap/>
            <w:tcMar>
              <w:top w:w="15" w:type="dxa"/>
              <w:left w:w="15" w:type="dxa"/>
              <w:bottom w:w="0" w:type="dxa"/>
              <w:right w:w="15" w:type="dxa"/>
            </w:tcMar>
            <w:vAlign w:val="center"/>
          </w:tcPr>
          <w:p>
            <w:pPr>
              <w:widowControl/>
              <w:spacing w:line="360" w:lineRule="auto"/>
              <w:jc w:val="center"/>
              <w:rPr>
                <w:rFonts w:hint="eastAsia" w:ascii="黑体" w:hAnsi="黑体" w:eastAsia="黑体" w:cs="黑体"/>
                <w:sz w:val="24"/>
                <w:szCs w:val="24"/>
              </w:rPr>
            </w:pPr>
            <w:r>
              <w:rPr>
                <w:rFonts w:hint="eastAsia" w:ascii="黑体" w:hAnsi="黑体" w:eastAsia="黑体" w:cs="黑体"/>
                <w:b/>
                <w:sz w:val="24"/>
                <w:szCs w:val="24"/>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1</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校级集中运维服务器</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仿宋" w:hAnsi="仿宋" w:eastAsia="仿宋"/>
                <w:b/>
                <w:sz w:val="24"/>
                <w:szCs w:val="24"/>
              </w:rPr>
              <w:t>★</w:t>
            </w:r>
            <w:r>
              <w:rPr>
                <w:rFonts w:hint="eastAsia" w:asciiTheme="minorEastAsia" w:hAnsiTheme="minorEastAsia" w:eastAsiaTheme="minorEastAsia" w:cstheme="minorEastAsia"/>
                <w:color w:val="auto"/>
                <w:sz w:val="24"/>
                <w:szCs w:val="24"/>
              </w:rPr>
              <w:t>CPU：≥六核十二线程I5-10500,主频≥3.1Ghz,缓存：≥12MB；</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2.主板芯片：Intel W480芯片组或以上；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w:t>
            </w:r>
            <w:r>
              <w:rPr>
                <w:rFonts w:hint="eastAsia" w:ascii="仿宋" w:hAnsi="仿宋" w:eastAsia="仿宋"/>
                <w:b/>
                <w:sz w:val="24"/>
                <w:szCs w:val="24"/>
              </w:rPr>
              <w:t>★</w:t>
            </w:r>
            <w:r>
              <w:rPr>
                <w:rFonts w:hint="eastAsia" w:asciiTheme="minorEastAsia" w:hAnsiTheme="minorEastAsia" w:eastAsiaTheme="minorEastAsia" w:cstheme="minorEastAsia"/>
                <w:color w:val="auto"/>
                <w:sz w:val="24"/>
                <w:szCs w:val="24"/>
              </w:rPr>
              <w:t>内存：≥8G DDR4 2933MHz内存，≥2个内存插槽，最大支持32GB DDR4内存；</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w:t>
            </w:r>
            <w:r>
              <w:rPr>
                <w:rFonts w:hint="eastAsia" w:ascii="仿宋" w:hAnsi="仿宋" w:eastAsia="仿宋"/>
                <w:b/>
                <w:sz w:val="24"/>
                <w:szCs w:val="24"/>
              </w:rPr>
              <w:t>★</w:t>
            </w:r>
            <w:r>
              <w:rPr>
                <w:rFonts w:hint="eastAsia" w:asciiTheme="minorEastAsia" w:hAnsiTheme="minorEastAsia" w:eastAsiaTheme="minorEastAsia" w:cstheme="minorEastAsia"/>
                <w:color w:val="auto"/>
                <w:sz w:val="24"/>
                <w:szCs w:val="24"/>
              </w:rPr>
              <w:t>硬盘：256GB M.2  PCIE Nvme+1TB 7200转机械存储硬盘；</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5.显卡：高性能集成显卡；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6.声卡：集成HD Audio，支持5.1声道有线网卡：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7.网卡：集成1000M自适应网卡；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8.电源:≤180W 85%节能高率转换电源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9.接口：≥前置：5个USB接口（至少1个USB Type-C）、2个音频接口；后置：4个USB接口、串口、音频接口、2个DP接口</w:t>
            </w:r>
            <w:r>
              <w:rPr>
                <w:rFonts w:hint="eastAsia" w:asciiTheme="minorEastAsia" w:hAnsiTheme="minorEastAsia" w:cstheme="minorEastAsia"/>
                <w:color w:val="auto"/>
                <w:sz w:val="24"/>
                <w:szCs w:val="24"/>
                <w:lang w:eastAsia="zh-CN"/>
              </w:rPr>
              <w:t>。</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10.扩展槽：≥1个PCIe Gen3.0x16、1个PCIe Gen 3.0x4（16长度）、1个PCIe Gen3.0x1；</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r>
              <w:rPr>
                <w:rFonts w:hint="eastAsia" w:ascii="仿宋" w:hAnsi="仿宋" w:eastAsia="仿宋"/>
                <w:b/>
                <w:sz w:val="24"/>
                <w:szCs w:val="24"/>
              </w:rPr>
              <w:t>★</w:t>
            </w:r>
            <w:r>
              <w:rPr>
                <w:rFonts w:hint="eastAsia" w:asciiTheme="minorEastAsia" w:hAnsiTheme="minorEastAsia" w:eastAsiaTheme="minorEastAsia" w:cstheme="minorEastAsia"/>
                <w:color w:val="auto"/>
                <w:sz w:val="24"/>
                <w:szCs w:val="24"/>
              </w:rPr>
              <w:t>显示器：≥2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英寸，分辨率不低于1920x1080（显示器通过低蓝光认证并提供带有显示器型号的中文版认证证书）；不高于2ms响应速度，不低于1000:1对比度。</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12.机箱：塔式标准机箱，不大于17L，节省空间；内嵌式把手设计，易于搬运，顶置电源开关键，方便使用； </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2</w:t>
            </w:r>
          </w:p>
        </w:tc>
        <w:tc>
          <w:tcPr>
            <w:tcW w:w="656" w:type="dxa"/>
            <w:noWrap/>
            <w:tcMar>
              <w:top w:w="15" w:type="dxa"/>
              <w:left w:w="15" w:type="dxa"/>
              <w:bottom w:w="0" w:type="dxa"/>
              <w:right w:w="15" w:type="dxa"/>
            </w:tcMar>
            <w:textDirection w:val="tbLrV"/>
            <w:vAlign w:val="center"/>
          </w:tcPr>
          <w:p>
            <w:pPr>
              <w:ind w:left="113" w:right="113"/>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教学触控一体机</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多功能一体机：</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显示要求:</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1.显示尺寸：=86英寸，屏幕尺寸：1950*1160mm，采用LED背光源A规屏。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2.显示分辨率：3840(H)×2160(V)；亮度：=400cd/m2；对比度：5000：1；</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系统配置：</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1.Win系统电脑配置及要求:电脑主板CPU</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Intel  Core I5二代，主频=1.99 GHz，内存=8G，固态硬盘=128G。</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2.安卓系统配置及要求:自带嵌入式安卓（Android）9.0系统，配置要求主频： CortexA55*4 1.2GHz内存RAM 1GB，存储8GB；</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整机硬件要求:</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铝合金外框，喇叭、接口、按键前置设计，喇叭=2×15W，其中前置接口须有PC-USB3.0、TV-USB2.0自适应端口、HDMI输入接口*1、TOUCH输出接口*1，拥有软件触摸屏上7个以上虚拟按钮，涵盖主页、音量加减、菜单、节能、开关机等功能，并且具有英文标识，方便老师快速使用。</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2.整机侧面须具有RF电视端口*1，CVBS端口*1，耳机EAPRHONE *1，VGA AUDIO IN*1，VGA电脑端口*1，HDMI输入*1，USB2.端口*1等常用端口。</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视频展台：</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硬件部分：</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1.CMOS专业图像传感器，像素1000万像素， 动态视频10-15帧/秒，1080P动态视频达到25-30帧/秒，最大幅面A4/A5；</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2.可识别、拍摄、自动调整白平衡，自动调整曝光；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3.配白光LED灯，2排6个LED灯，波速开关；</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4.USB2.0接口供电， 直接USB直通电脑，使机器跟电脑连接不会产生花屏；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5. 银色铝合金属材质，创新设计，外观庄重，轻便高档。灵活的结构设计，展开尺寸；370mm*300mm350mm；合拢尺寸350mm*300mm*60mm；</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6.箱体采用冷轧钢材质，内置机箱锁安全防盗，壁挂式安装； USB直接连接一体机设计，便于安装和维护；展台和箱体的连接采用手拧螺丝设计，方便设备维修。</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软件部分：</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1.快速扫描、快速抓图、一秒钟扫描存档；</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2.实物展示，动态下视频展示功能。动态状态下支持热拔插，视频放大缩小，全屏展示；</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3. 同屏对比分12、6、3、2、1屏。每屏都能单独调取摄像头拍照，单独带画笔批注，单独每屏放大缩小；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4. 支持连续递增式拍摄并自动将图片按顺序成单页或者多页PDF文件，无需转换。可以中间扫描插入、删除，并可实现删除原文件，只保留合并后的PDF文档。以及多页合并功能；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5. 教育展示所有的操作按键都在第一视窗界面，不存在2级菜单，方便老师学习使用；</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6.支持一维和二维识别条码识别，双面扫描自动合并功能；能识别二代身份证证件（软件实现，不需要身份证阅读器）；</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7. 支持彩色扫描、黑白（灰度）扫描、证件双面扫描；支持扫描后自动纠偏摆正、自动切黑边、自动去除黑底或暗影；</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8．支持彩色拍照去底色. 支持动态画面360度无级旋转和100%-无级数码变焦（以鼠标中心）， 集成软中控（即可一键切换视频展台、扫描管理、白板批注等）；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 带扫描智能优化：在保留文字以及有效颜色的情况下，将图片的灰底智能去除，设备带智能连拍功能。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10.随机附赠产品操作软件，包含丰富多种实际应用功能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推拉黑板：</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基本尺寸：4000mm×1300mm，可根据所配液晶一体机适当调整，确保与液晶一体机的有效配套；</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书写面材质：采用优质烤漆钢板，厚度≥0.3mm，板面为哑光墨绿色、漆膜硬度为6H，粗糙度为Ra1.6-3.2um；</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背板：防锈亚光彩涂钢板，每隔8公分设有2公分加强凹槽；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板面与衬板粘贴：采用环保型双组份聚氨酯胶水，自动化流水线覆板作业确保粘接牢固板面平整，甲醛释放量≤0.2mg/L，符合GB/T 28231-2011《书写板安全卫生要求》；</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边框材料：采用工业用高强度铝合金型材，电泳香槟色，G型滑道，模具挤压一次成型，规格≥57 mm×100 mm，横（立）框采用双层加强结构，厚度≥15mm；内框规格37 mm×20mm，根据一体机的厚度加装配套同色侧封；</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滑轮：</w:t>
            </w:r>
            <w:r>
              <w:rPr>
                <w:rFonts w:hint="eastAsia" w:asciiTheme="minorEastAsia" w:hAnsiTheme="minorEastAsia" w:eastAsiaTheme="minorEastAsia" w:cstheme="minorEastAsia"/>
                <w:color w:val="auto"/>
                <w:sz w:val="24"/>
                <w:szCs w:val="24"/>
                <w:lang w:val="en-US" w:eastAsia="zh-CN"/>
              </w:rPr>
              <w:t>上下槽</w:t>
            </w:r>
            <w:r>
              <w:rPr>
                <w:rFonts w:hint="eastAsia" w:asciiTheme="minorEastAsia" w:hAnsiTheme="minorEastAsia" w:eastAsiaTheme="minorEastAsia" w:cstheme="minorEastAsia"/>
                <w:color w:val="auto"/>
                <w:sz w:val="24"/>
                <w:szCs w:val="24"/>
              </w:rPr>
              <w:t>配装U型镶嵌式滑轮，高精度包塑轴承装配减震橡胶圈，保证滑动流畅、经久耐用。数目≥8个，上下均匀安装；</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除尘装置：外下框两侧各开一个直径25mm的圆孔，配置100×80mm的抽拉式粉尘盒，滑动板下端两侧配嵌入式橡胶粉尘刷，规格≥30 mm×35 mm×20mm，书写板滑动的过程中可自动清扫粉尘至粉尘盒中，粉尘盒可拆卸清洁；</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包角材料：采用抗老化高强度ABS工程塑料注塑成型，双壁成腔流线型设计，圆角≥R25mm；限位档：白板边框内部两侧安装滑动板限位档，防止活动白板开启时撞击立框。</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9.所有外凸可接触部分不得出现尖锐角，有效防止人员受伤害。</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教师控制讲台</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1、尺寸：1200*560*900mm。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2、材料：优质冷轧钢板+高档木质扶手，钢制部分采用≥0.8mm 和≥1.0mm 冷轧钢板制作。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3、工艺：钣金件表面经过处理，坚固耐用，具有防腐蚀性强、防盗、防潮、耐磨等优点。</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4</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教室计算机</w:t>
            </w:r>
            <w:r>
              <w:rPr>
                <w:rFonts w:hint="eastAsia" w:ascii="黑体" w:hAnsi="黑体" w:eastAsia="黑体" w:cs="黑体"/>
                <w:sz w:val="24"/>
                <w:szCs w:val="24"/>
                <w:lang w:eastAsia="zh-CN"/>
              </w:rPr>
              <w:t>电脑</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1.机型：</w:t>
            </w:r>
            <w:r>
              <w:rPr>
                <w:rFonts w:hint="eastAsia"/>
                <w:sz w:val="24"/>
                <w:szCs w:val="24"/>
                <w:lang w:eastAsia="zh-CN"/>
              </w:rPr>
              <w:t>组装</w:t>
            </w:r>
            <w:r>
              <w:rPr>
                <w:rFonts w:hint="eastAsia"/>
                <w:sz w:val="24"/>
                <w:szCs w:val="24"/>
              </w:rPr>
              <w:t xml:space="preserve">台式计算机；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2.★CPU：≥物理</w:t>
            </w:r>
            <w:r>
              <w:rPr>
                <w:rFonts w:hint="eastAsia"/>
                <w:sz w:val="24"/>
                <w:szCs w:val="24"/>
                <w:lang w:eastAsia="zh-CN"/>
              </w:rPr>
              <w:t>四</w:t>
            </w:r>
            <w:r>
              <w:rPr>
                <w:rFonts w:hint="eastAsia"/>
                <w:sz w:val="24"/>
                <w:szCs w:val="24"/>
              </w:rPr>
              <w:t>核</w:t>
            </w:r>
            <w:r>
              <w:rPr>
                <w:rFonts w:hint="eastAsia"/>
                <w:sz w:val="24"/>
                <w:szCs w:val="24"/>
                <w:lang w:eastAsia="zh-CN"/>
              </w:rPr>
              <w:t>八</w:t>
            </w:r>
            <w:r>
              <w:rPr>
                <w:rFonts w:hint="eastAsia"/>
                <w:sz w:val="24"/>
                <w:szCs w:val="24"/>
              </w:rPr>
              <w:t>线程intel</w:t>
            </w:r>
            <w:r>
              <w:rPr>
                <w:rFonts w:hint="eastAsia"/>
                <w:sz w:val="24"/>
                <w:szCs w:val="24"/>
                <w:lang w:val="en-US" w:eastAsia="zh-CN"/>
              </w:rPr>
              <w:t xml:space="preserve"> i3-10105</w:t>
            </w:r>
            <w:r>
              <w:rPr>
                <w:rFonts w:hint="eastAsia"/>
                <w:sz w:val="24"/>
                <w:szCs w:val="24"/>
              </w:rPr>
              <w:t>；</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3.★主板芯片：≥intel H</w:t>
            </w:r>
            <w:r>
              <w:rPr>
                <w:rFonts w:hint="eastAsia"/>
                <w:sz w:val="24"/>
                <w:szCs w:val="24"/>
                <w:lang w:val="en-US" w:eastAsia="zh-CN"/>
              </w:rPr>
              <w:t>51</w:t>
            </w:r>
            <w:r>
              <w:rPr>
                <w:rFonts w:hint="eastAsia"/>
                <w:sz w:val="24"/>
                <w:szCs w:val="24"/>
              </w:rPr>
              <w:t>0系列，中英文BIOS；</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4.★内存：≥</w:t>
            </w:r>
            <w:r>
              <w:rPr>
                <w:rFonts w:hint="eastAsia"/>
                <w:sz w:val="24"/>
                <w:szCs w:val="24"/>
                <w:lang w:val="en-US" w:eastAsia="zh-CN"/>
              </w:rPr>
              <w:t>8</w:t>
            </w:r>
            <w:r>
              <w:rPr>
                <w:rFonts w:hint="eastAsia"/>
                <w:sz w:val="24"/>
                <w:szCs w:val="24"/>
              </w:rPr>
              <w:t>G DDR4 2666MHz 内存，提供双内存槽位；</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5.硬盘：≥256G M.2固态硬盘；</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6.显卡：高性能集成显卡；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7.有线网卡：集成1000M自适应网卡；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8.声卡：集成声卡，支持5.1声道；</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9.电源：≤180W 85%节能高率转换电源；</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10★.接口：≥6个USB接口(前置2个USB 3.2 Gen1Gen2高速接口)、1组PS/2接口、1个串口、VGA+HDMI接口（VGA非转接）。</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11.扩展槽：≥1个PCI-E*16、2个PCI-E*1；</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12.★显示器：≥</w:t>
            </w:r>
            <w:r>
              <w:rPr>
                <w:rFonts w:hint="eastAsia"/>
                <w:sz w:val="24"/>
                <w:szCs w:val="24"/>
                <w:lang w:val="en-US" w:eastAsia="zh-CN"/>
              </w:rPr>
              <w:t>21</w:t>
            </w:r>
            <w:r>
              <w:rPr>
                <w:rFonts w:hint="eastAsia"/>
                <w:sz w:val="24"/>
                <w:szCs w:val="24"/>
              </w:rPr>
              <w:t>.5英寸，分辨率不低于1600x900；</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rPr>
            </w:pPr>
            <w:r>
              <w:rPr>
                <w:rFonts w:hint="eastAsia"/>
                <w:sz w:val="24"/>
                <w:szCs w:val="24"/>
              </w:rPr>
              <w:t>13.机箱：≥13L标准MATX机箱，顶置提手、顶置电源开关；</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sz w:val="24"/>
                <w:szCs w:val="24"/>
                <w:lang w:eastAsia="zh-CN"/>
              </w:rPr>
            </w:pPr>
            <w:r>
              <w:rPr>
                <w:rFonts w:hint="eastAsia"/>
                <w:sz w:val="24"/>
                <w:szCs w:val="24"/>
              </w:rPr>
              <w:t>14.键鼠：防水键盘、抗菌鼠标</w:t>
            </w:r>
            <w:r>
              <w:rPr>
                <w:rFonts w:hint="eastAsia"/>
                <w:sz w:val="24"/>
                <w:szCs w:val="24"/>
                <w:lang w:eastAsia="zh-CN"/>
              </w:rPr>
              <w:t>；</w:t>
            </w:r>
          </w:p>
          <w:p>
            <w:pPr>
              <w:pStyle w:val="2"/>
              <w:rPr>
                <w:rFonts w:hint="eastAsia"/>
                <w:lang w:val="en-US" w:eastAsia="zh-CN"/>
              </w:rPr>
            </w:pPr>
            <w:r>
              <w:rPr>
                <w:rFonts w:hint="eastAsia" w:asciiTheme="minorEastAsia" w:hAnsiTheme="minorEastAsia" w:cstheme="minorEastAsia"/>
                <w:color w:val="C00000"/>
                <w:sz w:val="24"/>
                <w:szCs w:val="24"/>
                <w:lang w:val="en-US" w:eastAsia="zh-CN"/>
              </w:rPr>
              <w:t>15.</w:t>
            </w:r>
            <w:r>
              <w:rPr>
                <w:rFonts w:hint="eastAsia" w:cs="仿宋_GB2312"/>
                <w:color w:val="C00000"/>
                <w:sz w:val="24"/>
                <w:szCs w:val="24"/>
              </w:rPr>
              <w:t>★提供原厂全新未拆封的新品，交货时时提供原厂货物清单及技术参数确认函</w:t>
            </w:r>
            <w:r>
              <w:rPr>
                <w:rFonts w:hint="eastAsia" w:cs="仿宋_GB2312"/>
                <w:color w:val="C00000"/>
                <w:sz w:val="21"/>
              </w:rPr>
              <w:t>；</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5</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计算机教室互动教学软件</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1.安装部署快捷，升级简易方便，全中文人性化界面设计，配有详细的在线帮助，支持主窗口功能按钮、浮动工具条、右键菜单、快捷键多项操作方式。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2.采用核心的动态局部截屏及实时压缩技术，在网络条件较差时亦能体现良好的性能；可根据网络条件调节网络补偿强度，根据广播内容调节广播及录制效率，使广播达到最佳效果，屏幕广播响应时间&lt;1秒。</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3.防杀进程、断线保护、卸载密码保护等辅助功能维护教学秩序。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4.文件分发和提交支持拖拽添加文件，可添加不同目录下的文件或文件目录。文件分发和提交支持拖拽添加，教师或学生一次分发或提交多个文件夹或多个文件目录下的文件。</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5.全面支持Windows系列操作系统，包括Windows 8/8.1（32位、64位）、windows 10（32位、64位）操作系统，与云虚拟桌面无缝集成。</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6.教师演示：将教师机屏幕和教师讲话实时广播给单一、部分或全体学生，可选择全屏或窗口方式。窗口模式下或教师机与学生机分辨率不同情况下，学生机可以以不同的窗口方式接收广播。</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7.教师演示速度增强：屏幕广播时支持多种画面质量的调节，根据网络的不同选择最好的效果进行教学。</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8.屏幕笔：教师教学使用的辅助工具，突出显示项目、添加注释，添加批注等。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10.视频直播：通过USB摄像头将教师的画面实时广播到学生机，达到更形象的教学效果，具有引导客户选择视频设备的提示画面，以便客户快速完成摄像头设备的设置。</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11.语音广播：将教师机麦克风或其他输入设备（如磁带、CD）的声音广播给学生，教学过程中，可以请任何一位已登录的学生发言，其他学生和教师收听该学生发言。</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12.语音对讲：教师可以选择任意一名已登录学生与其进行双向语音交谈，除教师和此学生外，其他学生不会受到干扰，可以动态切换对讲对象。</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13.学生演示：教师可选定一台学生机作为示范，由此学生代替教师进行示范教学。</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14.分组教学：教师分派组长执行指定的功能，组长代替教师进行小组教学，小组不需要再临时创建，可以直接使用既有分组信息，教师可以监控每个分组的教学过程，以了解分组教学的进度。</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15.分组讨论：教师可以创建多个小组进行讨论活动，并可任意选择分组加入讨论活动。同组师生支持多种方式进行交流，包括文字，表情，图片等。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16.屏幕录制：教师机可以将本地的操作和讲解过程录制为ASF录像文件，可以用 Windows 自带的 Media Player 直接播放。</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17.学生端屏幕录制、回放：学生端接收教师端广播的时候可以自动录制教师机广播教学的过程，课后可以重复观看学习。</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18．文件分发：允许教师将教师机不同盘符中的目录或文件一起发送至生机的某目录下。目录不存在自动新建此目录；盘符不存在或路径非法不允许分发；文件已存在选择自动覆盖或保留原始文件。</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20.网络快照：教师可以在监控学生的时候，对学生画面拍快照，保存学生画面的截图。</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21.屏幕监视：教师机可以监视单一、部分、全体学生机的屏幕，教师机每屏可监视多个学生屏幕（最多36个）。可以控制教师机监控的同屏幕各窗口间、屏幕与屏幕间的切换速度。可手动或自动循环监视。</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22.多频道教学：支持多达32个频道的划分，一个教师可对单个班级或多个班级同时上课；多个教师可同时对多个班级进行不同内容的教学。</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23.随堂小考：教师启动快速的单题考试或随堂调查，限定考试时间，学生答题后立即给出结果，结果显示学生答案柱状图分析和答题时间，可作为抢答依据。</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24.签到：提供学生名单管理工具，为软件和考试模块提供实名验证。提供点名功能，支持保留学生多次登录记录、考勤统计、签到信息的导出与对比。</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25.班级模型：有单独的管理界面，实现对班级模型的统一管理，并能够导入、导出，调用不同网络教室中的班级模型。</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26.上网限制：设定学生访问网站的黑名单或白名单，对学生可以访问的Internet站点进行管理。支持多浏览器限制，如QQ、IE、谷歌、360、遨游等浏览器。</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27.程序限制：通过各种策略的应用，可防止学生在教学过程中打游戏，或使用QQ，MSN等聊天工具。</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28.学生端属性查看：教师可以获取学生端英语口语的名称、登录名和其它常用信息，并可以列出学生端的应用程序、进程和进程 ID，教师还可以远程终止学生端的进程。</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29.系统日志：显示和自动保存系统运行过程中的关键事件，包括学生登录登出，资源不足，提交文件等。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30.黑屏肃静：教师可以对单一、部分、全体学生执行黑屏肃静来禁止其进行任何操作，达到专心听课目的，教师可自定义黑屏的内容与图片。</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31.远程命令：可以进行远程开机、关机、重启等操作，远程关闭所有学生正在执行的应用程序功能。</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32．分组管理：教师可以新建，删除，重命名分组，添加和删除分组中的成员，设置小组长。分组信息随班级模型永久保存，下次上课可以直接使用保存的分组。</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33.图标监看：班级模型中可以显示学生机桌面的缩图。缩图显示大小也可自由设定。</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34.自动锁屏：独有的断线保护自动锁屏技术，通过网卡的是否激活来锁定屏幕，避免学生拔掉网线违反纪律。</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35.防杀进程：为安全起见，学生端程序运行后，防止学生通过任务管理器结束学生端程序进程来逃脱教师控制。</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36.请求帮助：学生端遇到问题可请求帮助，教师端可远程遥控帮助学生解决问题。</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37.远程消息：教师与学生能够使用远程消息进行交流，并可以允许和阻止学生发送文字消息。</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38.远程设置：远程设置学生桌面主题、桌面背景、屏幕保护方案、学生的频道号和音量、学生的卸载密码，是否启用进程保护，断线锁屏，热键退出等。</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39.为避免知识产品纠纷，所投软件需具有国家权威机构颁发的英语口语软件著作权登记证书（提供证书复印件）。</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40.软件授权：提供按照部署设备生命周期内永久免费授权，7*24小电话技术支持。</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6</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eastAsia="zh-CN"/>
              </w:rPr>
              <w:t>课</w:t>
            </w:r>
            <w:r>
              <w:rPr>
                <w:rFonts w:hint="eastAsia" w:ascii="黑体" w:hAnsi="黑体" w:eastAsia="黑体" w:cs="黑体"/>
                <w:sz w:val="24"/>
                <w:szCs w:val="24"/>
              </w:rPr>
              <w:t>桌椅</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电脑桌（</w:t>
            </w:r>
            <w:r>
              <w:rPr>
                <w:rFonts w:hint="eastAsia" w:asciiTheme="minorEastAsia" w:hAnsiTheme="minorEastAsia" w:eastAsiaTheme="minorEastAsia" w:cstheme="minorEastAsia"/>
                <w:color w:val="auto"/>
                <w:sz w:val="24"/>
                <w:szCs w:val="24"/>
                <w:lang w:val="en-US" w:eastAsia="zh-CN"/>
              </w:rPr>
              <w:t>1桌两人位，配方凳两张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尺寸1400*600*750mm</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材质：</w:t>
            </w:r>
            <w:r>
              <w:rPr>
                <w:rFonts w:hint="eastAsia" w:asciiTheme="minorEastAsia" w:hAnsiTheme="minorEastAsia" w:eastAsiaTheme="minorEastAsia" w:cstheme="minorEastAsia"/>
                <w:color w:val="auto"/>
                <w:sz w:val="24"/>
                <w:szCs w:val="24"/>
              </w:rPr>
              <w:t>优质冷轧</w:t>
            </w:r>
            <w:r>
              <w:rPr>
                <w:rFonts w:hint="eastAsia" w:asciiTheme="minorEastAsia" w:hAnsiTheme="minorEastAsia" w:eastAsiaTheme="minorEastAsia" w:cstheme="minorEastAsia"/>
                <w:color w:val="auto"/>
                <w:sz w:val="24"/>
                <w:szCs w:val="24"/>
                <w:lang w:eastAsia="zh-CN"/>
              </w:rPr>
              <w:t>方管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三氨密度板包边台面，</w:t>
            </w:r>
            <w:r>
              <w:rPr>
                <w:rFonts w:hint="eastAsia" w:asciiTheme="minorEastAsia" w:hAnsiTheme="minorEastAsia" w:eastAsiaTheme="minorEastAsia" w:cstheme="minorEastAsia"/>
                <w:color w:val="auto"/>
                <w:sz w:val="24"/>
                <w:szCs w:val="24"/>
              </w:rPr>
              <w:t>钢制部分采用≥1.0mm 冷轧钢板制作</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方管加喷涂工艺，</w:t>
            </w:r>
            <w:r>
              <w:rPr>
                <w:rFonts w:hint="eastAsia" w:asciiTheme="minorEastAsia" w:hAnsiTheme="minorEastAsia" w:eastAsiaTheme="minorEastAsia" w:cstheme="minorEastAsia"/>
                <w:color w:val="auto"/>
                <w:sz w:val="24"/>
                <w:szCs w:val="24"/>
              </w:rPr>
              <w:t>预留线孔</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每台电脑桌可放置两</w:t>
            </w:r>
            <w:r>
              <w:rPr>
                <w:rFonts w:hint="eastAsia" w:asciiTheme="minorEastAsia" w:hAnsiTheme="minorEastAsia" w:eastAsiaTheme="minorEastAsia" w:cstheme="minorEastAsia"/>
                <w:color w:val="auto"/>
                <w:sz w:val="24"/>
                <w:szCs w:val="24"/>
              </w:rPr>
              <w:t>台电脑显示器</w:t>
            </w:r>
            <w:r>
              <w:rPr>
                <w:rFonts w:hint="eastAsia" w:asciiTheme="minorEastAsia" w:hAnsiTheme="minorEastAsia" w:eastAsiaTheme="minorEastAsia" w:cstheme="minorEastAsia"/>
                <w:color w:val="auto"/>
                <w:sz w:val="24"/>
                <w:szCs w:val="24"/>
                <w:lang w:eastAsia="zh-CN"/>
              </w:rPr>
              <w:t>及主机；</w:t>
            </w:r>
            <w:r>
              <w:rPr>
                <w:rFonts w:hint="eastAsia" w:asciiTheme="minorEastAsia" w:hAnsiTheme="minorEastAsia" w:eastAsiaTheme="minorEastAsia" w:cstheme="minorEastAsia"/>
                <w:color w:val="auto"/>
                <w:sz w:val="24"/>
                <w:szCs w:val="24"/>
              </w:rPr>
              <w:t xml:space="preserve"> </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7</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eastAsia="zh-CN"/>
              </w:rPr>
              <w:t>插座</w:t>
            </w:r>
          </w:p>
        </w:tc>
        <w:tc>
          <w:tcPr>
            <w:tcW w:w="7725" w:type="dxa"/>
            <w:noWrap w:val="0"/>
            <w:tcMar>
              <w:top w:w="15" w:type="dxa"/>
              <w:left w:w="15" w:type="dxa"/>
              <w:bottom w:w="0" w:type="dxa"/>
              <w:right w:w="15" w:type="dxa"/>
            </w:tcMar>
            <w:vAlign w:val="center"/>
          </w:tcPr>
          <w:p>
            <w:pPr>
              <w:pStyle w:val="38"/>
              <w:keepNext w:val="0"/>
              <w:keepLines w:val="0"/>
              <w:widowControl w:val="0"/>
              <w:suppressLineNumbers w:val="0"/>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1.8米带插头多孔插座，可满足电脑主机和显示屏供电，符合国家强制标准；</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8</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交换机</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交换机，24口千兆10/100/1000BASE-T</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5" w:type="dxa"/>
            <w:noWrap w:val="0"/>
            <w:vAlign w:val="center"/>
          </w:tcPr>
          <w:p>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9</w:t>
            </w:r>
          </w:p>
        </w:tc>
        <w:tc>
          <w:tcPr>
            <w:tcW w:w="656" w:type="dxa"/>
            <w:noWrap/>
            <w:tcMar>
              <w:top w:w="15" w:type="dxa"/>
              <w:left w:w="15" w:type="dxa"/>
              <w:bottom w:w="0" w:type="dxa"/>
              <w:right w:w="15" w:type="dxa"/>
            </w:tcMar>
            <w:textDirection w:val="tbLrV"/>
            <w:vAlign w:val="center"/>
          </w:tcPr>
          <w:p>
            <w:pPr>
              <w:ind w:left="113" w:leftChars="0" w:right="113" w:rightChars="0"/>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rPr>
              <w:t>综合布线</w:t>
            </w:r>
            <w:r>
              <w:rPr>
                <w:rFonts w:hint="eastAsia" w:ascii="黑体" w:hAnsi="黑体" w:eastAsia="黑体" w:cs="黑体"/>
                <w:sz w:val="24"/>
                <w:szCs w:val="24"/>
                <w:lang w:eastAsia="zh-CN"/>
              </w:rPr>
              <w:t>辅材</w:t>
            </w:r>
            <w:r>
              <w:rPr>
                <w:rFonts w:hint="eastAsia" w:ascii="黑体" w:hAnsi="黑体" w:eastAsia="黑体" w:cs="黑体"/>
                <w:sz w:val="24"/>
                <w:szCs w:val="24"/>
              </w:rPr>
              <w:t>及施工</w:t>
            </w:r>
          </w:p>
        </w:tc>
        <w:tc>
          <w:tcPr>
            <w:tcW w:w="772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1、安装的主要内容包括：设备的安装、互联和所有线路双向标识码，与设备新增的所需配套的交换机、机柜、电源线、网线、视频线、数据线布置，教学所需必须软件安装等。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2、电源线：符合国家标准，负载满足要求，三线分色分类阻燃分离布线。英语口语教室的主干电源线采用品牌厂家生产的 4 mm2 优质多芯铜质护套线，其他电源线采用品牌厂家生产的 2.5 mm2 优质多芯铜质护套线，所有电源线必须取得检测合格证。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3、网线：品牌厂家生产的六类双绞线，网线上打码。 </w:t>
            </w:r>
          </w:p>
          <w:p>
            <w:pPr>
              <w:keepNext w:val="0"/>
              <w:keepLines w:val="0"/>
              <w:pageBreakBefore w:val="0"/>
              <w:widowControl w:val="0"/>
              <w:kinsoku/>
              <w:wordWrap/>
              <w:overflowPunct/>
              <w:topLinePunct w:val="0"/>
              <w:bidi w:val="0"/>
              <w:adjustRightInd/>
              <w:snapToGrid/>
              <w:spacing w:line="360" w:lineRule="auto"/>
              <w:ind w:left="770" w:leftChars="26" w:right="0" w:rightChars="0" w:hanging="715" w:hangingChars="298"/>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4、线槽及扣条：金属线槽，符合国家安全标准，踢脚处线槽外必须加盖一次成型的不锈钢扣板。 </w:t>
            </w:r>
          </w:p>
        </w:tc>
        <w:tc>
          <w:tcPr>
            <w:tcW w:w="731" w:type="dxa"/>
            <w:noWrap w:val="0"/>
            <w:tcMar>
              <w:top w:w="15" w:type="dxa"/>
              <w:left w:w="15" w:type="dxa"/>
              <w:bottom w:w="0" w:type="dxa"/>
              <w:right w:w="15" w:type="dxa"/>
            </w:tcMar>
            <w:vAlign w:val="center"/>
          </w:tcPr>
          <w:p>
            <w:pPr>
              <w:spacing w:line="360" w:lineRule="exact"/>
              <w:rPr>
                <w:rFonts w:hint="eastAsia" w:ascii="黑体" w:hAnsi="黑体" w:eastAsia="黑体" w:cs="黑体"/>
                <w:b/>
                <w:sz w:val="24"/>
                <w:szCs w:val="24"/>
              </w:rPr>
            </w:pPr>
            <w:r>
              <w:rPr>
                <w:rFonts w:hint="eastAsia" w:ascii="黑体" w:hAnsi="黑体" w:eastAsia="黑体" w:cs="黑体"/>
                <w:b/>
                <w:sz w:val="24"/>
                <w:szCs w:val="24"/>
              </w:rPr>
              <w:t>△</w:t>
            </w:r>
          </w:p>
        </w:tc>
      </w:tr>
    </w:tbl>
    <w:p>
      <w:pPr>
        <w:pStyle w:val="62"/>
        <w:widowControl w:val="0"/>
        <w:tabs>
          <w:tab w:val="center" w:pos="4201"/>
          <w:tab w:val="right" w:leader="dot" w:pos="9298"/>
        </w:tabs>
        <w:spacing w:line="360" w:lineRule="auto"/>
        <w:ind w:left="480" w:hanging="480" w:hangingChars="200"/>
        <w:rPr>
          <w:rFonts w:hAnsi="宋体"/>
          <w:b w:val="0"/>
          <w:bCs w:val="0"/>
          <w:color w:val="auto"/>
          <w:sz w:val="24"/>
          <w:szCs w:val="24"/>
          <w:shd w:val="clear" w:color="auto" w:fill="FFFFFF"/>
        </w:rPr>
      </w:pPr>
      <w:r>
        <w:rPr>
          <w:rFonts w:hint="eastAsia" w:hAnsi="宋体" w:cs="宋体"/>
          <w:b w:val="0"/>
          <w:bCs w:val="0"/>
          <w:color w:val="000000"/>
          <w:sz w:val="24"/>
          <w:szCs w:val="24"/>
        </w:rPr>
        <w:t>注：以上参数由用户单位提供，属基本要求</w:t>
      </w:r>
      <w:r>
        <w:rPr>
          <w:rFonts w:hint="eastAsia" w:hAnsi="宋体" w:cs="宋体"/>
          <w:b w:val="0"/>
          <w:bCs w:val="0"/>
          <w:color w:val="auto"/>
          <w:sz w:val="24"/>
          <w:szCs w:val="24"/>
        </w:rPr>
        <w:t>，标★项为</w:t>
      </w:r>
      <w:r>
        <w:rPr>
          <w:rFonts w:hint="eastAsia" w:hAnsi="宋体" w:cs="宋体"/>
          <w:b w:val="0"/>
          <w:bCs w:val="0"/>
          <w:color w:val="auto"/>
          <w:sz w:val="24"/>
          <w:szCs w:val="24"/>
          <w:lang w:eastAsia="zh-CN"/>
        </w:rPr>
        <w:t>重要</w:t>
      </w:r>
      <w:r>
        <w:rPr>
          <w:rFonts w:hint="eastAsia" w:hAnsi="宋体" w:cs="宋体"/>
          <w:b w:val="0"/>
          <w:bCs w:val="0"/>
          <w:color w:val="auto"/>
          <w:sz w:val="24"/>
          <w:szCs w:val="24"/>
        </w:rPr>
        <w:t>参数</w:t>
      </w:r>
      <w:r>
        <w:rPr>
          <w:rFonts w:hint="eastAsia" w:hAnsi="宋体" w:cs="宋体"/>
          <w:b w:val="0"/>
          <w:bCs w:val="0"/>
          <w:color w:val="auto"/>
          <w:sz w:val="24"/>
          <w:szCs w:val="24"/>
          <w:lang w:eastAsia="zh-CN"/>
        </w:rPr>
        <w:t>项</w:t>
      </w:r>
      <w:r>
        <w:rPr>
          <w:rFonts w:hint="eastAsia" w:hAnsi="宋体" w:cs="宋体"/>
          <w:b w:val="0"/>
          <w:bCs w:val="0"/>
          <w:color w:val="auto"/>
          <w:sz w:val="24"/>
          <w:szCs w:val="24"/>
        </w:rPr>
        <w:t>，</w:t>
      </w:r>
      <w:r>
        <w:rPr>
          <w:rFonts w:hint="eastAsia" w:hAnsi="宋体"/>
          <w:b w:val="0"/>
          <w:bCs w:val="0"/>
          <w:color w:val="auto"/>
          <w:sz w:val="24"/>
          <w:szCs w:val="24"/>
          <w:highlight w:val="none"/>
        </w:rPr>
        <w:t>各响应供应商参与本次磋商的投</w:t>
      </w:r>
      <w:r>
        <w:rPr>
          <w:rFonts w:hint="eastAsia" w:hAnsi="宋体"/>
          <w:b w:val="0"/>
          <w:bCs w:val="0"/>
          <w:color w:val="auto"/>
          <w:sz w:val="24"/>
          <w:szCs w:val="24"/>
          <w:highlight w:val="none"/>
          <w:lang w:eastAsia="zh-CN"/>
        </w:rPr>
        <w:t>标产品须是满足</w:t>
      </w:r>
      <w:r>
        <w:rPr>
          <w:rFonts w:hint="eastAsia" w:hAnsi="宋体"/>
          <w:b w:val="0"/>
          <w:bCs w:val="0"/>
          <w:color w:val="auto"/>
          <w:sz w:val="24"/>
          <w:szCs w:val="24"/>
          <w:highlight w:val="none"/>
        </w:rPr>
        <w:t>或优于以上参数的产品</w:t>
      </w:r>
      <w:r>
        <w:rPr>
          <w:rFonts w:hint="eastAsia" w:hAnsi="宋体" w:cs="宋体"/>
          <w:b w:val="0"/>
          <w:bCs w:val="0"/>
          <w:color w:val="auto"/>
          <w:sz w:val="24"/>
          <w:szCs w:val="24"/>
          <w:lang w:val="zh-CN"/>
        </w:rPr>
        <w:t>。</w:t>
      </w:r>
    </w:p>
    <w:p>
      <w:pPr>
        <w:bidi w:val="0"/>
        <w:rPr>
          <w:rFonts w:hint="eastAsia"/>
          <w:sz w:val="24"/>
          <w:szCs w:val="24"/>
          <w:lang w:val="en-US" w:eastAsia="zh-CN"/>
        </w:rPr>
      </w:pPr>
    </w:p>
    <w:p>
      <w:pPr>
        <w:pStyle w:val="4"/>
        <w:pageBreakBefore w:val="0"/>
        <w:widowControl w:val="0"/>
        <w:numPr>
          <w:ilvl w:val="0"/>
          <w:numId w:val="0"/>
        </w:numPr>
        <w:kinsoku/>
        <w:wordWrap/>
        <w:overflowPunct/>
        <w:topLinePunct w:val="0"/>
        <w:autoSpaceDE/>
        <w:autoSpaceDN/>
        <w:bidi w:val="0"/>
        <w:adjustRightInd/>
        <w:snapToGrid/>
        <w:ind w:right="0" w:rightChars="0"/>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五、商务要求</w:t>
      </w:r>
      <w:bookmarkEnd w:id="50"/>
      <w:bookmarkEnd w:id="51"/>
    </w:p>
    <w:p>
      <w:pPr>
        <w:keepNext w:val="0"/>
        <w:keepLines w:val="0"/>
        <w:pageBreakBefore w:val="0"/>
        <w:widowControl w:val="0"/>
        <w:kinsoku/>
        <w:wordWrap/>
        <w:overflowPunct/>
        <w:topLinePunct w:val="0"/>
        <w:bidi w:val="0"/>
        <w:adjustRightInd/>
        <w:snapToGrid/>
        <w:spacing w:line="360" w:lineRule="auto"/>
        <w:ind w:left="1255" w:leftChars="26" w:right="0" w:rightChars="0" w:hanging="1200" w:hangingChars="498"/>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说明：</w:t>
      </w:r>
      <w:r>
        <w:rPr>
          <w:rFonts w:hint="eastAsia" w:asciiTheme="minorEastAsia" w:hAnsiTheme="minorEastAsia" w:eastAsiaTheme="minorEastAsia" w:cstheme="minorEastAsia"/>
          <w:color w:val="auto"/>
          <w:sz w:val="24"/>
          <w:szCs w:val="24"/>
        </w:rPr>
        <w:t>1、投标人在投标文件《商务（合同草案条款）响应、偏离情况说明表》中未对以下技术、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服务要求逐条说明响应或偏离情况的，其投标</w:t>
      </w:r>
      <w:r>
        <w:rPr>
          <w:rFonts w:hint="eastAsia" w:asciiTheme="minorEastAsia" w:hAnsiTheme="minorEastAsia" w:eastAsiaTheme="minorEastAsia" w:cstheme="minorEastAsia"/>
          <w:b/>
          <w:bCs/>
          <w:color w:val="auto"/>
          <w:sz w:val="24"/>
          <w:szCs w:val="24"/>
        </w:rPr>
        <w:t>按无效投标处理</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12"/>
        </w:numPr>
        <w:kinsoku/>
        <w:wordWrap/>
        <w:overflowPunct/>
        <w:topLinePunct w:val="0"/>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下表标注有</w:t>
      </w:r>
      <w:r>
        <w:rPr>
          <w:rFonts w:hint="eastAsia" w:asciiTheme="minorEastAsia" w:hAnsiTheme="minorEastAsia" w:eastAsiaTheme="minorEastAsia" w:cstheme="minorEastAsia"/>
          <w:b/>
          <w:color w:val="auto"/>
          <w:sz w:val="24"/>
          <w:szCs w:val="24"/>
        </w:rPr>
        <w:t>“△”号</w:t>
      </w:r>
      <w:r>
        <w:rPr>
          <w:rFonts w:hint="eastAsia" w:asciiTheme="minorEastAsia" w:hAnsiTheme="minorEastAsia" w:eastAsiaTheme="minorEastAsia" w:cstheme="minorEastAsia"/>
          <w:color w:val="auto"/>
          <w:sz w:val="24"/>
          <w:szCs w:val="24"/>
        </w:rPr>
        <w:t>的条款，为</w:t>
      </w:r>
      <w:r>
        <w:rPr>
          <w:rFonts w:hint="eastAsia" w:asciiTheme="minorEastAsia" w:hAnsiTheme="minorEastAsia" w:eastAsiaTheme="minorEastAsia" w:cstheme="minorEastAsia"/>
          <w:b/>
          <w:color w:val="auto"/>
          <w:sz w:val="24"/>
          <w:szCs w:val="24"/>
        </w:rPr>
        <w:t xml:space="preserve"> “评审因素及评分标准”</w:t>
      </w:r>
      <w:r>
        <w:rPr>
          <w:rFonts w:hint="eastAsia" w:asciiTheme="minorEastAsia" w:hAnsiTheme="minorEastAsia" w:eastAsiaTheme="minorEastAsia" w:cstheme="minorEastAsia"/>
          <w:color w:val="auto"/>
          <w:sz w:val="24"/>
          <w:szCs w:val="24"/>
        </w:rPr>
        <w:t>中的评分内容</w:t>
      </w:r>
      <w:r>
        <w:rPr>
          <w:rFonts w:hint="eastAsia" w:asciiTheme="minorEastAsia" w:hAnsi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leftChars="0" w:right="0" w:rightChars="0"/>
        <w:textAlignment w:val="auto"/>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3.1  工期：自合同签订后</w:t>
      </w:r>
      <w:r>
        <w:rPr>
          <w:rFonts w:hint="eastAsia" w:ascii="宋体" w:hAnsi="宋体" w:eastAsia="宋体" w:cs="宋体"/>
          <w:kern w:val="2"/>
          <w:sz w:val="24"/>
          <w:szCs w:val="24"/>
          <w:lang w:val="en-US" w:eastAsia="zh-CN"/>
        </w:rPr>
        <w:t>1个月</w:t>
      </w:r>
      <w:r>
        <w:rPr>
          <w:rFonts w:hint="eastAsia" w:ascii="宋体" w:hAnsi="宋体" w:eastAsia="宋体" w:cs="宋体"/>
          <w:kern w:val="2"/>
          <w:sz w:val="24"/>
          <w:szCs w:val="24"/>
        </w:rPr>
        <w:t>内完成建设，并移交采购人使用。</w:t>
      </w:r>
    </w:p>
    <w:p>
      <w:pPr>
        <w:pStyle w:val="199"/>
        <w:spacing w:line="360" w:lineRule="auto"/>
        <w:ind w:right="264"/>
        <w:rPr>
          <w:rFonts w:hint="default" w:ascii="宋体" w:hAnsi="宋体" w:eastAsia="宋体" w:cs="宋体"/>
          <w:kern w:val="2"/>
          <w:sz w:val="24"/>
          <w:szCs w:val="24"/>
          <w:lang w:val="en-US" w:eastAsia="zh-CN"/>
        </w:rPr>
      </w:pPr>
      <w:r>
        <w:rPr>
          <w:rFonts w:hint="eastAsia" w:eastAsia="宋体" w:cs="宋体"/>
          <w:kern w:val="2"/>
          <w:sz w:val="24"/>
          <w:szCs w:val="24"/>
          <w:lang w:val="en-US" w:eastAsia="zh-CN"/>
        </w:rPr>
        <w:t>3.2  交付地点：采购人指定地点。</w:t>
      </w:r>
    </w:p>
    <w:p>
      <w:pPr>
        <w:pStyle w:val="199"/>
        <w:spacing w:line="360" w:lineRule="auto"/>
        <w:ind w:right="264"/>
        <w:rPr>
          <w:rFonts w:hint="eastAsia" w:eastAsia="宋体" w:cs="宋体"/>
          <w:sz w:val="24"/>
          <w:szCs w:val="24"/>
          <w:lang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3</w:t>
      </w:r>
      <w:r>
        <w:rPr>
          <w:rFonts w:hint="eastAsia" w:ascii="宋体" w:hAnsi="宋体" w:eastAsia="宋体" w:cs="宋体"/>
          <w:kern w:val="2"/>
          <w:sz w:val="24"/>
          <w:szCs w:val="24"/>
        </w:rPr>
        <w:t xml:space="preserve"> 项目</w:t>
      </w:r>
      <w:r>
        <w:rPr>
          <w:rFonts w:hint="eastAsia" w:eastAsia="宋体" w:cs="宋体"/>
          <w:kern w:val="2"/>
          <w:sz w:val="24"/>
          <w:szCs w:val="24"/>
          <w:lang w:eastAsia="zh-CN"/>
        </w:rPr>
        <w:t>实施方案：</w:t>
      </w:r>
      <w:r>
        <w:rPr>
          <w:rFonts w:ascii="宋体" w:hAnsi="宋体" w:eastAsia="宋体" w:cs="宋体"/>
          <w:sz w:val="24"/>
          <w:szCs w:val="24"/>
        </w:rPr>
        <w:t>投标人</w:t>
      </w:r>
      <w:r>
        <w:rPr>
          <w:rFonts w:hint="eastAsia" w:eastAsia="宋体" w:cs="宋体"/>
          <w:sz w:val="24"/>
          <w:szCs w:val="24"/>
          <w:lang w:eastAsia="zh-CN"/>
        </w:rPr>
        <w:t>针对该项目制定合理的实施方案。</w:t>
      </w:r>
    </w:p>
    <w:p>
      <w:pPr>
        <w:pStyle w:val="199"/>
        <w:spacing w:line="360" w:lineRule="auto"/>
        <w:ind w:right="264"/>
        <w:rPr>
          <w:rFonts w:hint="eastAsia" w:ascii="宋体" w:hAnsi="宋体" w:eastAsia="宋体" w:cs="宋体"/>
          <w:kern w:val="2"/>
          <w:sz w:val="24"/>
          <w:szCs w:val="24"/>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4</w:t>
      </w:r>
      <w:r>
        <w:rPr>
          <w:rFonts w:hint="eastAsia" w:ascii="宋体" w:hAnsi="宋体" w:eastAsia="宋体" w:cs="宋体"/>
          <w:kern w:val="2"/>
          <w:sz w:val="24"/>
          <w:szCs w:val="24"/>
        </w:rPr>
        <w:t xml:space="preserve">  售后服务要求:投标人提供完善售后服务方案及售后服务承诺函</w:t>
      </w:r>
      <w:r>
        <w:rPr>
          <w:rFonts w:hint="eastAsia" w:eastAsia="宋体" w:cs="宋体"/>
          <w:kern w:val="2"/>
          <w:sz w:val="24"/>
          <w:szCs w:val="24"/>
          <w:lang w:eastAsia="zh-CN"/>
        </w:rPr>
        <w:t>，</w:t>
      </w:r>
      <w:r>
        <w:rPr>
          <w:rFonts w:hint="eastAsia" w:ascii="宋体" w:hAnsi="宋体" w:eastAsia="宋体" w:cs="宋体"/>
          <w:kern w:val="2"/>
          <w:sz w:val="24"/>
          <w:szCs w:val="24"/>
        </w:rPr>
        <w:t>竣工验收合格后进入售后服务期。</w:t>
      </w:r>
    </w:p>
    <w:p>
      <w:pPr>
        <w:pStyle w:val="199"/>
        <w:spacing w:line="360" w:lineRule="auto"/>
        <w:ind w:right="264"/>
        <w:rPr>
          <w:rFonts w:hint="default"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eastAsia="宋体" w:cs="宋体"/>
          <w:kern w:val="2"/>
          <w:sz w:val="24"/>
          <w:szCs w:val="24"/>
          <w:lang w:val="en-US" w:eastAsia="zh-CN"/>
        </w:rPr>
        <w:t>3.5 质保期：三年。</w:t>
      </w:r>
    </w:p>
    <w:p>
      <w:pPr>
        <w:pStyle w:val="199"/>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3.6</w:t>
      </w:r>
      <w:r>
        <w:rPr>
          <w:rFonts w:hint="eastAsia" w:ascii="宋体" w:hAnsi="宋体" w:eastAsia="宋体" w:cs="宋体"/>
          <w:kern w:val="2"/>
          <w:sz w:val="24"/>
          <w:szCs w:val="24"/>
        </w:rPr>
        <w:t xml:space="preserve"> </w:t>
      </w:r>
      <w:r>
        <w:rPr>
          <w:rFonts w:hint="eastAsia" w:eastAsia="宋体" w:cs="宋体"/>
          <w:kern w:val="2"/>
          <w:sz w:val="24"/>
          <w:szCs w:val="24"/>
          <w:lang w:val="en-US" w:eastAsia="zh-CN"/>
        </w:rPr>
        <w:t>报价要求：</w:t>
      </w:r>
    </w:p>
    <w:p>
      <w:pPr>
        <w:pStyle w:val="199"/>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1、投标人的报价应包含为完成本招标文件提出的货物或服务等全部相关工作所有可能发生的费用，即投标总报价为“交钥匙”价。对在合同实施过程中可能发生的其他费用，采购人概不负责。</w:t>
      </w:r>
    </w:p>
    <w:p>
      <w:pPr>
        <w:pStyle w:val="199"/>
        <w:spacing w:line="360" w:lineRule="auto"/>
        <w:ind w:right="264"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2、对本文件未列明，而投标人认为必需的费用也需列入投标总报价。在合同实施时，采购人将不予支付中标人没有列入的项目费用，并认为此项目的费用已包含在投标总报价中。</w:t>
      </w:r>
    </w:p>
    <w:p>
      <w:pPr>
        <w:pStyle w:val="199"/>
        <w:spacing w:line="360" w:lineRule="auto"/>
        <w:ind w:right="264"/>
        <w:rPr>
          <w:rFonts w:hint="eastAsia" w:eastAsia="宋体" w:cs="宋体"/>
          <w:kern w:val="2"/>
          <w:sz w:val="24"/>
          <w:szCs w:val="24"/>
          <w:lang w:val="en-US" w:eastAsia="zh-CN"/>
        </w:rPr>
      </w:pPr>
      <w:r>
        <w:rPr>
          <w:rFonts w:hint="eastAsia" w:eastAsia="宋体" w:cs="宋体"/>
          <w:kern w:val="2"/>
          <w:sz w:val="24"/>
          <w:szCs w:val="24"/>
          <w:lang w:val="en-US" w:eastAsia="zh-CN"/>
        </w:rPr>
        <w:t>3.7  付款方式：</w:t>
      </w:r>
    </w:p>
    <w:p>
      <w:pPr>
        <w:pStyle w:val="199"/>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1、合同款支付：按合同约定的付款方式付款。</w:t>
      </w:r>
    </w:p>
    <w:p>
      <w:pPr>
        <w:pStyle w:val="199"/>
        <w:spacing w:line="360" w:lineRule="auto"/>
        <w:ind w:left="0" w:leftChars="0" w:right="264" w:firstLine="420" w:firstLineChars="175"/>
        <w:rPr>
          <w:rFonts w:hint="eastAsia" w:ascii="宋体" w:hAnsi="宋体" w:eastAsia="宋体" w:cs="宋体"/>
          <w:kern w:val="2"/>
          <w:sz w:val="24"/>
          <w:szCs w:val="24"/>
        </w:rPr>
      </w:pPr>
      <w:r>
        <w:rPr>
          <w:rFonts w:hint="eastAsia" w:ascii="宋体" w:hAnsi="宋体" w:eastAsia="宋体" w:cs="宋体"/>
          <w:kern w:val="2"/>
          <w:sz w:val="24"/>
          <w:szCs w:val="24"/>
        </w:rPr>
        <w:t>2、中标人必须按国家有关财税规定开具发票。</w:t>
      </w:r>
    </w:p>
    <w:p>
      <w:pPr>
        <w:pStyle w:val="199"/>
        <w:spacing w:line="360" w:lineRule="auto"/>
        <w:ind w:right="264"/>
        <w:rPr>
          <w:rFonts w:hint="eastAsia" w:ascii="宋体" w:hAnsi="宋体" w:eastAsia="宋体" w:cs="宋体"/>
          <w:kern w:val="2"/>
          <w:sz w:val="24"/>
          <w:szCs w:val="24"/>
        </w:rPr>
      </w:pPr>
      <w:r>
        <w:rPr>
          <w:rFonts w:hint="eastAsia" w:eastAsia="宋体" w:cs="宋体"/>
          <w:kern w:val="2"/>
          <w:sz w:val="24"/>
          <w:szCs w:val="24"/>
          <w:lang w:val="en-US" w:eastAsia="zh-CN"/>
        </w:rPr>
        <w:t>3.8  验收要求：</w:t>
      </w:r>
      <w:r>
        <w:rPr>
          <w:rFonts w:hint="eastAsia" w:ascii="宋体" w:hAnsi="宋体" w:eastAsia="宋体" w:cs="宋体"/>
          <w:kern w:val="2"/>
          <w:sz w:val="24"/>
          <w:szCs w:val="24"/>
        </w:rPr>
        <w:t>中标人完成工作内容后向采购人提验收申请，由相关部门对产品进行检测，出具验收合格报告后，经采购人组织评审通过视为验收合格。</w:t>
      </w:r>
    </w:p>
    <w:p>
      <w:pPr>
        <w:pStyle w:val="199"/>
        <w:spacing w:line="360" w:lineRule="auto"/>
        <w:ind w:right="264"/>
        <w:rPr>
          <w:rFonts w:hint="eastAsia" w:ascii="宋体" w:hAnsi="宋体" w:eastAsia="仿宋" w:cs="宋体"/>
          <w:kern w:val="2"/>
          <w:sz w:val="24"/>
          <w:szCs w:val="24"/>
          <w:lang w:val="en-US" w:eastAsia="zh-CN"/>
        </w:rPr>
      </w:pPr>
      <w:r>
        <w:rPr>
          <w:rFonts w:hint="eastAsia" w:eastAsia="宋体" w:cs="宋体"/>
          <w:kern w:val="2"/>
          <w:sz w:val="24"/>
          <w:szCs w:val="24"/>
          <w:lang w:val="en-US" w:eastAsia="zh-CN"/>
        </w:rPr>
        <w:t xml:space="preserve">3.9  </w:t>
      </w:r>
      <w:r>
        <w:rPr>
          <w:rFonts w:hint="eastAsia" w:ascii="宋体" w:hAnsi="宋体" w:eastAsia="宋体" w:cs="宋体"/>
          <w:kern w:val="2"/>
          <w:sz w:val="24"/>
          <w:szCs w:val="24"/>
        </w:rPr>
        <w:t>合同条款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中标人违约承担违约责任。所有中标内容均需按照招标文件指标要求进行检查核对后方可进行报验，不满足招标文件重要指标和投标承诺的，采购人有权不对其进行验收；同时中标人对不满足要求的内容承担违约责任。</w:t>
      </w:r>
    </w:p>
    <w:p>
      <w:pPr>
        <w:pStyle w:val="199"/>
        <w:spacing w:line="360" w:lineRule="auto"/>
        <w:ind w:right="264"/>
        <w:rPr>
          <w:rFonts w:hint="eastAsia" w:ascii="宋体" w:hAnsi="宋体" w:eastAsia="宋体" w:cs="宋体"/>
          <w:kern w:val="2"/>
          <w:sz w:val="24"/>
          <w:szCs w:val="24"/>
          <w:lang w:val="en-US" w:eastAsia="zh-CN"/>
        </w:rPr>
      </w:pPr>
      <w:r>
        <w:rPr>
          <w:rFonts w:hint="eastAsia" w:asciiTheme="minorEastAsia" w:hAnsiTheme="minorEastAsia" w:eastAsiaTheme="minorEastAsia" w:cstheme="minorEastAsia"/>
          <w:b/>
          <w:color w:val="auto"/>
          <w:sz w:val="24"/>
          <w:szCs w:val="24"/>
        </w:rPr>
        <w:t>△</w:t>
      </w:r>
      <w:r>
        <w:rPr>
          <w:rFonts w:hint="eastAsia" w:ascii="宋体" w:hAnsi="宋体" w:eastAsia="宋体" w:cs="宋体"/>
          <w:kern w:val="2"/>
          <w:sz w:val="24"/>
          <w:szCs w:val="24"/>
        </w:rPr>
        <w:t>3.</w:t>
      </w:r>
      <w:r>
        <w:rPr>
          <w:rFonts w:hint="eastAsia" w:eastAsia="宋体" w:cs="宋体"/>
          <w:kern w:val="2"/>
          <w:sz w:val="24"/>
          <w:szCs w:val="24"/>
          <w:lang w:val="en-US" w:eastAsia="zh-CN"/>
        </w:rPr>
        <w:t>10</w:t>
      </w:r>
      <w:r>
        <w:rPr>
          <w:rFonts w:hint="eastAsia" w:ascii="宋体" w:hAnsi="宋体" w:eastAsia="宋体" w:cs="宋体"/>
          <w:kern w:val="2"/>
          <w:sz w:val="24"/>
          <w:szCs w:val="24"/>
        </w:rPr>
        <w:t xml:space="preserve">  业绩要求：供应商具有类似</w:t>
      </w:r>
      <w:r>
        <w:rPr>
          <w:rFonts w:hint="eastAsia" w:eastAsia="宋体" w:cs="宋体"/>
          <w:kern w:val="2"/>
          <w:sz w:val="24"/>
          <w:szCs w:val="24"/>
          <w:lang w:eastAsia="zh-CN"/>
        </w:rPr>
        <w:t>项目建设</w:t>
      </w:r>
      <w:r>
        <w:rPr>
          <w:rFonts w:hint="eastAsia" w:ascii="宋体" w:hAnsi="宋体" w:eastAsia="宋体" w:cs="宋体"/>
          <w:kern w:val="2"/>
          <w:sz w:val="24"/>
          <w:szCs w:val="24"/>
        </w:rPr>
        <w:t>经验</w:t>
      </w:r>
      <w:r>
        <w:rPr>
          <w:rFonts w:hint="eastAsia" w:eastAsia="宋体" w:cs="宋体"/>
          <w:kern w:val="2"/>
          <w:sz w:val="24"/>
          <w:szCs w:val="24"/>
          <w:lang w:eastAsia="zh-CN"/>
        </w:rPr>
        <w:t>。</w:t>
      </w:r>
    </w:p>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7"/>
      <w:bookmarkEnd w:id="38"/>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2"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52"/>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53" w:name="_Toc25462"/>
      <w:r>
        <w:rPr>
          <w:rFonts w:hint="eastAsia" w:ascii="宋体" w:hAnsi="宋体" w:eastAsia="宋体" w:cstheme="minorEastAsia"/>
          <w:b/>
          <w:color w:val="auto"/>
          <w:sz w:val="28"/>
          <w:szCs w:val="28"/>
        </w:rPr>
        <w:t>二、评审步骤</w:t>
      </w:r>
      <w:bookmarkEnd w:id="53"/>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w:t>
            </w:r>
            <w:r>
              <w:rPr>
                <w:rFonts w:hint="eastAsia" w:ascii="宋体" w:hAnsi="宋体" w:eastAsia="宋体" w:cstheme="minorEastAsia"/>
                <w:color w:val="auto"/>
                <w:kern w:val="0"/>
                <w:sz w:val="24"/>
                <w:szCs w:val="24"/>
                <w:lang w:val="en-US" w:eastAsia="zh-CN"/>
              </w:rPr>
              <w:t>22</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3"/>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55</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30</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54" w:name="_Toc1458939"/>
      <w:bookmarkStart w:id="55" w:name="_Toc75007959"/>
    </w:p>
    <w:p>
      <w:pPr>
        <w:spacing w:line="440" w:lineRule="exact"/>
        <w:ind w:left="0" w:leftChars="0" w:firstLine="422" w:firstLineChars="150"/>
        <w:outlineLvl w:val="1"/>
        <w:rPr>
          <w:rFonts w:ascii="宋体" w:hAnsi="宋体" w:eastAsia="宋体" w:cstheme="minorEastAsia"/>
          <w:b/>
          <w:color w:val="auto"/>
          <w:sz w:val="28"/>
          <w:szCs w:val="28"/>
        </w:rPr>
      </w:pPr>
      <w:bookmarkStart w:id="56" w:name="_Toc19196"/>
      <w:r>
        <w:rPr>
          <w:rFonts w:hint="eastAsia" w:ascii="宋体" w:hAnsi="宋体" w:eastAsia="宋体" w:cstheme="minorEastAsia"/>
          <w:b/>
          <w:color w:val="auto"/>
          <w:sz w:val="28"/>
          <w:szCs w:val="28"/>
        </w:rPr>
        <w:t>三、</w:t>
      </w:r>
      <w:bookmarkStart w:id="57" w:name="_Toc494799112"/>
      <w:bookmarkStart w:id="58" w:name="_Toc509997296"/>
      <w:bookmarkStart w:id="59" w:name="_Toc1421491"/>
      <w:r>
        <w:rPr>
          <w:rFonts w:hint="eastAsia" w:ascii="宋体" w:hAnsi="宋体" w:eastAsia="宋体" w:cstheme="minorEastAsia"/>
          <w:b/>
          <w:color w:val="auto"/>
          <w:sz w:val="28"/>
          <w:szCs w:val="28"/>
        </w:rPr>
        <w:t>评审因素及评分标准</w:t>
      </w:r>
      <w:bookmarkEnd w:id="54"/>
      <w:bookmarkEnd w:id="55"/>
      <w:bookmarkEnd w:id="56"/>
      <w:bookmarkEnd w:id="57"/>
      <w:bookmarkEnd w:id="58"/>
      <w:bookmarkEnd w:id="59"/>
      <w:bookmarkStart w:id="60" w:name="_Toc1458940"/>
      <w:bookmarkStart w:id="61" w:name="_Toc7500796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15</w:t>
      </w:r>
      <w:r>
        <w:rPr>
          <w:rFonts w:hint="eastAsia" w:ascii="宋体" w:hAnsi="宋体" w:cs="Courier New"/>
          <w:color w:val="auto"/>
          <w:sz w:val="24"/>
          <w:szCs w:val="24"/>
        </w:rPr>
        <w:t>分</w:t>
      </w:r>
      <w:r>
        <w:rPr>
          <w:rFonts w:hint="eastAsia" w:ascii="宋体" w:hAnsi="宋体"/>
          <w:color w:val="auto"/>
          <w:sz w:val="24"/>
          <w:szCs w:val="24"/>
        </w:rPr>
        <w:t>）</w:t>
      </w:r>
      <w:bookmarkEnd w:id="60"/>
      <w:bookmarkEnd w:id="61"/>
    </w:p>
    <w:tbl>
      <w:tblPr>
        <w:tblStyle w:val="42"/>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50"/>
        <w:gridCol w:w="776"/>
        <w:gridCol w:w="46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600"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250"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776"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461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c>
          <w:tcPr>
            <w:tcW w:w="1080" w:type="dxa"/>
            <w:shd w:val="clear" w:color="C4BC96" w:fill="auto"/>
            <w:noWrap w:val="0"/>
            <w:vAlign w:val="center"/>
          </w:tcPr>
          <w:p>
            <w:pPr>
              <w:widowControl/>
              <w:spacing w:line="60" w:lineRule="auto"/>
              <w:ind w:left="-107" w:leftChars="-51" w:right="-107" w:rightChars="-5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Times New Roman" w:hAnsi="Times New Roman" w:eastAsia="宋体" w:cs="Times New Roman"/>
                <w:color w:val="auto"/>
                <w:sz w:val="24"/>
                <w:szCs w:val="24"/>
                <w:lang w:eastAsia="zh-CN"/>
              </w:rPr>
              <w:t>工期</w:t>
            </w:r>
          </w:p>
        </w:tc>
        <w:tc>
          <w:tcPr>
            <w:tcW w:w="776" w:type="dxa"/>
            <w:noWrap w:val="0"/>
            <w:vAlign w:val="center"/>
          </w:tcPr>
          <w:p>
            <w:pPr>
              <w:widowControl/>
              <w:tabs>
                <w:tab w:val="left" w:pos="351"/>
                <w:tab w:val="left" w:pos="816"/>
              </w:tabs>
              <w:spacing w:line="60" w:lineRule="auto"/>
              <w:ind w:right="-50" w:rightChars="-24"/>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val="en-US" w:eastAsia="zh-CN"/>
              </w:rPr>
              <w:t>1</w:t>
            </w:r>
          </w:p>
        </w:tc>
        <w:tc>
          <w:tcPr>
            <w:tcW w:w="4615" w:type="dxa"/>
            <w:noWrap w:val="0"/>
            <w:vAlign w:val="center"/>
          </w:tcPr>
          <w:p>
            <w:pPr>
              <w:widowControl/>
              <w:tabs>
                <w:tab w:val="left" w:pos="690"/>
              </w:tabs>
              <w:spacing w:line="60" w:lineRule="auto"/>
              <w:ind w:right="-50" w:rightChars="-24"/>
              <w:jc w:val="left"/>
              <w:rPr>
                <w:rFonts w:hint="default" w:ascii="宋体" w:hAnsi="宋体" w:eastAsia="宋体" w:cs="仿宋_GB2312"/>
                <w:color w:val="auto"/>
                <w:sz w:val="24"/>
                <w:szCs w:val="24"/>
                <w:lang w:val="en-US" w:eastAsia="zh-CN"/>
              </w:rPr>
            </w:pPr>
            <w:r>
              <w:rPr>
                <w:rFonts w:hint="eastAsia" w:ascii="宋体" w:hAnsi="宋体" w:eastAsia="宋体" w:cs="宋体"/>
                <w:kern w:val="2"/>
                <w:sz w:val="24"/>
                <w:szCs w:val="24"/>
                <w:lang w:eastAsia="zh-CN"/>
              </w:rPr>
              <w:t>投标人承诺</w:t>
            </w:r>
            <w:r>
              <w:rPr>
                <w:rFonts w:hint="eastAsia" w:ascii="宋体" w:hAnsi="宋体" w:eastAsia="宋体" w:cs="宋体"/>
                <w:kern w:val="2"/>
                <w:sz w:val="24"/>
                <w:szCs w:val="24"/>
              </w:rPr>
              <w:t>自合同签订后</w:t>
            </w:r>
            <w:r>
              <w:rPr>
                <w:rFonts w:hint="eastAsia" w:ascii="宋体" w:hAnsi="宋体" w:eastAsia="宋体" w:cs="宋体"/>
                <w:kern w:val="2"/>
                <w:sz w:val="24"/>
                <w:szCs w:val="24"/>
                <w:lang w:val="en-US" w:eastAsia="zh-CN"/>
              </w:rPr>
              <w:t>1个月</w:t>
            </w:r>
            <w:r>
              <w:rPr>
                <w:rFonts w:hint="eastAsia" w:ascii="宋体" w:hAnsi="宋体" w:eastAsia="宋体" w:cs="宋体"/>
                <w:kern w:val="2"/>
                <w:sz w:val="24"/>
                <w:szCs w:val="24"/>
              </w:rPr>
              <w:t>内完成建设，并移交采购人使用。</w:t>
            </w:r>
            <w:r>
              <w:rPr>
                <w:rFonts w:hint="eastAsia" w:ascii="宋体" w:hAnsi="宋体" w:eastAsia="宋体" w:cs="宋体"/>
                <w:kern w:val="2"/>
                <w:sz w:val="24"/>
                <w:szCs w:val="24"/>
                <w:lang w:eastAsia="zh-CN"/>
              </w:rPr>
              <w:t>每提前</w:t>
            </w:r>
            <w:r>
              <w:rPr>
                <w:rFonts w:hint="eastAsia" w:ascii="宋体" w:hAnsi="宋体" w:eastAsia="宋体" w:cs="宋体"/>
                <w:kern w:val="2"/>
                <w:sz w:val="24"/>
                <w:szCs w:val="24"/>
                <w:lang w:val="en-US" w:eastAsia="zh-CN"/>
              </w:rPr>
              <w:t>1天得0.5分；最高得1分；不提前交付不得分。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项目实施方案</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8</w:t>
            </w:r>
          </w:p>
        </w:tc>
        <w:tc>
          <w:tcPr>
            <w:tcW w:w="4615" w:type="dxa"/>
            <w:noWrap w:val="0"/>
            <w:vAlign w:val="center"/>
          </w:tcPr>
          <w:p>
            <w:pPr>
              <w:widowControl/>
              <w:tabs>
                <w:tab w:val="left" w:pos="690"/>
              </w:tabs>
              <w:spacing w:line="60" w:lineRule="auto"/>
              <w:ind w:right="-50" w:rightChars="-24"/>
              <w:jc w:val="left"/>
              <w:rPr>
                <w:rFonts w:hint="eastAsia"/>
                <w:lang w:val="en-US" w:eastAsia="zh-CN"/>
              </w:rPr>
            </w:pPr>
            <w:r>
              <w:rPr>
                <w:rFonts w:hint="eastAsia"/>
                <w:sz w:val="24"/>
                <w:szCs w:val="24"/>
                <w:lang w:eastAsia="zh-CN"/>
              </w:rPr>
              <w:t>项目实施方案</w:t>
            </w:r>
            <w:r>
              <w:rPr>
                <w:rFonts w:hint="eastAsia"/>
                <w:sz w:val="24"/>
                <w:szCs w:val="24"/>
                <w:lang w:val="en-US" w:eastAsia="zh-CN"/>
              </w:rPr>
              <w:t>3分（有详细的供货方案1分、系统集成和调试方案2分）。</w:t>
            </w:r>
          </w:p>
          <w:p>
            <w:pPr>
              <w:pStyle w:val="2"/>
              <w:rPr>
                <w:rFonts w:hint="default"/>
                <w:sz w:val="24"/>
                <w:szCs w:val="24"/>
                <w:lang w:val="en-US" w:eastAsia="zh-CN"/>
              </w:rPr>
            </w:pPr>
            <w:r>
              <w:rPr>
                <w:rFonts w:hint="eastAsia" w:asciiTheme="minorHAnsi" w:hAnsiTheme="minorHAnsi" w:eastAsiaTheme="minorEastAsia" w:cstheme="minorBidi"/>
                <w:b w:val="0"/>
                <w:bCs w:val="0"/>
                <w:caps w:val="0"/>
                <w:kern w:val="2"/>
                <w:sz w:val="24"/>
                <w:szCs w:val="24"/>
                <w:lang w:val="en-US" w:eastAsia="zh-CN" w:bidi="ar-SA"/>
              </w:rPr>
              <w:t>项目培训方案</w:t>
            </w:r>
            <w:r>
              <w:rPr>
                <w:rFonts w:hint="eastAsia" w:cstheme="minorBidi"/>
                <w:b w:val="0"/>
                <w:bCs w:val="0"/>
                <w:caps w:val="0"/>
                <w:kern w:val="2"/>
                <w:sz w:val="24"/>
                <w:szCs w:val="24"/>
                <w:lang w:val="en-US" w:eastAsia="zh-CN" w:bidi="ar-SA"/>
              </w:rPr>
              <w:t>5分（根据供应商提供的培训方案：培训计划1分，培训人员1分，培训方案及售后服务2分，服务响应时间1分）</w:t>
            </w:r>
          </w:p>
        </w:tc>
        <w:tc>
          <w:tcPr>
            <w:tcW w:w="1080" w:type="dxa"/>
            <w:noWrap w:val="0"/>
            <w:vAlign w:val="center"/>
          </w:tcPr>
          <w:p>
            <w:pPr>
              <w:widowControl/>
              <w:spacing w:line="60" w:lineRule="auto"/>
              <w:ind w:left="-65" w:leftChars="-31" w:right="-36" w:rightChars="-17"/>
              <w:jc w:val="center"/>
              <w:rPr>
                <w:rFonts w:hint="eastAsia"/>
                <w:lang w:val="en-US" w:eastAsia="zh-CN"/>
              </w:rPr>
            </w:pPr>
            <w:r>
              <w:t>商务要求</w:t>
            </w:r>
            <w:r>
              <w:rPr>
                <w:rFonts w:hint="eastAsia"/>
              </w:rPr>
              <w:t>3.</w:t>
            </w:r>
            <w:r>
              <w:rPr>
                <w:rFonts w:hint="eastAsia"/>
                <w:lang w:val="en-US" w:eastAsia="zh-CN"/>
              </w:rPr>
              <w:t>3</w:t>
            </w:r>
          </w:p>
          <w:p>
            <w:pPr>
              <w:widowControl/>
              <w:spacing w:line="60" w:lineRule="auto"/>
              <w:ind w:left="-65" w:leftChars="-31" w:right="-36" w:rightChars="-17"/>
              <w:jc w:val="center"/>
            </w:pPr>
            <w:r>
              <w:t>商务要求</w:t>
            </w:r>
            <w:r>
              <w:rPr>
                <w:rFonts w:hint="eastAsia"/>
              </w:rPr>
              <w:t>3.</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right="-78" w:rightChars="-37"/>
              <w:jc w:val="both"/>
              <w:rPr>
                <w:rFonts w:ascii="宋体" w:hAnsi="宋体" w:eastAsia="宋体" w:cs="仿宋_GB2312"/>
                <w:color w:val="auto"/>
                <w:sz w:val="24"/>
                <w:szCs w:val="24"/>
              </w:rPr>
            </w:pPr>
            <w:r>
              <w:rPr>
                <w:rFonts w:hint="eastAsia" w:ascii="宋体" w:hAnsi="宋体" w:eastAsia="宋体" w:cs="仿宋_GB2312"/>
                <w:color w:val="auto"/>
                <w:sz w:val="24"/>
                <w:szCs w:val="24"/>
                <w:lang w:eastAsia="zh-CN"/>
              </w:rPr>
              <w:t>质保期</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1</w:t>
            </w:r>
          </w:p>
        </w:tc>
        <w:tc>
          <w:tcPr>
            <w:tcW w:w="4615" w:type="dxa"/>
            <w:noWrap w:val="0"/>
            <w:vAlign w:val="center"/>
          </w:tcPr>
          <w:p>
            <w:pPr>
              <w:widowControl/>
              <w:tabs>
                <w:tab w:val="left" w:pos="690"/>
              </w:tabs>
              <w:spacing w:line="60" w:lineRule="auto"/>
              <w:ind w:right="-50" w:rightChars="-24"/>
              <w:jc w:val="left"/>
              <w:rPr>
                <w:rFonts w:ascii="宋体" w:hAnsi="宋体" w:eastAsia="宋体" w:cs="仿宋_GB2312"/>
                <w:color w:val="auto"/>
                <w:sz w:val="24"/>
                <w:szCs w:val="24"/>
              </w:rPr>
            </w:pPr>
            <w:r>
              <w:rPr>
                <w:rFonts w:hint="eastAsia" w:ascii="宋体" w:hAnsi="宋体" w:eastAsia="宋体" w:cs="Times New Roman"/>
                <w:color w:val="auto"/>
                <w:sz w:val="24"/>
                <w:szCs w:val="24"/>
                <w:lang w:eastAsia="zh-CN"/>
              </w:rPr>
              <w:t>质保期</w:t>
            </w:r>
            <w:r>
              <w:rPr>
                <w:rFonts w:hint="eastAsia" w:ascii="宋体" w:hAnsi="宋体" w:eastAsia="宋体" w:cs="Times New Roman"/>
                <w:color w:val="auto"/>
                <w:sz w:val="24"/>
                <w:szCs w:val="24"/>
                <w:lang w:val="en-US" w:eastAsia="zh-CN"/>
              </w:rPr>
              <w:t>3年，每延长1年得0.5分；最高得1分。</w:t>
            </w:r>
          </w:p>
        </w:tc>
        <w:tc>
          <w:tcPr>
            <w:tcW w:w="1080" w:type="dxa"/>
            <w:noWrap w:val="0"/>
            <w:vAlign w:val="center"/>
          </w:tcPr>
          <w:p>
            <w:pPr>
              <w:widowControl/>
              <w:spacing w:line="60" w:lineRule="auto"/>
              <w:ind w:left="-65" w:leftChars="-31" w:right="-36" w:rightChars="-17"/>
              <w:jc w:val="center"/>
              <w:rPr>
                <w:rFonts w:hint="eastAsia" w:ascii="宋体" w:hAnsi="宋体" w:eastAsia="宋体" w:cs="Times New Roman"/>
                <w:color w:val="auto"/>
                <w:sz w:val="24"/>
                <w:szCs w:val="24"/>
                <w:lang w:eastAsia="zh-CN"/>
              </w:rPr>
            </w:pPr>
            <w:r>
              <w:rPr>
                <w:rFonts w:ascii="宋体" w:hAnsi="宋体" w:eastAsia="宋体" w:cs="Times New Roman"/>
                <w:color w:val="auto"/>
                <w:sz w:val="24"/>
                <w:szCs w:val="24"/>
              </w:rPr>
              <w:t>商务要求</w:t>
            </w: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noWrap w:val="0"/>
            <w:vAlign w:val="center"/>
          </w:tcPr>
          <w:p>
            <w:pPr>
              <w:widowControl/>
              <w:numPr>
                <w:ilvl w:val="0"/>
                <w:numId w:val="14"/>
              </w:numPr>
              <w:tabs>
                <w:tab w:val="left" w:pos="322"/>
              </w:tabs>
              <w:spacing w:after="200" w:line="60" w:lineRule="auto"/>
              <w:ind w:left="0" w:right="-42" w:rightChars="-20" w:firstLine="0"/>
              <w:jc w:val="center"/>
              <w:rPr>
                <w:rFonts w:ascii="宋体" w:hAnsi="宋体" w:eastAsia="宋体" w:cs="Times New Roman"/>
                <w:b/>
                <w:color w:val="auto"/>
                <w:sz w:val="24"/>
                <w:szCs w:val="24"/>
              </w:rPr>
            </w:pPr>
          </w:p>
        </w:tc>
        <w:tc>
          <w:tcPr>
            <w:tcW w:w="1250" w:type="dxa"/>
            <w:noWrap w:val="0"/>
            <w:vAlign w:val="center"/>
          </w:tcPr>
          <w:p>
            <w:pPr>
              <w:widowControl/>
              <w:spacing w:line="60" w:lineRule="auto"/>
              <w:ind w:left="-57" w:leftChars="-27" w:right="-78" w:rightChars="-37"/>
              <w:jc w:val="center"/>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类似项目业绩</w:t>
            </w:r>
          </w:p>
        </w:tc>
        <w:tc>
          <w:tcPr>
            <w:tcW w:w="776" w:type="dxa"/>
            <w:noWrap w:val="0"/>
            <w:vAlign w:val="center"/>
          </w:tcPr>
          <w:p>
            <w:pPr>
              <w:widowControl/>
              <w:tabs>
                <w:tab w:val="left" w:pos="351"/>
                <w:tab w:val="left" w:pos="816"/>
              </w:tabs>
              <w:spacing w:line="60" w:lineRule="auto"/>
              <w:ind w:right="-50" w:rightChars="-24"/>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w:t>
            </w:r>
          </w:p>
        </w:tc>
        <w:tc>
          <w:tcPr>
            <w:tcW w:w="461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供应商提供2019年1月1日至投标截止日</w:t>
            </w:r>
            <w:r>
              <w:rPr>
                <w:rFonts w:hint="eastAsia" w:ascii="宋体" w:hAnsi="宋体" w:eastAsia="宋体" w:cs="Times New Roman"/>
                <w:color w:val="auto"/>
                <w:sz w:val="24"/>
                <w:szCs w:val="24"/>
                <w:highlight w:val="none"/>
                <w:lang w:val="en-US" w:eastAsia="zh-CN"/>
              </w:rPr>
              <w:t>承担过</w:t>
            </w:r>
            <w:r>
              <w:rPr>
                <w:rFonts w:hint="eastAsia" w:ascii="宋体" w:hAnsi="宋体" w:eastAsia="宋体" w:cs="Times New Roman"/>
                <w:color w:val="auto"/>
                <w:sz w:val="24"/>
                <w:szCs w:val="24"/>
                <w:highlight w:val="none"/>
                <w:lang w:eastAsia="zh-CN"/>
              </w:rPr>
              <w:t>同类</w:t>
            </w:r>
            <w:r>
              <w:rPr>
                <w:rFonts w:hint="eastAsia" w:ascii="宋体" w:hAnsi="宋体" w:eastAsia="宋体" w:cs="Times New Roman"/>
                <w:color w:val="auto"/>
                <w:sz w:val="24"/>
                <w:szCs w:val="24"/>
                <w:highlight w:val="none"/>
              </w:rPr>
              <w:t>项目业绩的，每提供1个合同业绩得</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分，最多</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分。 </w:t>
            </w:r>
          </w:p>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highlight w:val="none"/>
              </w:rPr>
              <w:t>（以合同签订时间为准，需提供项目合同及客户盖章验收单和项目联络人及联系</w:t>
            </w:r>
            <w:bookmarkStart w:id="97" w:name="_GoBack"/>
            <w:bookmarkEnd w:id="97"/>
            <w:r>
              <w:rPr>
                <w:rFonts w:hint="eastAsia" w:ascii="宋体" w:hAnsi="宋体" w:eastAsia="宋体" w:cs="Times New Roman"/>
                <w:color w:val="auto"/>
                <w:sz w:val="24"/>
                <w:szCs w:val="24"/>
                <w:highlight w:val="none"/>
              </w:rPr>
              <w:t>电话）</w:t>
            </w:r>
          </w:p>
        </w:tc>
        <w:tc>
          <w:tcPr>
            <w:tcW w:w="1080" w:type="dxa"/>
            <w:noWrap w:val="0"/>
            <w:vAlign w:val="center"/>
          </w:tcPr>
          <w:p>
            <w:pPr>
              <w:widowControl/>
              <w:spacing w:line="60" w:lineRule="auto"/>
              <w:ind w:left="-65" w:leftChars="-31" w:right="-36" w:rightChars="-17"/>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eastAsia="zh-CN"/>
              </w:rPr>
              <w:t>商务要求</w:t>
            </w:r>
            <w:r>
              <w:rPr>
                <w:rFonts w:hint="eastAsia" w:ascii="宋体" w:hAnsi="宋体" w:eastAsia="宋体" w:cs="Times New Roman"/>
                <w:color w:val="auto"/>
                <w:sz w:val="24"/>
                <w:szCs w:val="24"/>
                <w:lang w:val="en-US" w:eastAsia="zh-CN"/>
              </w:rPr>
              <w:t>3.10</w:t>
            </w:r>
          </w:p>
        </w:tc>
      </w:tr>
    </w:tbl>
    <w:p>
      <w:pPr>
        <w:pStyle w:val="22"/>
        <w:rPr>
          <w:color w:val="auto"/>
        </w:rPr>
      </w:pPr>
    </w:p>
    <w:p>
      <w:pPr>
        <w:numPr>
          <w:ilvl w:val="0"/>
          <w:numId w:val="15"/>
        </w:numPr>
        <w:spacing w:line="440" w:lineRule="exact"/>
        <w:ind w:left="0" w:leftChars="0" w:firstLine="480" w:firstLineChars="200"/>
        <w:outlineLvl w:val="2"/>
        <w:rPr>
          <w:rFonts w:hint="eastAsia" w:ascii="宋体" w:hAnsi="宋体"/>
          <w:color w:val="auto"/>
          <w:sz w:val="24"/>
          <w:szCs w:val="24"/>
        </w:rPr>
      </w:pPr>
      <w:bookmarkStart w:id="62" w:name="_Toc1458941"/>
      <w:bookmarkStart w:id="63" w:name="_Toc7500796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55</w:t>
      </w:r>
      <w:r>
        <w:rPr>
          <w:rFonts w:hint="eastAsia" w:ascii="宋体" w:hAnsi="宋体"/>
          <w:color w:val="auto"/>
          <w:sz w:val="24"/>
          <w:szCs w:val="24"/>
        </w:rPr>
        <w:t>分）</w:t>
      </w:r>
      <w:bookmarkEnd w:id="62"/>
      <w:bookmarkEnd w:id="63"/>
    </w:p>
    <w:tbl>
      <w:tblPr>
        <w:tblStyle w:val="42"/>
        <w:tblW w:w="4497" w:type="pc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13"/>
        <w:gridCol w:w="854"/>
        <w:gridCol w:w="467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64" w:name="_Toc385992359"/>
            <w:bookmarkStart w:id="65" w:name="_Toc389620198"/>
            <w:r>
              <w:rPr>
                <w:rFonts w:hint="eastAsia" w:ascii="宋体" w:hAnsi="宋体" w:eastAsia="宋体" w:cs="Times New Roman"/>
                <w:b/>
                <w:color w:val="000000"/>
                <w:sz w:val="24"/>
                <w:szCs w:val="24"/>
              </w:rPr>
              <w:t>序号</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512"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2808"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63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宋体" w:cs="宋体"/>
                <w:sz w:val="28"/>
                <w:szCs w:val="28"/>
              </w:rPr>
            </w:pPr>
            <w:r>
              <w:rPr>
                <w:rFonts w:hint="eastAsia" w:ascii="等线" w:hAnsi="等线" w:eastAsia="宋体" w:cs="宋体"/>
                <w:b/>
                <w:sz w:val="24"/>
                <w:szCs w:val="24"/>
              </w:rPr>
              <w:t>因素来源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78"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668"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仿宋_GB2312"/>
                <w:color w:val="auto"/>
                <w:sz w:val="24"/>
                <w:szCs w:val="24"/>
              </w:rPr>
              <w:t>技术参数</w:t>
            </w:r>
          </w:p>
        </w:tc>
        <w:tc>
          <w:tcPr>
            <w:tcW w:w="512"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55</w:t>
            </w:r>
          </w:p>
        </w:tc>
        <w:tc>
          <w:tcPr>
            <w:tcW w:w="2808"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sz w:val="24"/>
                <w:szCs w:val="24"/>
              </w:rPr>
            </w:pPr>
            <w:r>
              <w:rPr>
                <w:rFonts w:hint="eastAsia" w:ascii="宋体" w:hAnsi="宋体" w:eastAsia="宋体" w:cs="Times New Roman"/>
                <w:color w:val="auto"/>
                <w:sz w:val="24"/>
                <w:szCs w:val="24"/>
              </w:rPr>
              <w:t>“★”条款为实质性要求，不满足其投标无效。所投产品技术功能参数完全满足招标文件技术参数要求的得</w:t>
            </w:r>
            <w:r>
              <w:rPr>
                <w:rFonts w:hint="eastAsia" w:ascii="宋体" w:hAnsi="宋体" w:eastAsia="宋体" w:cs="Times New Roman"/>
                <w:color w:val="auto"/>
                <w:sz w:val="24"/>
                <w:szCs w:val="24"/>
                <w:lang w:val="en-US" w:eastAsia="zh-CN"/>
              </w:rPr>
              <w:t>55</w:t>
            </w:r>
            <w:r>
              <w:rPr>
                <w:rFonts w:hint="eastAsia" w:ascii="宋体" w:hAnsi="宋体" w:eastAsia="宋体" w:cs="Times New Roman"/>
                <w:color w:val="auto"/>
                <w:sz w:val="24"/>
                <w:szCs w:val="24"/>
              </w:rPr>
              <w:t>分。非“★”号为一般技术指标，每有一项负偏离扣1分，扣完为止。</w:t>
            </w:r>
          </w:p>
        </w:tc>
        <w:tc>
          <w:tcPr>
            <w:tcW w:w="631" w:type="pct"/>
            <w:tcBorders>
              <w:top w:val="single" w:color="auto" w:sz="4" w:space="0"/>
              <w:left w:val="single" w:color="auto" w:sz="4" w:space="0"/>
              <w:right w:val="single" w:color="auto" w:sz="4" w:space="0"/>
            </w:tcBorders>
            <w:noWrap w:val="0"/>
            <w:vAlign w:val="center"/>
          </w:tcPr>
          <w:p>
            <w:pPr>
              <w:spacing w:line="340" w:lineRule="exact"/>
              <w:rPr>
                <w:rFonts w:ascii="仿宋" w:hAnsi="仿宋" w:eastAsia="仿宋" w:cs="仿宋"/>
                <w:sz w:val="28"/>
                <w:szCs w:val="28"/>
              </w:rPr>
            </w:pPr>
            <w:r>
              <w:rPr>
                <w:rFonts w:hint="eastAsia" w:ascii="仿宋" w:hAnsi="仿宋" w:eastAsia="仿宋" w:cs="仿宋"/>
                <w:sz w:val="28"/>
                <w:szCs w:val="28"/>
              </w:rPr>
              <w:t>技术服务要求</w:t>
            </w:r>
          </w:p>
        </w:tc>
      </w:tr>
      <w:bookmarkEnd w:id="64"/>
      <w:bookmarkEnd w:id="65"/>
    </w:tbl>
    <w:p/>
    <w:p>
      <w:pPr>
        <w:spacing w:line="440" w:lineRule="exact"/>
        <w:ind w:left="0" w:leftChars="0" w:firstLine="480" w:firstLineChars="200"/>
        <w:jc w:val="left"/>
        <w:outlineLvl w:val="2"/>
        <w:rPr>
          <w:rFonts w:ascii="宋体" w:hAnsi="宋体"/>
          <w:color w:val="auto"/>
          <w:sz w:val="24"/>
          <w:szCs w:val="24"/>
        </w:rPr>
      </w:pPr>
      <w:bookmarkStart w:id="66" w:name="_Toc1458942"/>
      <w:bookmarkStart w:id="67" w:name="_Toc75007962"/>
      <w:r>
        <w:rPr>
          <w:rFonts w:hint="eastAsia" w:ascii="宋体" w:hAnsi="宋体"/>
          <w:color w:val="auto"/>
          <w:sz w:val="24"/>
          <w:szCs w:val="24"/>
        </w:rPr>
        <w:t>3、价格评议（</w:t>
      </w:r>
      <w:r>
        <w:rPr>
          <w:rFonts w:ascii="宋体" w:hAnsi="宋体"/>
          <w:color w:val="auto"/>
          <w:sz w:val="24"/>
          <w:szCs w:val="24"/>
        </w:rPr>
        <w:t xml:space="preserve"> </w:t>
      </w:r>
      <w:r>
        <w:rPr>
          <w:rFonts w:hint="eastAsia" w:ascii="宋体" w:hAnsi="宋体"/>
          <w:color w:val="auto"/>
          <w:sz w:val="24"/>
          <w:szCs w:val="24"/>
          <w:lang w:val="en-US" w:eastAsia="zh-CN"/>
        </w:rPr>
        <w:t>30</w:t>
      </w:r>
      <w:r>
        <w:rPr>
          <w:rFonts w:hint="eastAsia" w:ascii="宋体" w:hAnsi="宋体"/>
          <w:color w:val="auto"/>
          <w:sz w:val="24"/>
          <w:szCs w:val="24"/>
        </w:rPr>
        <w:t>分）</w:t>
      </w:r>
      <w:bookmarkEnd w:id="66"/>
      <w:bookmarkEnd w:id="67"/>
    </w:p>
    <w:tbl>
      <w:tblPr>
        <w:tblStyle w:val="42"/>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63"/>
        <w:gridCol w:w="78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34"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bookmarkStart w:id="68" w:name="_Toc29258"/>
            <w:bookmarkStart w:id="69" w:name="_Toc1145"/>
            <w:r>
              <w:rPr>
                <w:rFonts w:hint="eastAsia" w:ascii="宋体" w:hAnsi="宋体" w:eastAsia="宋体" w:cs="Times New Roman"/>
                <w:b/>
                <w:color w:val="000000"/>
                <w:sz w:val="24"/>
                <w:szCs w:val="24"/>
              </w:rPr>
              <w:t>序号</w:t>
            </w:r>
          </w:p>
        </w:tc>
        <w:tc>
          <w:tcPr>
            <w:tcW w:w="1263"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5531" w:type="dxa"/>
            <w:shd w:val="pct10" w:color="C4BC96" w:fill="FFFFFF" w:themeFill="background1"/>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34"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ascii="宋体" w:hAnsi="宋体" w:eastAsia="宋体" w:cs="Times New Roman"/>
                <w:color w:val="000000"/>
                <w:sz w:val="24"/>
                <w:szCs w:val="24"/>
              </w:rPr>
            </w:pPr>
            <w:r>
              <w:rPr>
                <w:rFonts w:ascii="宋体" w:hAnsi="宋体" w:eastAsia="宋体" w:cs="Times New Roman"/>
                <w:color w:val="000000"/>
                <w:sz w:val="24"/>
                <w:szCs w:val="24"/>
              </w:rPr>
              <w:t xml:space="preserve"> 30</w:t>
            </w:r>
          </w:p>
        </w:tc>
        <w:tc>
          <w:tcPr>
            <w:tcW w:w="5531"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 30分</w:t>
            </w:r>
          </w:p>
        </w:tc>
      </w:tr>
    </w:tbl>
    <w:p>
      <w:pPr>
        <w:keepNext w:val="0"/>
        <w:keepLines w:val="0"/>
        <w:pageBreakBefore w:val="0"/>
        <w:kinsoku/>
        <w:wordWrap/>
        <w:overflowPunct/>
        <w:topLinePunct w:val="0"/>
        <w:bidi w:val="0"/>
        <w:adjustRightInd/>
        <w:spacing w:line="360" w:lineRule="auto"/>
        <w:ind w:right="0" w:rightChars="0"/>
        <w:jc w:val="both"/>
        <w:textAlignment w:val="auto"/>
        <w:outlineLvl w:val="0"/>
        <w:rPr>
          <w:rFonts w:hint="eastAsia" w:ascii="Times New Roman" w:hAnsi="Times New Roman" w:cs="Times New Roman"/>
          <w:b/>
          <w:color w:val="auto"/>
          <w:sz w:val="36"/>
          <w:szCs w:val="36"/>
        </w:rPr>
      </w:pPr>
    </w:p>
    <w:p>
      <w:pPr>
        <w:pStyle w:val="22"/>
        <w:rPr>
          <w:rFonts w:hint="eastAsia"/>
        </w:rPr>
      </w:pPr>
    </w:p>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8"/>
      <w:bookmarkEnd w:id="69"/>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70" w:name="_Toc4455"/>
      <w:bookmarkStart w:id="71" w:name="_Toc15277"/>
      <w:r>
        <w:rPr>
          <w:rFonts w:hint="eastAsia" w:ascii="Times New Roman" w:hAnsi="Times New Roman" w:cs="Times New Roman"/>
          <w:b/>
          <w:color w:val="auto"/>
          <w:sz w:val="44"/>
          <w:szCs w:val="44"/>
        </w:rPr>
        <w:t>第六章响应文件格式</w:t>
      </w:r>
      <w:bookmarkEnd w:id="70"/>
      <w:bookmarkEnd w:id="71"/>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72" w:name="_Toc22224"/>
      <w:bookmarkStart w:id="73" w:name="_Toc30715"/>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72"/>
      <w:bookmarkEnd w:id="73"/>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74" w:name="_Toc24534"/>
      <w:bookmarkStart w:id="75"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74"/>
      <w:bookmarkEnd w:id="75"/>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6" w:name="_Toc15319"/>
      <w:bookmarkStart w:id="77" w:name="_Toc13229"/>
      <w:r>
        <w:rPr>
          <w:rFonts w:hint="eastAsia" w:ascii="Times New Roman" w:hAnsi="Times New Roman" w:cs="Times New Roman"/>
          <w:b/>
          <w:color w:val="auto"/>
          <w:sz w:val="24"/>
          <w:szCs w:val="24"/>
          <w:lang w:val="en-US" w:eastAsia="zh-CN"/>
        </w:rPr>
        <w:t>目录</w:t>
      </w:r>
      <w:bookmarkEnd w:id="76"/>
      <w:bookmarkEnd w:id="77"/>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8" w:name="_Toc19053"/>
      <w:bookmarkStart w:id="79" w:name="_Toc2844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8"/>
      <w:bookmarkEnd w:id="79"/>
      <w:r>
        <w:rPr>
          <w:rFonts w:hint="eastAsia" w:ascii="Times New Roman" w:hAnsi="Times New Roman" w:cs="Times New Roman"/>
          <w:color w:val="auto"/>
          <w:sz w:val="24"/>
          <w:szCs w:val="24"/>
        </w:rPr>
        <w:t>磋商书</w:t>
      </w:r>
    </w:p>
    <w:p>
      <w:pPr>
        <w:pStyle w:val="28"/>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3"/>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3"/>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3"/>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3"/>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3"/>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3"/>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3"/>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3"/>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3"/>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80"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80"/>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3"/>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3"/>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3"/>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3"/>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3"/>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81"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81"/>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8"/>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2"/>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3"/>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3"/>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2"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82"/>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83"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83"/>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8"/>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3"/>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3"/>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84"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84"/>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8"/>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3"/>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3"/>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85"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85"/>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6"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6"/>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7"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8"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8"/>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9"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9"/>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0"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90"/>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91"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91"/>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2"/>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92"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92"/>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93" w:name="OLE_LINK13"/>
      <w:bookmarkStart w:id="94" w:name="OLE_LINK14"/>
      <w:r>
        <w:rPr>
          <w:rFonts w:hint="eastAsia" w:ascii="Times New Roman" w:hAnsi="Times New Roman" w:cs="Times New Roman" w:eastAsiaTheme="majorEastAsia"/>
          <w:b/>
          <w:color w:val="auto"/>
          <w:spacing w:val="6"/>
          <w:sz w:val="24"/>
          <w:szCs w:val="24"/>
        </w:rPr>
        <w:t>残疾人福利性单位声明函</w:t>
      </w:r>
    </w:p>
    <w:bookmarkEnd w:id="93"/>
    <w:bookmarkEnd w:id="94"/>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95"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95"/>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8"/>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96"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96"/>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4" w:type="default"/>
      <w:footerReference r:id="rId5"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8"/>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eastAsiaTheme="minorEastAsia"/>
        <w:lang w:eastAsia="zh-CN"/>
      </w:rPr>
    </w:pPr>
    <w:r>
      <w:rPr>
        <w:rFonts w:hint="eastAsia"/>
        <w:lang w:eastAsia="zh-CN"/>
      </w:rPr>
      <w:t>随县职业技术教育中心计算机实训室建设项目采购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293A3"/>
    <w:multiLevelType w:val="singleLevel"/>
    <w:tmpl w:val="C5C293A3"/>
    <w:lvl w:ilvl="0" w:tentative="0">
      <w:start w:val="1"/>
      <w:numFmt w:val="decimal"/>
      <w:suff w:val="nothing"/>
      <w:lvlText w:val="（%1）"/>
      <w:lvlJc w:val="left"/>
    </w:lvl>
  </w:abstractNum>
  <w:abstractNum w:abstractNumId="1">
    <w:nsid w:val="D40E07F9"/>
    <w:multiLevelType w:val="singleLevel"/>
    <w:tmpl w:val="D40E07F9"/>
    <w:lvl w:ilvl="0" w:tentative="0">
      <w:start w:val="7"/>
      <w:numFmt w:val="chineseCounting"/>
      <w:suff w:val="nothing"/>
      <w:lvlText w:val="%1、"/>
      <w:lvlJc w:val="left"/>
      <w:rPr>
        <w:rFonts w:hint="eastAsia"/>
      </w:rPr>
    </w:lvl>
  </w:abstractNum>
  <w:abstractNum w:abstractNumId="2">
    <w:nsid w:val="DA8447DE"/>
    <w:multiLevelType w:val="singleLevel"/>
    <w:tmpl w:val="DA8447DE"/>
    <w:lvl w:ilvl="0" w:tentative="0">
      <w:start w:val="1"/>
      <w:numFmt w:val="chineseCounting"/>
      <w:suff w:val="nothing"/>
      <w:lvlText w:val="%1、"/>
      <w:lvlJc w:val="left"/>
      <w:rPr>
        <w:rFonts w:hint="eastAsia"/>
      </w:rPr>
    </w:lvl>
  </w:abstractNum>
  <w:abstractNum w:abstractNumId="3">
    <w:nsid w:val="E730C8BB"/>
    <w:multiLevelType w:val="singleLevel"/>
    <w:tmpl w:val="E730C8BB"/>
    <w:lvl w:ilvl="0" w:tentative="0">
      <w:start w:val="3"/>
      <w:numFmt w:val="chineseCounting"/>
      <w:suff w:val="space"/>
      <w:lvlText w:val="第%1章"/>
      <w:lvlJc w:val="left"/>
      <w:pPr>
        <w:ind w:left="840"/>
      </w:pPr>
      <w:rPr>
        <w:rFonts w:hint="eastAsia"/>
      </w:rPr>
    </w:lvl>
  </w:abstractNum>
  <w:abstractNum w:abstractNumId="4">
    <w:nsid w:val="EEC284E0"/>
    <w:multiLevelType w:val="singleLevel"/>
    <w:tmpl w:val="EEC284E0"/>
    <w:lvl w:ilvl="0" w:tentative="0">
      <w:start w:val="5"/>
      <w:numFmt w:val="chineseCounting"/>
      <w:suff w:val="nothing"/>
      <w:lvlText w:val="%1、"/>
      <w:lvlJc w:val="left"/>
      <w:rPr>
        <w:rFonts w:hint="eastAsia"/>
      </w:rPr>
    </w:lvl>
  </w:abstractNum>
  <w:abstractNum w:abstractNumId="5">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1DFE11"/>
    <w:multiLevelType w:val="singleLevel"/>
    <w:tmpl w:val="141DFE11"/>
    <w:lvl w:ilvl="0" w:tentative="0">
      <w:start w:val="1"/>
      <w:numFmt w:val="decimal"/>
      <w:suff w:val="nothing"/>
      <w:lvlText w:val="%1、"/>
      <w:lvlJc w:val="left"/>
    </w:lvl>
  </w:abstractNum>
  <w:abstractNum w:abstractNumId="8">
    <w:nsid w:val="2581F109"/>
    <w:multiLevelType w:val="singleLevel"/>
    <w:tmpl w:val="2581F109"/>
    <w:lvl w:ilvl="0" w:tentative="0">
      <w:start w:val="1"/>
      <w:numFmt w:val="decimal"/>
      <w:suff w:val="nothing"/>
      <w:lvlText w:val="%1、"/>
      <w:lvlJc w:val="left"/>
    </w:lvl>
  </w:abstractNum>
  <w:abstractNum w:abstractNumId="9">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11">
    <w:nsid w:val="57002C8A"/>
    <w:multiLevelType w:val="singleLevel"/>
    <w:tmpl w:val="57002C8A"/>
    <w:lvl w:ilvl="0" w:tentative="0">
      <w:start w:val="1"/>
      <w:numFmt w:val="chineseCounting"/>
      <w:suff w:val="space"/>
      <w:lvlText w:val="第%1章"/>
      <w:lvlJc w:val="left"/>
      <w:rPr>
        <w:rFonts w:hint="eastAsia"/>
      </w:rPr>
    </w:lvl>
  </w:abstractNum>
  <w:abstractNum w:abstractNumId="12">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9CB7350"/>
    <w:multiLevelType w:val="multilevel"/>
    <w:tmpl w:val="69CB7350"/>
    <w:lvl w:ilvl="0" w:tentative="0">
      <w:start w:val="1"/>
      <w:numFmt w:val="decimal"/>
      <w:lvlText w:val="1.%1"/>
      <w:lvlJc w:val="left"/>
      <w:pPr>
        <w:ind w:left="496" w:hanging="341"/>
      </w:pPr>
      <w:rPr>
        <w:rFonts w:hint="default" w:ascii="宋体" w:hAnsi="宋体" w:eastAsia="宋体"/>
        <w:b w:val="0"/>
        <w:color w:val="auto"/>
      </w:rPr>
    </w:lvl>
    <w:lvl w:ilvl="1" w:tentative="0">
      <w:start w:val="1"/>
      <w:numFmt w:val="lowerLetter"/>
      <w:lvlText w:val="%2)"/>
      <w:lvlJc w:val="left"/>
      <w:pPr>
        <w:ind w:left="1019" w:hanging="420"/>
      </w:pPr>
      <w:rPr>
        <w:rFonts w:hint="eastAsia"/>
      </w:rPr>
    </w:lvl>
    <w:lvl w:ilvl="2" w:tentative="0">
      <w:start w:val="1"/>
      <w:numFmt w:val="lowerRoman"/>
      <w:lvlText w:val="%3."/>
      <w:lvlJc w:val="right"/>
      <w:pPr>
        <w:ind w:left="1439" w:hanging="420"/>
      </w:pPr>
      <w:rPr>
        <w:rFonts w:hint="eastAsia"/>
      </w:rPr>
    </w:lvl>
    <w:lvl w:ilvl="3" w:tentative="0">
      <w:start w:val="1"/>
      <w:numFmt w:val="decimal"/>
      <w:lvlText w:val="%4."/>
      <w:lvlJc w:val="left"/>
      <w:pPr>
        <w:ind w:left="1859" w:hanging="420"/>
      </w:pPr>
      <w:rPr>
        <w:rFonts w:hint="eastAsia"/>
      </w:rPr>
    </w:lvl>
    <w:lvl w:ilvl="4" w:tentative="0">
      <w:start w:val="1"/>
      <w:numFmt w:val="lowerLetter"/>
      <w:lvlText w:val="%5)"/>
      <w:lvlJc w:val="left"/>
      <w:pPr>
        <w:ind w:left="2279" w:hanging="420"/>
      </w:pPr>
      <w:rPr>
        <w:rFonts w:hint="eastAsia"/>
      </w:rPr>
    </w:lvl>
    <w:lvl w:ilvl="5" w:tentative="0">
      <w:start w:val="1"/>
      <w:numFmt w:val="lowerRoman"/>
      <w:lvlText w:val="%6."/>
      <w:lvlJc w:val="right"/>
      <w:pPr>
        <w:ind w:left="2699" w:hanging="420"/>
      </w:pPr>
      <w:rPr>
        <w:rFonts w:hint="eastAsia"/>
      </w:rPr>
    </w:lvl>
    <w:lvl w:ilvl="6" w:tentative="0">
      <w:start w:val="1"/>
      <w:numFmt w:val="decimal"/>
      <w:lvlText w:val="%7."/>
      <w:lvlJc w:val="left"/>
      <w:pPr>
        <w:ind w:left="3119" w:hanging="420"/>
      </w:pPr>
      <w:rPr>
        <w:rFonts w:hint="eastAsia"/>
      </w:rPr>
    </w:lvl>
    <w:lvl w:ilvl="7" w:tentative="0">
      <w:start w:val="1"/>
      <w:numFmt w:val="lowerLetter"/>
      <w:lvlText w:val="%8)"/>
      <w:lvlJc w:val="left"/>
      <w:pPr>
        <w:ind w:left="3539" w:hanging="420"/>
      </w:pPr>
      <w:rPr>
        <w:rFonts w:hint="eastAsia"/>
      </w:rPr>
    </w:lvl>
    <w:lvl w:ilvl="8" w:tentative="0">
      <w:start w:val="1"/>
      <w:numFmt w:val="lowerRoman"/>
      <w:lvlText w:val="%9."/>
      <w:lvlJc w:val="right"/>
      <w:pPr>
        <w:ind w:left="3959" w:hanging="420"/>
      </w:pPr>
      <w:rPr>
        <w:rFonts w:hint="eastAsia"/>
      </w:rPr>
    </w:lvl>
  </w:abstractNum>
  <w:abstractNum w:abstractNumId="14">
    <w:nsid w:val="7E54280B"/>
    <w:multiLevelType w:val="singleLevel"/>
    <w:tmpl w:val="7E54280B"/>
    <w:lvl w:ilvl="0" w:tentative="0">
      <w:start w:val="2"/>
      <w:numFmt w:val="decimal"/>
      <w:suff w:val="nothing"/>
      <w:lvlText w:val="%1、"/>
      <w:lvlJc w:val="left"/>
    </w:lvl>
  </w:abstractNum>
  <w:num w:numId="1">
    <w:abstractNumId w:val="10"/>
  </w:num>
  <w:num w:numId="2">
    <w:abstractNumId w:val="6"/>
  </w:num>
  <w:num w:numId="3">
    <w:abstractNumId w:val="9"/>
  </w:num>
  <w:num w:numId="4">
    <w:abstractNumId w:val="11"/>
  </w:num>
  <w:num w:numId="5">
    <w:abstractNumId w:val="4"/>
  </w:num>
  <w:num w:numId="6">
    <w:abstractNumId w:val="7"/>
  </w:num>
  <w:num w:numId="7">
    <w:abstractNumId w:val="1"/>
  </w:num>
  <w:num w:numId="8">
    <w:abstractNumId w:val="12"/>
  </w:num>
  <w:num w:numId="9">
    <w:abstractNumId w:val="0"/>
  </w:num>
  <w:num w:numId="10">
    <w:abstractNumId w:val="3"/>
  </w:num>
  <w:num w:numId="11">
    <w:abstractNumId w:val="2"/>
  </w:num>
  <w:num w:numId="12">
    <w:abstractNumId w:val="8"/>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656B"/>
    <w:rsid w:val="00C7308F"/>
    <w:rsid w:val="00C767D5"/>
    <w:rsid w:val="00C95C1C"/>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35138A"/>
    <w:rsid w:val="01430E5C"/>
    <w:rsid w:val="01605D29"/>
    <w:rsid w:val="018330AD"/>
    <w:rsid w:val="01BB614C"/>
    <w:rsid w:val="01E8526A"/>
    <w:rsid w:val="02000B1F"/>
    <w:rsid w:val="02101428"/>
    <w:rsid w:val="023221B6"/>
    <w:rsid w:val="023817D2"/>
    <w:rsid w:val="023C209A"/>
    <w:rsid w:val="02491FE5"/>
    <w:rsid w:val="024E5007"/>
    <w:rsid w:val="02736BB0"/>
    <w:rsid w:val="028D5720"/>
    <w:rsid w:val="02A6660D"/>
    <w:rsid w:val="02BF3353"/>
    <w:rsid w:val="02E132C9"/>
    <w:rsid w:val="02F4335E"/>
    <w:rsid w:val="03451AAA"/>
    <w:rsid w:val="03595C54"/>
    <w:rsid w:val="035961B6"/>
    <w:rsid w:val="03644D55"/>
    <w:rsid w:val="03697B0E"/>
    <w:rsid w:val="036A37B8"/>
    <w:rsid w:val="037E4FBC"/>
    <w:rsid w:val="03A77468"/>
    <w:rsid w:val="03BC7892"/>
    <w:rsid w:val="03C20A9D"/>
    <w:rsid w:val="03CC3F79"/>
    <w:rsid w:val="03D64AAD"/>
    <w:rsid w:val="03ED6979"/>
    <w:rsid w:val="03FE7EAB"/>
    <w:rsid w:val="042F7047"/>
    <w:rsid w:val="0434199F"/>
    <w:rsid w:val="043D1622"/>
    <w:rsid w:val="043E3628"/>
    <w:rsid w:val="04484106"/>
    <w:rsid w:val="04691461"/>
    <w:rsid w:val="046928C3"/>
    <w:rsid w:val="04703638"/>
    <w:rsid w:val="049E5539"/>
    <w:rsid w:val="04F6588B"/>
    <w:rsid w:val="053864EC"/>
    <w:rsid w:val="053D17F5"/>
    <w:rsid w:val="05725496"/>
    <w:rsid w:val="05757AA3"/>
    <w:rsid w:val="058F650A"/>
    <w:rsid w:val="05BF16A5"/>
    <w:rsid w:val="05C07B0D"/>
    <w:rsid w:val="05D4645E"/>
    <w:rsid w:val="06036992"/>
    <w:rsid w:val="060F6259"/>
    <w:rsid w:val="062E158F"/>
    <w:rsid w:val="0653526C"/>
    <w:rsid w:val="06B64A6C"/>
    <w:rsid w:val="070F21DB"/>
    <w:rsid w:val="0716104E"/>
    <w:rsid w:val="071E7B37"/>
    <w:rsid w:val="076A29AB"/>
    <w:rsid w:val="076B2DCE"/>
    <w:rsid w:val="076C036C"/>
    <w:rsid w:val="077855B9"/>
    <w:rsid w:val="07CD77C3"/>
    <w:rsid w:val="07D11074"/>
    <w:rsid w:val="07F910B5"/>
    <w:rsid w:val="0815085B"/>
    <w:rsid w:val="08316113"/>
    <w:rsid w:val="083B2C3D"/>
    <w:rsid w:val="084F56FF"/>
    <w:rsid w:val="08555F5A"/>
    <w:rsid w:val="08774FC2"/>
    <w:rsid w:val="089808CE"/>
    <w:rsid w:val="08B84966"/>
    <w:rsid w:val="08C5351E"/>
    <w:rsid w:val="08D86F1C"/>
    <w:rsid w:val="08EA090B"/>
    <w:rsid w:val="08F73EBE"/>
    <w:rsid w:val="09041F95"/>
    <w:rsid w:val="091C0FD9"/>
    <w:rsid w:val="09315048"/>
    <w:rsid w:val="09324BC4"/>
    <w:rsid w:val="093D33C9"/>
    <w:rsid w:val="095B60E4"/>
    <w:rsid w:val="0960462C"/>
    <w:rsid w:val="098334BD"/>
    <w:rsid w:val="099248CD"/>
    <w:rsid w:val="09A57586"/>
    <w:rsid w:val="09D23506"/>
    <w:rsid w:val="09E63157"/>
    <w:rsid w:val="0A430D0D"/>
    <w:rsid w:val="0A9D2FE2"/>
    <w:rsid w:val="0A9F1F5E"/>
    <w:rsid w:val="0AB66287"/>
    <w:rsid w:val="0ABB6AF5"/>
    <w:rsid w:val="0ACA3C4C"/>
    <w:rsid w:val="0AEB67F9"/>
    <w:rsid w:val="0AF33DF9"/>
    <w:rsid w:val="0B1F6B95"/>
    <w:rsid w:val="0B412C61"/>
    <w:rsid w:val="0B430589"/>
    <w:rsid w:val="0B46799B"/>
    <w:rsid w:val="0B752C93"/>
    <w:rsid w:val="0B823F50"/>
    <w:rsid w:val="0BA63302"/>
    <w:rsid w:val="0BBD6225"/>
    <w:rsid w:val="0BC114DF"/>
    <w:rsid w:val="0C25691C"/>
    <w:rsid w:val="0C4C0933"/>
    <w:rsid w:val="0C5E2022"/>
    <w:rsid w:val="0C670CE3"/>
    <w:rsid w:val="0C7A2AF4"/>
    <w:rsid w:val="0C7B29E0"/>
    <w:rsid w:val="0C86214C"/>
    <w:rsid w:val="0C9D23BE"/>
    <w:rsid w:val="0D163BC6"/>
    <w:rsid w:val="0D6B569C"/>
    <w:rsid w:val="0D935461"/>
    <w:rsid w:val="0DBC24DA"/>
    <w:rsid w:val="0DD76FED"/>
    <w:rsid w:val="0DEB51E0"/>
    <w:rsid w:val="0DF2383E"/>
    <w:rsid w:val="0DF857C7"/>
    <w:rsid w:val="0E084F77"/>
    <w:rsid w:val="0E2B5527"/>
    <w:rsid w:val="0E4130EA"/>
    <w:rsid w:val="0E59397E"/>
    <w:rsid w:val="0E5F4312"/>
    <w:rsid w:val="0E6446C4"/>
    <w:rsid w:val="0E9D6C3E"/>
    <w:rsid w:val="0EA43A70"/>
    <w:rsid w:val="0EE02FCE"/>
    <w:rsid w:val="0EE7423B"/>
    <w:rsid w:val="0F29227F"/>
    <w:rsid w:val="0F687ABB"/>
    <w:rsid w:val="0FCE2E27"/>
    <w:rsid w:val="100D6038"/>
    <w:rsid w:val="102B6385"/>
    <w:rsid w:val="102D5D9F"/>
    <w:rsid w:val="10321608"/>
    <w:rsid w:val="10931917"/>
    <w:rsid w:val="10CB4356"/>
    <w:rsid w:val="10E20CEC"/>
    <w:rsid w:val="10F44B0F"/>
    <w:rsid w:val="113B4BC4"/>
    <w:rsid w:val="11566C8C"/>
    <w:rsid w:val="119836EC"/>
    <w:rsid w:val="119A0012"/>
    <w:rsid w:val="11D113C2"/>
    <w:rsid w:val="12026E01"/>
    <w:rsid w:val="12051714"/>
    <w:rsid w:val="12333415"/>
    <w:rsid w:val="123C7C16"/>
    <w:rsid w:val="12704DB3"/>
    <w:rsid w:val="12794E06"/>
    <w:rsid w:val="12A3059B"/>
    <w:rsid w:val="12AF2BFA"/>
    <w:rsid w:val="12D74756"/>
    <w:rsid w:val="12E46094"/>
    <w:rsid w:val="12EB23CA"/>
    <w:rsid w:val="130C4392"/>
    <w:rsid w:val="130C4532"/>
    <w:rsid w:val="134D74D4"/>
    <w:rsid w:val="1356388C"/>
    <w:rsid w:val="135B74B8"/>
    <w:rsid w:val="135E3B2E"/>
    <w:rsid w:val="136A43C7"/>
    <w:rsid w:val="137B3E80"/>
    <w:rsid w:val="140C1889"/>
    <w:rsid w:val="140F36CB"/>
    <w:rsid w:val="141917F8"/>
    <w:rsid w:val="142422AF"/>
    <w:rsid w:val="147C3C8C"/>
    <w:rsid w:val="14A66120"/>
    <w:rsid w:val="14FB20E7"/>
    <w:rsid w:val="150427B3"/>
    <w:rsid w:val="15107A3E"/>
    <w:rsid w:val="1541506E"/>
    <w:rsid w:val="15712BD2"/>
    <w:rsid w:val="159248FD"/>
    <w:rsid w:val="159F02AC"/>
    <w:rsid w:val="15A9411A"/>
    <w:rsid w:val="15D40158"/>
    <w:rsid w:val="15E86C3B"/>
    <w:rsid w:val="15F00805"/>
    <w:rsid w:val="16041175"/>
    <w:rsid w:val="16112C30"/>
    <w:rsid w:val="1623156A"/>
    <w:rsid w:val="164B5385"/>
    <w:rsid w:val="165C044D"/>
    <w:rsid w:val="167665C6"/>
    <w:rsid w:val="16810BF3"/>
    <w:rsid w:val="16CC017F"/>
    <w:rsid w:val="16E97C3C"/>
    <w:rsid w:val="16EA6177"/>
    <w:rsid w:val="171730AB"/>
    <w:rsid w:val="172A2C1F"/>
    <w:rsid w:val="177B1AE6"/>
    <w:rsid w:val="17866D45"/>
    <w:rsid w:val="17B32E54"/>
    <w:rsid w:val="17C567B6"/>
    <w:rsid w:val="17DD43C5"/>
    <w:rsid w:val="17E42573"/>
    <w:rsid w:val="17E663C6"/>
    <w:rsid w:val="183345EB"/>
    <w:rsid w:val="183F12A7"/>
    <w:rsid w:val="18455C50"/>
    <w:rsid w:val="18531E50"/>
    <w:rsid w:val="18541E1E"/>
    <w:rsid w:val="185A5BA0"/>
    <w:rsid w:val="187E5752"/>
    <w:rsid w:val="188620D2"/>
    <w:rsid w:val="18C174DB"/>
    <w:rsid w:val="18C249F0"/>
    <w:rsid w:val="18D214EE"/>
    <w:rsid w:val="18D30E8D"/>
    <w:rsid w:val="191707C1"/>
    <w:rsid w:val="191B18F5"/>
    <w:rsid w:val="19223474"/>
    <w:rsid w:val="194B373A"/>
    <w:rsid w:val="196A7C74"/>
    <w:rsid w:val="198266B8"/>
    <w:rsid w:val="19946A53"/>
    <w:rsid w:val="199C1137"/>
    <w:rsid w:val="19A846E9"/>
    <w:rsid w:val="19B00734"/>
    <w:rsid w:val="19B77438"/>
    <w:rsid w:val="19B968F6"/>
    <w:rsid w:val="19E1107D"/>
    <w:rsid w:val="19EC6A88"/>
    <w:rsid w:val="1A0F4768"/>
    <w:rsid w:val="1A3C68B4"/>
    <w:rsid w:val="1A424778"/>
    <w:rsid w:val="1A492BF8"/>
    <w:rsid w:val="1A4E34E2"/>
    <w:rsid w:val="1A534FE3"/>
    <w:rsid w:val="1A756552"/>
    <w:rsid w:val="1AAB3704"/>
    <w:rsid w:val="1ACD6B6C"/>
    <w:rsid w:val="1AE9320B"/>
    <w:rsid w:val="1B1E1F22"/>
    <w:rsid w:val="1B5F527B"/>
    <w:rsid w:val="1B701236"/>
    <w:rsid w:val="1BA30B26"/>
    <w:rsid w:val="1BE42BC4"/>
    <w:rsid w:val="1C0735C5"/>
    <w:rsid w:val="1C085913"/>
    <w:rsid w:val="1C170D74"/>
    <w:rsid w:val="1C3425B4"/>
    <w:rsid w:val="1C4650FC"/>
    <w:rsid w:val="1C6C3216"/>
    <w:rsid w:val="1C8B27CB"/>
    <w:rsid w:val="1C935AE2"/>
    <w:rsid w:val="1CA3397A"/>
    <w:rsid w:val="1CAE3253"/>
    <w:rsid w:val="1CAE6F40"/>
    <w:rsid w:val="1CB339A6"/>
    <w:rsid w:val="1CB403CA"/>
    <w:rsid w:val="1CBF0ABE"/>
    <w:rsid w:val="1CE57F1E"/>
    <w:rsid w:val="1CEE350A"/>
    <w:rsid w:val="1D273327"/>
    <w:rsid w:val="1D4946BC"/>
    <w:rsid w:val="1D567639"/>
    <w:rsid w:val="1D764B31"/>
    <w:rsid w:val="1D8F1A5E"/>
    <w:rsid w:val="1D9A07EC"/>
    <w:rsid w:val="1DAD49C3"/>
    <w:rsid w:val="1DC32E09"/>
    <w:rsid w:val="1DEE3330"/>
    <w:rsid w:val="1DFC05C7"/>
    <w:rsid w:val="1E2C2CAA"/>
    <w:rsid w:val="1E3302F5"/>
    <w:rsid w:val="1E38656C"/>
    <w:rsid w:val="1E4179CF"/>
    <w:rsid w:val="1E426EBA"/>
    <w:rsid w:val="1E577D0A"/>
    <w:rsid w:val="1E68061C"/>
    <w:rsid w:val="1E76001E"/>
    <w:rsid w:val="1E7A7539"/>
    <w:rsid w:val="1E886F79"/>
    <w:rsid w:val="1E8A7CBA"/>
    <w:rsid w:val="1EA45E3E"/>
    <w:rsid w:val="1EB660B9"/>
    <w:rsid w:val="1EDA29DE"/>
    <w:rsid w:val="1F470500"/>
    <w:rsid w:val="1F4D16E9"/>
    <w:rsid w:val="1F4E065F"/>
    <w:rsid w:val="1F5275D0"/>
    <w:rsid w:val="1F59095F"/>
    <w:rsid w:val="1F7667D5"/>
    <w:rsid w:val="1F9078D7"/>
    <w:rsid w:val="1F95570F"/>
    <w:rsid w:val="20230F6D"/>
    <w:rsid w:val="20410142"/>
    <w:rsid w:val="20BD525B"/>
    <w:rsid w:val="20D94C8E"/>
    <w:rsid w:val="20EC48AF"/>
    <w:rsid w:val="212B632B"/>
    <w:rsid w:val="212D2EAE"/>
    <w:rsid w:val="21633C8B"/>
    <w:rsid w:val="2169631B"/>
    <w:rsid w:val="21BD0297"/>
    <w:rsid w:val="21D06ED2"/>
    <w:rsid w:val="21E76A79"/>
    <w:rsid w:val="21F24981"/>
    <w:rsid w:val="225C3FC7"/>
    <w:rsid w:val="22836C12"/>
    <w:rsid w:val="228569AB"/>
    <w:rsid w:val="228D26CE"/>
    <w:rsid w:val="22945315"/>
    <w:rsid w:val="22963F54"/>
    <w:rsid w:val="229C12E2"/>
    <w:rsid w:val="22CD0355"/>
    <w:rsid w:val="22D85D40"/>
    <w:rsid w:val="23027641"/>
    <w:rsid w:val="230C4AB2"/>
    <w:rsid w:val="23150761"/>
    <w:rsid w:val="232C09A6"/>
    <w:rsid w:val="2390167A"/>
    <w:rsid w:val="239E204B"/>
    <w:rsid w:val="23EB3B50"/>
    <w:rsid w:val="245E4322"/>
    <w:rsid w:val="248A7123"/>
    <w:rsid w:val="24E64B69"/>
    <w:rsid w:val="24FC1D1C"/>
    <w:rsid w:val="250A069B"/>
    <w:rsid w:val="250D7B86"/>
    <w:rsid w:val="25632E71"/>
    <w:rsid w:val="257E2E5B"/>
    <w:rsid w:val="25D02FFD"/>
    <w:rsid w:val="25E47B7D"/>
    <w:rsid w:val="26021802"/>
    <w:rsid w:val="262325D7"/>
    <w:rsid w:val="263A4999"/>
    <w:rsid w:val="26425255"/>
    <w:rsid w:val="26797EDA"/>
    <w:rsid w:val="26B2554F"/>
    <w:rsid w:val="26DB7EAB"/>
    <w:rsid w:val="270A70EA"/>
    <w:rsid w:val="270D4AD8"/>
    <w:rsid w:val="272A0FBB"/>
    <w:rsid w:val="27476DD9"/>
    <w:rsid w:val="279664FC"/>
    <w:rsid w:val="27C94F39"/>
    <w:rsid w:val="27CE1102"/>
    <w:rsid w:val="27CE42CA"/>
    <w:rsid w:val="27E2755C"/>
    <w:rsid w:val="27E97193"/>
    <w:rsid w:val="27EC34A4"/>
    <w:rsid w:val="28171939"/>
    <w:rsid w:val="28687E65"/>
    <w:rsid w:val="28782890"/>
    <w:rsid w:val="287B307B"/>
    <w:rsid w:val="28860263"/>
    <w:rsid w:val="28A349F9"/>
    <w:rsid w:val="28B22F7D"/>
    <w:rsid w:val="28C42EEB"/>
    <w:rsid w:val="28D83258"/>
    <w:rsid w:val="28FB2A3F"/>
    <w:rsid w:val="29170468"/>
    <w:rsid w:val="29212E8D"/>
    <w:rsid w:val="296042FF"/>
    <w:rsid w:val="296E07D8"/>
    <w:rsid w:val="296F69EA"/>
    <w:rsid w:val="2993139B"/>
    <w:rsid w:val="299376BB"/>
    <w:rsid w:val="299B5F04"/>
    <w:rsid w:val="29A155D7"/>
    <w:rsid w:val="29BF51B1"/>
    <w:rsid w:val="29DA78A5"/>
    <w:rsid w:val="29F924A3"/>
    <w:rsid w:val="2A151926"/>
    <w:rsid w:val="2A2E2D26"/>
    <w:rsid w:val="2A2E35A5"/>
    <w:rsid w:val="2A5138A5"/>
    <w:rsid w:val="2AB26AF0"/>
    <w:rsid w:val="2AC84ACB"/>
    <w:rsid w:val="2ACB66B1"/>
    <w:rsid w:val="2B144892"/>
    <w:rsid w:val="2B4E756B"/>
    <w:rsid w:val="2B711930"/>
    <w:rsid w:val="2B8054C5"/>
    <w:rsid w:val="2B8F3953"/>
    <w:rsid w:val="2B986D03"/>
    <w:rsid w:val="2BA60E1F"/>
    <w:rsid w:val="2BBC67D4"/>
    <w:rsid w:val="2BCB25F8"/>
    <w:rsid w:val="2BDB3D96"/>
    <w:rsid w:val="2C1969DA"/>
    <w:rsid w:val="2C3607CC"/>
    <w:rsid w:val="2C4C53A8"/>
    <w:rsid w:val="2CF306DD"/>
    <w:rsid w:val="2CFC255E"/>
    <w:rsid w:val="2CFE48F4"/>
    <w:rsid w:val="2D151532"/>
    <w:rsid w:val="2D2865B7"/>
    <w:rsid w:val="2D4D6FE7"/>
    <w:rsid w:val="2D4F5238"/>
    <w:rsid w:val="2D7F2DB0"/>
    <w:rsid w:val="2DB4527D"/>
    <w:rsid w:val="2DB80421"/>
    <w:rsid w:val="2DD85145"/>
    <w:rsid w:val="2DDD304C"/>
    <w:rsid w:val="2DE05D4B"/>
    <w:rsid w:val="2DF43B43"/>
    <w:rsid w:val="2E0D1686"/>
    <w:rsid w:val="2E1B67F8"/>
    <w:rsid w:val="2E295E1B"/>
    <w:rsid w:val="2E326796"/>
    <w:rsid w:val="2E474078"/>
    <w:rsid w:val="2E507989"/>
    <w:rsid w:val="2E8433D9"/>
    <w:rsid w:val="2EA14EC7"/>
    <w:rsid w:val="2EE01394"/>
    <w:rsid w:val="2EEE335E"/>
    <w:rsid w:val="2F282022"/>
    <w:rsid w:val="2F445408"/>
    <w:rsid w:val="2F4B4049"/>
    <w:rsid w:val="2F6D4FB7"/>
    <w:rsid w:val="2F6F5865"/>
    <w:rsid w:val="2FAA5B44"/>
    <w:rsid w:val="2FC70C25"/>
    <w:rsid w:val="300F6E18"/>
    <w:rsid w:val="30262C13"/>
    <w:rsid w:val="302E54F0"/>
    <w:rsid w:val="30443639"/>
    <w:rsid w:val="304E7CB0"/>
    <w:rsid w:val="30501FCB"/>
    <w:rsid w:val="30595A18"/>
    <w:rsid w:val="305F38FB"/>
    <w:rsid w:val="30607673"/>
    <w:rsid w:val="30765F3C"/>
    <w:rsid w:val="30935804"/>
    <w:rsid w:val="30A9369A"/>
    <w:rsid w:val="30AB389E"/>
    <w:rsid w:val="30B57438"/>
    <w:rsid w:val="30B87E1B"/>
    <w:rsid w:val="30BA79B5"/>
    <w:rsid w:val="30ED21AD"/>
    <w:rsid w:val="30F37206"/>
    <w:rsid w:val="31081195"/>
    <w:rsid w:val="310C3B5A"/>
    <w:rsid w:val="31147D8B"/>
    <w:rsid w:val="31310683"/>
    <w:rsid w:val="316565AF"/>
    <w:rsid w:val="318E0967"/>
    <w:rsid w:val="31A05036"/>
    <w:rsid w:val="31B40F34"/>
    <w:rsid w:val="31D6262E"/>
    <w:rsid w:val="31EB6A65"/>
    <w:rsid w:val="320901D0"/>
    <w:rsid w:val="32210D8A"/>
    <w:rsid w:val="322D7734"/>
    <w:rsid w:val="322E56F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DA0B96"/>
    <w:rsid w:val="33E63FEB"/>
    <w:rsid w:val="33EA1602"/>
    <w:rsid w:val="34041A98"/>
    <w:rsid w:val="340A3E7E"/>
    <w:rsid w:val="34572441"/>
    <w:rsid w:val="346516FC"/>
    <w:rsid w:val="34771064"/>
    <w:rsid w:val="3487354C"/>
    <w:rsid w:val="348B7895"/>
    <w:rsid w:val="34BE65D8"/>
    <w:rsid w:val="34C81D0F"/>
    <w:rsid w:val="34CE737B"/>
    <w:rsid w:val="34F32D46"/>
    <w:rsid w:val="35312B01"/>
    <w:rsid w:val="353317B2"/>
    <w:rsid w:val="35616BDC"/>
    <w:rsid w:val="35627CEB"/>
    <w:rsid w:val="357C50CC"/>
    <w:rsid w:val="35C02DAE"/>
    <w:rsid w:val="363C1E23"/>
    <w:rsid w:val="364B3C57"/>
    <w:rsid w:val="364B65BF"/>
    <w:rsid w:val="36603C16"/>
    <w:rsid w:val="36723C5D"/>
    <w:rsid w:val="368D43F8"/>
    <w:rsid w:val="36A16CDA"/>
    <w:rsid w:val="36BD5378"/>
    <w:rsid w:val="36D95871"/>
    <w:rsid w:val="36E16BA3"/>
    <w:rsid w:val="36F00469"/>
    <w:rsid w:val="373566CD"/>
    <w:rsid w:val="373644ED"/>
    <w:rsid w:val="375E5870"/>
    <w:rsid w:val="37BC1633"/>
    <w:rsid w:val="37CC44F9"/>
    <w:rsid w:val="3809396B"/>
    <w:rsid w:val="38160A60"/>
    <w:rsid w:val="38170E61"/>
    <w:rsid w:val="385A0A9D"/>
    <w:rsid w:val="38766B4A"/>
    <w:rsid w:val="391B34FF"/>
    <w:rsid w:val="391C048E"/>
    <w:rsid w:val="394E3410"/>
    <w:rsid w:val="39CF18C3"/>
    <w:rsid w:val="39D701D9"/>
    <w:rsid w:val="3A3F2765"/>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D7F37"/>
    <w:rsid w:val="3D065A90"/>
    <w:rsid w:val="3D0C79E0"/>
    <w:rsid w:val="3D0D7122"/>
    <w:rsid w:val="3D27089C"/>
    <w:rsid w:val="3D346DC1"/>
    <w:rsid w:val="3D477B05"/>
    <w:rsid w:val="3D792776"/>
    <w:rsid w:val="3D802EB3"/>
    <w:rsid w:val="3D9828A9"/>
    <w:rsid w:val="3DE2791A"/>
    <w:rsid w:val="3E04798C"/>
    <w:rsid w:val="3E296CB4"/>
    <w:rsid w:val="3E8B1D5F"/>
    <w:rsid w:val="3EA25030"/>
    <w:rsid w:val="3EA36F25"/>
    <w:rsid w:val="3EC560BA"/>
    <w:rsid w:val="3F051B12"/>
    <w:rsid w:val="3F10258B"/>
    <w:rsid w:val="3F37118A"/>
    <w:rsid w:val="3F656D7F"/>
    <w:rsid w:val="3F7830D3"/>
    <w:rsid w:val="3F7A098E"/>
    <w:rsid w:val="3F9959F3"/>
    <w:rsid w:val="3FB17B64"/>
    <w:rsid w:val="3FBA3F5C"/>
    <w:rsid w:val="3FBF1CCE"/>
    <w:rsid w:val="3FCC6F8E"/>
    <w:rsid w:val="3FD716B8"/>
    <w:rsid w:val="3FDA2E5D"/>
    <w:rsid w:val="3FDB4513"/>
    <w:rsid w:val="3FE47979"/>
    <w:rsid w:val="40317410"/>
    <w:rsid w:val="403E4B1D"/>
    <w:rsid w:val="403E5A8C"/>
    <w:rsid w:val="404F739E"/>
    <w:rsid w:val="40574C5C"/>
    <w:rsid w:val="405F4321"/>
    <w:rsid w:val="40603DED"/>
    <w:rsid w:val="406C4ABE"/>
    <w:rsid w:val="40831BCD"/>
    <w:rsid w:val="40BF1EEA"/>
    <w:rsid w:val="40C52EAE"/>
    <w:rsid w:val="40C9603E"/>
    <w:rsid w:val="40DF6392"/>
    <w:rsid w:val="40EE7DCE"/>
    <w:rsid w:val="4116781C"/>
    <w:rsid w:val="416F7716"/>
    <w:rsid w:val="41725AC2"/>
    <w:rsid w:val="41874A60"/>
    <w:rsid w:val="418A5888"/>
    <w:rsid w:val="41AA69A0"/>
    <w:rsid w:val="41BF0AC3"/>
    <w:rsid w:val="41D16EB3"/>
    <w:rsid w:val="41DB66A4"/>
    <w:rsid w:val="42080E3D"/>
    <w:rsid w:val="421D7172"/>
    <w:rsid w:val="424C0CD0"/>
    <w:rsid w:val="42621029"/>
    <w:rsid w:val="42660B19"/>
    <w:rsid w:val="42A33B1C"/>
    <w:rsid w:val="42A41DA4"/>
    <w:rsid w:val="43140775"/>
    <w:rsid w:val="43174146"/>
    <w:rsid w:val="431B01DC"/>
    <w:rsid w:val="435374E2"/>
    <w:rsid w:val="435A1C72"/>
    <w:rsid w:val="436104D5"/>
    <w:rsid w:val="436A1CEB"/>
    <w:rsid w:val="43B417B7"/>
    <w:rsid w:val="43C94D0A"/>
    <w:rsid w:val="43DB5CE2"/>
    <w:rsid w:val="440E66CB"/>
    <w:rsid w:val="442A4EB7"/>
    <w:rsid w:val="44772B8D"/>
    <w:rsid w:val="44A30AD6"/>
    <w:rsid w:val="44AB360A"/>
    <w:rsid w:val="44BA3374"/>
    <w:rsid w:val="44C63791"/>
    <w:rsid w:val="451A5F22"/>
    <w:rsid w:val="451D08A7"/>
    <w:rsid w:val="45372A46"/>
    <w:rsid w:val="45490368"/>
    <w:rsid w:val="455B5334"/>
    <w:rsid w:val="459E1862"/>
    <w:rsid w:val="45A37EE8"/>
    <w:rsid w:val="45B12031"/>
    <w:rsid w:val="45B54770"/>
    <w:rsid w:val="45BC6AA8"/>
    <w:rsid w:val="45F55B38"/>
    <w:rsid w:val="4613720A"/>
    <w:rsid w:val="461E1835"/>
    <w:rsid w:val="462E60AC"/>
    <w:rsid w:val="46556A6B"/>
    <w:rsid w:val="46733FB8"/>
    <w:rsid w:val="467C4DAF"/>
    <w:rsid w:val="467E61C4"/>
    <w:rsid w:val="468477C0"/>
    <w:rsid w:val="468C4AA7"/>
    <w:rsid w:val="46913047"/>
    <w:rsid w:val="46A706A5"/>
    <w:rsid w:val="46FB0A43"/>
    <w:rsid w:val="47195646"/>
    <w:rsid w:val="47353062"/>
    <w:rsid w:val="47527D5E"/>
    <w:rsid w:val="477A3B2C"/>
    <w:rsid w:val="4780658C"/>
    <w:rsid w:val="47853783"/>
    <w:rsid w:val="47D211D2"/>
    <w:rsid w:val="47D41458"/>
    <w:rsid w:val="47ED51D5"/>
    <w:rsid w:val="47F00E85"/>
    <w:rsid w:val="4801558F"/>
    <w:rsid w:val="48031F77"/>
    <w:rsid w:val="481F0A20"/>
    <w:rsid w:val="48434278"/>
    <w:rsid w:val="485D6145"/>
    <w:rsid w:val="487359D2"/>
    <w:rsid w:val="4887604C"/>
    <w:rsid w:val="48BC5937"/>
    <w:rsid w:val="48C80CA0"/>
    <w:rsid w:val="48F04BCA"/>
    <w:rsid w:val="496054B6"/>
    <w:rsid w:val="496E29BE"/>
    <w:rsid w:val="496F0BFB"/>
    <w:rsid w:val="49D428AC"/>
    <w:rsid w:val="49D51101"/>
    <w:rsid w:val="49E20EB5"/>
    <w:rsid w:val="4A7A7858"/>
    <w:rsid w:val="4A914734"/>
    <w:rsid w:val="4A9C565B"/>
    <w:rsid w:val="4AB2371F"/>
    <w:rsid w:val="4AEA0A9B"/>
    <w:rsid w:val="4B1203F7"/>
    <w:rsid w:val="4B1413EB"/>
    <w:rsid w:val="4B156205"/>
    <w:rsid w:val="4B5C3E20"/>
    <w:rsid w:val="4BB33E83"/>
    <w:rsid w:val="4BD20EF3"/>
    <w:rsid w:val="4C087DBE"/>
    <w:rsid w:val="4C531E74"/>
    <w:rsid w:val="4C9B2BDF"/>
    <w:rsid w:val="4CA7676E"/>
    <w:rsid w:val="4CAA4A07"/>
    <w:rsid w:val="4CBB09FE"/>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A24EB1"/>
    <w:rsid w:val="4EB26A8E"/>
    <w:rsid w:val="4ED41501"/>
    <w:rsid w:val="4ED4505D"/>
    <w:rsid w:val="4EF86CC0"/>
    <w:rsid w:val="4F2A76C7"/>
    <w:rsid w:val="4F463604"/>
    <w:rsid w:val="4F72170C"/>
    <w:rsid w:val="4F7F141F"/>
    <w:rsid w:val="4F8965F3"/>
    <w:rsid w:val="4F8D562A"/>
    <w:rsid w:val="4FBF1097"/>
    <w:rsid w:val="4FCB2904"/>
    <w:rsid w:val="4FE279E5"/>
    <w:rsid w:val="503843E8"/>
    <w:rsid w:val="503A5C56"/>
    <w:rsid w:val="50401423"/>
    <w:rsid w:val="504B6593"/>
    <w:rsid w:val="504D62C5"/>
    <w:rsid w:val="504F0E3F"/>
    <w:rsid w:val="50630821"/>
    <w:rsid w:val="506508DD"/>
    <w:rsid w:val="506643B4"/>
    <w:rsid w:val="506D7FF8"/>
    <w:rsid w:val="50711C50"/>
    <w:rsid w:val="508F360B"/>
    <w:rsid w:val="51273DCC"/>
    <w:rsid w:val="5129736E"/>
    <w:rsid w:val="512D7218"/>
    <w:rsid w:val="514161D5"/>
    <w:rsid w:val="515D758B"/>
    <w:rsid w:val="516E2B15"/>
    <w:rsid w:val="51863A6C"/>
    <w:rsid w:val="51A92228"/>
    <w:rsid w:val="51AA02F7"/>
    <w:rsid w:val="51D06978"/>
    <w:rsid w:val="51E87A97"/>
    <w:rsid w:val="52374280"/>
    <w:rsid w:val="52444B99"/>
    <w:rsid w:val="52472C6E"/>
    <w:rsid w:val="524F3C49"/>
    <w:rsid w:val="5281172B"/>
    <w:rsid w:val="529A5359"/>
    <w:rsid w:val="52A33C8A"/>
    <w:rsid w:val="52AD68DD"/>
    <w:rsid w:val="52CF6267"/>
    <w:rsid w:val="52EB52B5"/>
    <w:rsid w:val="5312128A"/>
    <w:rsid w:val="533F76E7"/>
    <w:rsid w:val="536477CB"/>
    <w:rsid w:val="536E6BAF"/>
    <w:rsid w:val="537103F8"/>
    <w:rsid w:val="53C847FE"/>
    <w:rsid w:val="53D63625"/>
    <w:rsid w:val="53ED7F01"/>
    <w:rsid w:val="53F84BB6"/>
    <w:rsid w:val="540439CF"/>
    <w:rsid w:val="540A1C44"/>
    <w:rsid w:val="541E10A8"/>
    <w:rsid w:val="544031EB"/>
    <w:rsid w:val="5499291E"/>
    <w:rsid w:val="54A35BFD"/>
    <w:rsid w:val="54B90C6C"/>
    <w:rsid w:val="55175CA3"/>
    <w:rsid w:val="552C79A0"/>
    <w:rsid w:val="55387195"/>
    <w:rsid w:val="555E38D2"/>
    <w:rsid w:val="556355CA"/>
    <w:rsid w:val="556A04C9"/>
    <w:rsid w:val="558143CA"/>
    <w:rsid w:val="55991245"/>
    <w:rsid w:val="55A52777"/>
    <w:rsid w:val="55C220B3"/>
    <w:rsid w:val="55DC047A"/>
    <w:rsid w:val="55F16041"/>
    <w:rsid w:val="56154105"/>
    <w:rsid w:val="561F04E5"/>
    <w:rsid w:val="562E14F6"/>
    <w:rsid w:val="56472894"/>
    <w:rsid w:val="564E3E17"/>
    <w:rsid w:val="565D04BF"/>
    <w:rsid w:val="567F3E71"/>
    <w:rsid w:val="56970AC1"/>
    <w:rsid w:val="56B03DC5"/>
    <w:rsid w:val="56DF5EA4"/>
    <w:rsid w:val="56E57FF1"/>
    <w:rsid w:val="573E341D"/>
    <w:rsid w:val="575A514F"/>
    <w:rsid w:val="57783D9C"/>
    <w:rsid w:val="578926C7"/>
    <w:rsid w:val="578C2F80"/>
    <w:rsid w:val="57961367"/>
    <w:rsid w:val="57A919F7"/>
    <w:rsid w:val="57DC42A7"/>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841A64"/>
    <w:rsid w:val="5A9C2C02"/>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67F65"/>
    <w:rsid w:val="5CAB38A1"/>
    <w:rsid w:val="5CC32DBF"/>
    <w:rsid w:val="5CDE151C"/>
    <w:rsid w:val="5CE67691"/>
    <w:rsid w:val="5D604059"/>
    <w:rsid w:val="5D687337"/>
    <w:rsid w:val="5D7B4E54"/>
    <w:rsid w:val="5D9E7743"/>
    <w:rsid w:val="5DA9205A"/>
    <w:rsid w:val="5DB93D22"/>
    <w:rsid w:val="5DBA28BE"/>
    <w:rsid w:val="5DC11B92"/>
    <w:rsid w:val="5DCF1811"/>
    <w:rsid w:val="5E090FA4"/>
    <w:rsid w:val="5E400CDF"/>
    <w:rsid w:val="5E471FC2"/>
    <w:rsid w:val="5E8E3928"/>
    <w:rsid w:val="5E912F5F"/>
    <w:rsid w:val="5EBC5F3E"/>
    <w:rsid w:val="5F28567D"/>
    <w:rsid w:val="5F2C67EF"/>
    <w:rsid w:val="5F341537"/>
    <w:rsid w:val="5F7E41B6"/>
    <w:rsid w:val="5F831C34"/>
    <w:rsid w:val="5FA45965"/>
    <w:rsid w:val="5FBF20F5"/>
    <w:rsid w:val="600B5B92"/>
    <w:rsid w:val="601569D7"/>
    <w:rsid w:val="601A28EB"/>
    <w:rsid w:val="603706C5"/>
    <w:rsid w:val="603810FF"/>
    <w:rsid w:val="60545A9A"/>
    <w:rsid w:val="606340E6"/>
    <w:rsid w:val="60C07B37"/>
    <w:rsid w:val="61217456"/>
    <w:rsid w:val="61240687"/>
    <w:rsid w:val="613E7560"/>
    <w:rsid w:val="616B6D93"/>
    <w:rsid w:val="61891CD7"/>
    <w:rsid w:val="61931174"/>
    <w:rsid w:val="61DA337A"/>
    <w:rsid w:val="61DF4169"/>
    <w:rsid w:val="61E34380"/>
    <w:rsid w:val="620504F1"/>
    <w:rsid w:val="62192F11"/>
    <w:rsid w:val="6223305C"/>
    <w:rsid w:val="622E7628"/>
    <w:rsid w:val="6238329F"/>
    <w:rsid w:val="623D12F6"/>
    <w:rsid w:val="624F0B60"/>
    <w:rsid w:val="6268494D"/>
    <w:rsid w:val="62B954DB"/>
    <w:rsid w:val="62D7137C"/>
    <w:rsid w:val="62E30C79"/>
    <w:rsid w:val="62F31AFE"/>
    <w:rsid w:val="62F51D1A"/>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BF79E1"/>
    <w:rsid w:val="64F720BA"/>
    <w:rsid w:val="651915C4"/>
    <w:rsid w:val="655B422B"/>
    <w:rsid w:val="65A1703E"/>
    <w:rsid w:val="65BA2DA7"/>
    <w:rsid w:val="65BD5903"/>
    <w:rsid w:val="65CE2D35"/>
    <w:rsid w:val="65DF1F54"/>
    <w:rsid w:val="65FD3CBE"/>
    <w:rsid w:val="662D146F"/>
    <w:rsid w:val="66342B59"/>
    <w:rsid w:val="663E1CE5"/>
    <w:rsid w:val="66423429"/>
    <w:rsid w:val="666E7CEA"/>
    <w:rsid w:val="667F66FB"/>
    <w:rsid w:val="66976C44"/>
    <w:rsid w:val="66CE5358"/>
    <w:rsid w:val="66D97D3B"/>
    <w:rsid w:val="66E850F0"/>
    <w:rsid w:val="67097C2E"/>
    <w:rsid w:val="671007B9"/>
    <w:rsid w:val="674D05B9"/>
    <w:rsid w:val="674D6636"/>
    <w:rsid w:val="676F5399"/>
    <w:rsid w:val="67773F9D"/>
    <w:rsid w:val="67BE7207"/>
    <w:rsid w:val="67CD74FD"/>
    <w:rsid w:val="681F2E0E"/>
    <w:rsid w:val="682016C0"/>
    <w:rsid w:val="68232E85"/>
    <w:rsid w:val="68282E4B"/>
    <w:rsid w:val="683C2438"/>
    <w:rsid w:val="68564138"/>
    <w:rsid w:val="687F687B"/>
    <w:rsid w:val="68844A51"/>
    <w:rsid w:val="689A2CB9"/>
    <w:rsid w:val="68DA34E7"/>
    <w:rsid w:val="68F93CE8"/>
    <w:rsid w:val="69181935"/>
    <w:rsid w:val="69253F4A"/>
    <w:rsid w:val="693370F8"/>
    <w:rsid w:val="69584DB0"/>
    <w:rsid w:val="6968396B"/>
    <w:rsid w:val="699B1675"/>
    <w:rsid w:val="69BC24C2"/>
    <w:rsid w:val="69C84535"/>
    <w:rsid w:val="69CC2514"/>
    <w:rsid w:val="69F824D3"/>
    <w:rsid w:val="69F9496F"/>
    <w:rsid w:val="6A086F97"/>
    <w:rsid w:val="6A242FD1"/>
    <w:rsid w:val="6A4053F4"/>
    <w:rsid w:val="6A421C2D"/>
    <w:rsid w:val="6A6D488B"/>
    <w:rsid w:val="6A793230"/>
    <w:rsid w:val="6A8B78DD"/>
    <w:rsid w:val="6A9D6853"/>
    <w:rsid w:val="6AF8399D"/>
    <w:rsid w:val="6AFD3B53"/>
    <w:rsid w:val="6B0E4C3A"/>
    <w:rsid w:val="6B1765A5"/>
    <w:rsid w:val="6B2979D0"/>
    <w:rsid w:val="6B507960"/>
    <w:rsid w:val="6B5C045C"/>
    <w:rsid w:val="6B672E50"/>
    <w:rsid w:val="6B886E32"/>
    <w:rsid w:val="6B952CA4"/>
    <w:rsid w:val="6BAA7385"/>
    <w:rsid w:val="6BBF5200"/>
    <w:rsid w:val="6BD9385B"/>
    <w:rsid w:val="6BEC47F0"/>
    <w:rsid w:val="6BF66B60"/>
    <w:rsid w:val="6C305081"/>
    <w:rsid w:val="6C884BBB"/>
    <w:rsid w:val="6C8B2065"/>
    <w:rsid w:val="6C8C3076"/>
    <w:rsid w:val="6C8D7096"/>
    <w:rsid w:val="6C9003BD"/>
    <w:rsid w:val="6CB735FA"/>
    <w:rsid w:val="6CBA368C"/>
    <w:rsid w:val="6CFA617E"/>
    <w:rsid w:val="6D010938"/>
    <w:rsid w:val="6D67032A"/>
    <w:rsid w:val="6D706526"/>
    <w:rsid w:val="6DB0559C"/>
    <w:rsid w:val="6DD422BD"/>
    <w:rsid w:val="6DD75DA1"/>
    <w:rsid w:val="6DF40CCD"/>
    <w:rsid w:val="6E017A54"/>
    <w:rsid w:val="6E1716F4"/>
    <w:rsid w:val="6E6D549A"/>
    <w:rsid w:val="6E840FA7"/>
    <w:rsid w:val="6E845A1E"/>
    <w:rsid w:val="6E885CDC"/>
    <w:rsid w:val="6E934F2F"/>
    <w:rsid w:val="6EAE5472"/>
    <w:rsid w:val="6EBB1D37"/>
    <w:rsid w:val="6EBE69D3"/>
    <w:rsid w:val="6EC47B15"/>
    <w:rsid w:val="6EC6761E"/>
    <w:rsid w:val="6EFA2AD9"/>
    <w:rsid w:val="6F4D0DEE"/>
    <w:rsid w:val="6F6D2F36"/>
    <w:rsid w:val="6F703537"/>
    <w:rsid w:val="6F9771B5"/>
    <w:rsid w:val="6FB55565"/>
    <w:rsid w:val="70012AEC"/>
    <w:rsid w:val="70241EE0"/>
    <w:rsid w:val="70292969"/>
    <w:rsid w:val="703B6A82"/>
    <w:rsid w:val="704F6F95"/>
    <w:rsid w:val="707C03B1"/>
    <w:rsid w:val="70821F84"/>
    <w:rsid w:val="7086638A"/>
    <w:rsid w:val="709E3FA2"/>
    <w:rsid w:val="70EF70B2"/>
    <w:rsid w:val="71232251"/>
    <w:rsid w:val="71260C9B"/>
    <w:rsid w:val="7128150C"/>
    <w:rsid w:val="713A37F8"/>
    <w:rsid w:val="7153231D"/>
    <w:rsid w:val="715B3690"/>
    <w:rsid w:val="71925DB5"/>
    <w:rsid w:val="720C2CBF"/>
    <w:rsid w:val="7246216E"/>
    <w:rsid w:val="72600832"/>
    <w:rsid w:val="72914E8F"/>
    <w:rsid w:val="72A20473"/>
    <w:rsid w:val="72AA7D37"/>
    <w:rsid w:val="72E26ED5"/>
    <w:rsid w:val="72E51913"/>
    <w:rsid w:val="72F64820"/>
    <w:rsid w:val="733C0404"/>
    <w:rsid w:val="73B845F5"/>
    <w:rsid w:val="73CE3FC9"/>
    <w:rsid w:val="74016CFC"/>
    <w:rsid w:val="74996DF5"/>
    <w:rsid w:val="74A36660"/>
    <w:rsid w:val="74B0159F"/>
    <w:rsid w:val="74C652C4"/>
    <w:rsid w:val="74E20230"/>
    <w:rsid w:val="750044AD"/>
    <w:rsid w:val="751E482D"/>
    <w:rsid w:val="756B19C7"/>
    <w:rsid w:val="75950C22"/>
    <w:rsid w:val="75CE1F56"/>
    <w:rsid w:val="75EB7A6A"/>
    <w:rsid w:val="760B0935"/>
    <w:rsid w:val="76221663"/>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4500F5"/>
    <w:rsid w:val="7846303C"/>
    <w:rsid w:val="7863005F"/>
    <w:rsid w:val="78833532"/>
    <w:rsid w:val="78936C2A"/>
    <w:rsid w:val="78A0413C"/>
    <w:rsid w:val="78E24696"/>
    <w:rsid w:val="7908577F"/>
    <w:rsid w:val="791A13CD"/>
    <w:rsid w:val="7924080B"/>
    <w:rsid w:val="795D2CD0"/>
    <w:rsid w:val="79654A77"/>
    <w:rsid w:val="79807F0B"/>
    <w:rsid w:val="79853E1E"/>
    <w:rsid w:val="79C7410C"/>
    <w:rsid w:val="79C84311"/>
    <w:rsid w:val="79D8107C"/>
    <w:rsid w:val="7A125A0C"/>
    <w:rsid w:val="7A6D33A6"/>
    <w:rsid w:val="7A7D7E20"/>
    <w:rsid w:val="7A8A0A8B"/>
    <w:rsid w:val="7AA20C8F"/>
    <w:rsid w:val="7ACD4877"/>
    <w:rsid w:val="7B294A71"/>
    <w:rsid w:val="7B441F57"/>
    <w:rsid w:val="7B981D49"/>
    <w:rsid w:val="7B9C54A1"/>
    <w:rsid w:val="7BB72877"/>
    <w:rsid w:val="7BF65B78"/>
    <w:rsid w:val="7BFE112F"/>
    <w:rsid w:val="7C6764BE"/>
    <w:rsid w:val="7CC95A8A"/>
    <w:rsid w:val="7D1868D9"/>
    <w:rsid w:val="7D1D4835"/>
    <w:rsid w:val="7D3229F4"/>
    <w:rsid w:val="7D362B6A"/>
    <w:rsid w:val="7D5D06C1"/>
    <w:rsid w:val="7D73418E"/>
    <w:rsid w:val="7D7F2115"/>
    <w:rsid w:val="7D9B76DA"/>
    <w:rsid w:val="7DA17B86"/>
    <w:rsid w:val="7DF502E2"/>
    <w:rsid w:val="7DF9751C"/>
    <w:rsid w:val="7E461020"/>
    <w:rsid w:val="7E61240B"/>
    <w:rsid w:val="7E7D275B"/>
    <w:rsid w:val="7E807A47"/>
    <w:rsid w:val="7E8E1A90"/>
    <w:rsid w:val="7EB64039"/>
    <w:rsid w:val="7F0345A3"/>
    <w:rsid w:val="7F0B7D77"/>
    <w:rsid w:val="7F424BEE"/>
    <w:rsid w:val="7F523730"/>
    <w:rsid w:val="7F60215C"/>
    <w:rsid w:val="7F657FCF"/>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4"/>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5"/>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6"/>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7"/>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9"/>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60"/>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1"/>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spacing w:before="120" w:after="120"/>
      <w:jc w:val="left"/>
    </w:pPr>
    <w:rPr>
      <w:b/>
      <w:bCs/>
      <w:cap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90"/>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3"/>
    <w:qFormat/>
    <w:uiPriority w:val="99"/>
    <w:rPr>
      <w:rFonts w:ascii="宋体" w:eastAsia="宋体"/>
      <w:sz w:val="18"/>
      <w:szCs w:val="18"/>
    </w:rPr>
  </w:style>
  <w:style w:type="paragraph" w:styleId="16">
    <w:name w:val="annotation text"/>
    <w:basedOn w:val="1"/>
    <w:link w:val="64"/>
    <w:unhideWhenUsed/>
    <w:qFormat/>
    <w:uiPriority w:val="0"/>
    <w:pPr>
      <w:jc w:val="left"/>
    </w:pPr>
  </w:style>
  <w:style w:type="paragraph" w:styleId="17">
    <w:name w:val="Body Text"/>
    <w:basedOn w:val="1"/>
    <w:next w:val="1"/>
    <w:link w:val="65"/>
    <w:unhideWhenUsed/>
    <w:qFormat/>
    <w:uiPriority w:val="99"/>
    <w:pPr>
      <w:spacing w:after="120"/>
    </w:pPr>
  </w:style>
  <w:style w:type="paragraph" w:styleId="18">
    <w:name w:val="Body Text Indent"/>
    <w:basedOn w:val="1"/>
    <w:link w:val="66"/>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toc 3"/>
    <w:basedOn w:val="1"/>
    <w:next w:val="1"/>
    <w:qFormat/>
    <w:uiPriority w:val="39"/>
    <w:pPr>
      <w:ind w:left="420"/>
      <w:jc w:val="left"/>
    </w:pPr>
    <w:rPr>
      <w:rFonts w:ascii="Calibri" w:hAnsi="Calibri" w:eastAsia="宋体" w:cs="Times New Roman"/>
      <w:i/>
      <w:iCs/>
      <w:sz w:val="20"/>
      <w:szCs w:val="20"/>
    </w:rPr>
  </w:style>
  <w:style w:type="paragraph" w:styleId="23">
    <w:name w:val="Plain Text"/>
    <w:basedOn w:val="1"/>
    <w:link w:val="67"/>
    <w:qFormat/>
    <w:uiPriority w:val="99"/>
    <w:rPr>
      <w:rFonts w:ascii="宋体" w:hAnsi="Courier New" w:cs="Courier New"/>
      <w:szCs w:val="21"/>
    </w:rPr>
  </w:style>
  <w:style w:type="paragraph" w:styleId="24">
    <w:name w:val="toc 8"/>
    <w:basedOn w:val="1"/>
    <w:next w:val="1"/>
    <w:qFormat/>
    <w:uiPriority w:val="99"/>
    <w:pPr>
      <w:ind w:left="1470"/>
      <w:jc w:val="left"/>
    </w:pPr>
    <w:rPr>
      <w:rFonts w:ascii="Calibri" w:hAnsi="Calibri" w:eastAsia="宋体" w:cs="Times New Roman"/>
      <w:sz w:val="18"/>
      <w:szCs w:val="18"/>
    </w:rPr>
  </w:style>
  <w:style w:type="paragraph" w:styleId="25">
    <w:name w:val="Date"/>
    <w:basedOn w:val="1"/>
    <w:next w:val="1"/>
    <w:link w:val="68"/>
    <w:unhideWhenUsed/>
    <w:qFormat/>
    <w:uiPriority w:val="99"/>
    <w:pPr>
      <w:ind w:left="100" w:leftChars="2500"/>
    </w:pPr>
  </w:style>
  <w:style w:type="paragraph" w:styleId="26">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7">
    <w:name w:val="Balloon Text"/>
    <w:basedOn w:val="1"/>
    <w:link w:val="70"/>
    <w:unhideWhenUsed/>
    <w:qFormat/>
    <w:uiPriority w:val="0"/>
    <w:rPr>
      <w:sz w:val="18"/>
      <w:szCs w:val="18"/>
    </w:rPr>
  </w:style>
  <w:style w:type="paragraph" w:styleId="28">
    <w:name w:val="footer"/>
    <w:basedOn w:val="1"/>
    <w:next w:val="29"/>
    <w:link w:val="71"/>
    <w:unhideWhenUsed/>
    <w:qFormat/>
    <w:uiPriority w:val="0"/>
    <w:pPr>
      <w:tabs>
        <w:tab w:val="center" w:pos="4153"/>
        <w:tab w:val="right" w:pos="8306"/>
      </w:tabs>
      <w:snapToGrid w:val="0"/>
      <w:jc w:val="left"/>
    </w:pPr>
    <w:rPr>
      <w:sz w:val="18"/>
      <w:szCs w:val="18"/>
    </w:rPr>
  </w:style>
  <w:style w:type="paragraph" w:customStyle="1" w:styleId="29">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30">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2">
    <w:name w:val="toc 4"/>
    <w:basedOn w:val="1"/>
    <w:next w:val="1"/>
    <w:qFormat/>
    <w:uiPriority w:val="99"/>
    <w:pPr>
      <w:ind w:left="630"/>
      <w:jc w:val="left"/>
    </w:pPr>
    <w:rPr>
      <w:rFonts w:ascii="Calibri" w:hAnsi="Calibri" w:eastAsia="宋体" w:cs="Times New Roman"/>
      <w:sz w:val="18"/>
      <w:szCs w:val="18"/>
    </w:rPr>
  </w:style>
  <w:style w:type="paragraph" w:styleId="33">
    <w:name w:val="toc 6"/>
    <w:basedOn w:val="1"/>
    <w:next w:val="1"/>
    <w:qFormat/>
    <w:uiPriority w:val="99"/>
    <w:pPr>
      <w:ind w:left="1050"/>
      <w:jc w:val="left"/>
    </w:pPr>
    <w:rPr>
      <w:rFonts w:ascii="Calibri" w:hAnsi="Calibri" w:eastAsia="宋体" w:cs="Times New Roman"/>
      <w:sz w:val="18"/>
      <w:szCs w:val="18"/>
    </w:rPr>
  </w:style>
  <w:style w:type="paragraph" w:styleId="34">
    <w:name w:val="Body Text Indent 3"/>
    <w:basedOn w:val="1"/>
    <w:link w:val="73"/>
    <w:qFormat/>
    <w:uiPriority w:val="99"/>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210"/>
      <w:jc w:val="left"/>
    </w:pPr>
    <w:rPr>
      <w:rFonts w:ascii="Calibri" w:hAnsi="Calibri" w:eastAsia="宋体" w:cs="Times New Roman"/>
      <w:smallCaps/>
      <w:sz w:val="20"/>
      <w:szCs w:val="20"/>
    </w:rPr>
  </w:style>
  <w:style w:type="paragraph" w:styleId="36">
    <w:name w:val="toc 9"/>
    <w:basedOn w:val="1"/>
    <w:next w:val="1"/>
    <w:qFormat/>
    <w:uiPriority w:val="99"/>
    <w:pPr>
      <w:ind w:left="1680"/>
      <w:jc w:val="left"/>
    </w:pPr>
    <w:rPr>
      <w:rFonts w:ascii="Calibri" w:hAnsi="Calibri" w:eastAsia="宋体" w:cs="Times New Roman"/>
      <w:sz w:val="18"/>
      <w:szCs w:val="18"/>
    </w:rPr>
  </w:style>
  <w:style w:type="paragraph" w:styleId="37">
    <w:name w:val="Body Text 2"/>
    <w:basedOn w:val="1"/>
    <w:link w:val="74"/>
    <w:qFormat/>
    <w:uiPriority w:val="99"/>
    <w:pPr>
      <w:spacing w:after="120" w:line="480" w:lineRule="auto"/>
    </w:pPr>
    <w:rPr>
      <w:rFonts w:ascii="Times New Roman" w:hAnsi="Times New Roman" w:eastAsia="宋体" w:cs="Times New Roman"/>
      <w:sz w:val="28"/>
      <w:szCs w:val="24"/>
    </w:rPr>
  </w:style>
  <w:style w:type="paragraph" w:styleId="3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link w:val="75"/>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40">
    <w:name w:val="annotation subject"/>
    <w:basedOn w:val="16"/>
    <w:next w:val="16"/>
    <w:link w:val="76"/>
    <w:unhideWhenUsed/>
    <w:qFormat/>
    <w:uiPriority w:val="0"/>
    <w:rPr>
      <w:b/>
      <w:bCs/>
    </w:rPr>
  </w:style>
  <w:style w:type="paragraph" w:styleId="41">
    <w:name w:val="Body Text First Indent"/>
    <w:basedOn w:val="17"/>
    <w:link w:val="77"/>
    <w:qFormat/>
    <w:uiPriority w:val="99"/>
    <w:pPr>
      <w:tabs>
        <w:tab w:val="left" w:pos="840"/>
      </w:tabs>
      <w:ind w:firstLine="420"/>
    </w:pPr>
    <w:rPr>
      <w:rFonts w:ascii="Times New Roman" w:hAnsi="Times New Roman" w:eastAsia="宋体" w:cs="Times New Roman"/>
      <w:szCs w:val="20"/>
    </w:r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1">
    <w:name w:val="BodyText1I2"/>
    <w:basedOn w:val="52"/>
    <w:next w:val="1"/>
    <w:qFormat/>
    <w:uiPriority w:val="0"/>
    <w:pPr>
      <w:spacing w:after="120"/>
      <w:ind w:left="420" w:leftChars="200" w:firstLine="420" w:firstLineChars="200"/>
      <w:jc w:val="both"/>
      <w:textAlignment w:val="baseline"/>
    </w:pPr>
  </w:style>
  <w:style w:type="paragraph" w:customStyle="1" w:styleId="52">
    <w:name w:val="BodyTextIndent"/>
    <w:basedOn w:val="1"/>
    <w:qFormat/>
    <w:uiPriority w:val="0"/>
    <w:pPr>
      <w:spacing w:after="120"/>
      <w:ind w:left="420" w:leftChars="200"/>
      <w:jc w:val="both"/>
      <w:textAlignment w:val="baseline"/>
    </w:pPr>
  </w:style>
  <w:style w:type="character" w:customStyle="1" w:styleId="53">
    <w:name w:val="标题 1 字符"/>
    <w:basedOn w:val="44"/>
    <w:link w:val="3"/>
    <w:qFormat/>
    <w:uiPriority w:val="0"/>
    <w:rPr>
      <w:rFonts w:ascii="Calibri" w:hAnsi="Calibri" w:eastAsia="仿宋" w:cs="Times New Roman"/>
      <w:b/>
      <w:bCs/>
      <w:kern w:val="44"/>
      <w:sz w:val="30"/>
      <w:szCs w:val="30"/>
    </w:rPr>
  </w:style>
  <w:style w:type="character" w:customStyle="1" w:styleId="54">
    <w:name w:val="标题 2 字符1"/>
    <w:basedOn w:val="44"/>
    <w:link w:val="4"/>
    <w:qFormat/>
    <w:uiPriority w:val="0"/>
    <w:rPr>
      <w:rFonts w:ascii="Cambria" w:hAnsi="Cambria" w:eastAsia="宋体" w:cs="Times New Roman"/>
      <w:b/>
      <w:bCs/>
      <w:kern w:val="0"/>
      <w:sz w:val="28"/>
      <w:szCs w:val="28"/>
    </w:rPr>
  </w:style>
  <w:style w:type="character" w:customStyle="1" w:styleId="55">
    <w:name w:val="标题 3 字符"/>
    <w:basedOn w:val="44"/>
    <w:link w:val="5"/>
    <w:qFormat/>
    <w:uiPriority w:val="0"/>
    <w:rPr>
      <w:rFonts w:ascii="Calibri" w:hAnsi="Calibri" w:eastAsia="宋体" w:cs="Times New Roman"/>
      <w:b/>
      <w:bCs/>
      <w:kern w:val="0"/>
      <w:sz w:val="32"/>
      <w:szCs w:val="32"/>
    </w:rPr>
  </w:style>
  <w:style w:type="character" w:customStyle="1" w:styleId="56">
    <w:name w:val="标题 4 字符"/>
    <w:basedOn w:val="44"/>
    <w:link w:val="6"/>
    <w:qFormat/>
    <w:uiPriority w:val="0"/>
    <w:rPr>
      <w:rFonts w:ascii="Cambria" w:hAnsi="Cambria" w:eastAsia="宋体" w:cs="Times New Roman"/>
      <w:b/>
      <w:bCs/>
      <w:kern w:val="0"/>
      <w:sz w:val="28"/>
      <w:szCs w:val="28"/>
    </w:rPr>
  </w:style>
  <w:style w:type="character" w:customStyle="1" w:styleId="57">
    <w:name w:val="标题 5 字符"/>
    <w:basedOn w:val="44"/>
    <w:link w:val="7"/>
    <w:qFormat/>
    <w:uiPriority w:val="0"/>
    <w:rPr>
      <w:rFonts w:ascii="Times New Roman" w:hAnsi="Times New Roman" w:eastAsia="宋体" w:cs="Times New Roman"/>
      <w:b/>
      <w:bCs/>
      <w:kern w:val="0"/>
      <w:sz w:val="28"/>
      <w:szCs w:val="28"/>
    </w:rPr>
  </w:style>
  <w:style w:type="character" w:customStyle="1" w:styleId="58">
    <w:name w:val="标题 6 字符"/>
    <w:basedOn w:val="44"/>
    <w:link w:val="8"/>
    <w:qFormat/>
    <w:uiPriority w:val="0"/>
    <w:rPr>
      <w:rFonts w:ascii="Arial" w:hAnsi="Arial" w:eastAsia="黑体" w:cs="Times New Roman"/>
      <w:b/>
      <w:bCs/>
      <w:kern w:val="0"/>
      <w:sz w:val="24"/>
      <w:szCs w:val="24"/>
    </w:rPr>
  </w:style>
  <w:style w:type="character" w:customStyle="1" w:styleId="59">
    <w:name w:val="标题 7 字符"/>
    <w:basedOn w:val="44"/>
    <w:link w:val="9"/>
    <w:qFormat/>
    <w:uiPriority w:val="99"/>
    <w:rPr>
      <w:rFonts w:ascii="Times New Roman" w:hAnsi="Times New Roman" w:eastAsia="宋体" w:cs="Times New Roman"/>
      <w:b/>
      <w:bCs/>
      <w:kern w:val="0"/>
      <w:sz w:val="24"/>
      <w:szCs w:val="24"/>
    </w:rPr>
  </w:style>
  <w:style w:type="character" w:customStyle="1" w:styleId="60">
    <w:name w:val="标题 8 字符"/>
    <w:basedOn w:val="44"/>
    <w:link w:val="10"/>
    <w:qFormat/>
    <w:uiPriority w:val="99"/>
    <w:rPr>
      <w:rFonts w:ascii="Arial" w:hAnsi="Arial" w:eastAsia="黑体" w:cs="Times New Roman"/>
      <w:kern w:val="0"/>
      <w:sz w:val="24"/>
      <w:szCs w:val="24"/>
    </w:rPr>
  </w:style>
  <w:style w:type="character" w:customStyle="1" w:styleId="61">
    <w:name w:val="标题 9 字符"/>
    <w:basedOn w:val="44"/>
    <w:link w:val="11"/>
    <w:qFormat/>
    <w:uiPriority w:val="99"/>
    <w:rPr>
      <w:rFonts w:ascii="Arial" w:hAnsi="Arial" w:eastAsia="黑体" w:cs="Times New Roman"/>
      <w:kern w:val="0"/>
      <w:sz w:val="20"/>
      <w:szCs w:val="20"/>
    </w:rPr>
  </w:style>
  <w:style w:type="paragraph" w:customStyle="1" w:styleId="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3">
    <w:name w:val="文档结构图 字符"/>
    <w:basedOn w:val="44"/>
    <w:link w:val="15"/>
    <w:qFormat/>
    <w:uiPriority w:val="99"/>
    <w:rPr>
      <w:rFonts w:ascii="宋体" w:eastAsia="宋体"/>
      <w:sz w:val="18"/>
      <w:szCs w:val="18"/>
    </w:rPr>
  </w:style>
  <w:style w:type="character" w:customStyle="1" w:styleId="64">
    <w:name w:val="批注文字 字符"/>
    <w:basedOn w:val="44"/>
    <w:link w:val="16"/>
    <w:qFormat/>
    <w:uiPriority w:val="0"/>
  </w:style>
  <w:style w:type="character" w:customStyle="1" w:styleId="65">
    <w:name w:val="正文文本 字符"/>
    <w:basedOn w:val="44"/>
    <w:link w:val="17"/>
    <w:qFormat/>
    <w:uiPriority w:val="99"/>
  </w:style>
  <w:style w:type="character" w:customStyle="1" w:styleId="66">
    <w:name w:val="正文文本缩进 字符"/>
    <w:basedOn w:val="44"/>
    <w:link w:val="18"/>
    <w:qFormat/>
    <w:uiPriority w:val="99"/>
    <w:rPr>
      <w:sz w:val="32"/>
      <w:szCs w:val="20"/>
    </w:rPr>
  </w:style>
  <w:style w:type="character" w:customStyle="1" w:styleId="67">
    <w:name w:val="纯文本 字符"/>
    <w:basedOn w:val="44"/>
    <w:link w:val="23"/>
    <w:qFormat/>
    <w:uiPriority w:val="99"/>
    <w:rPr>
      <w:rFonts w:ascii="宋体" w:hAnsi="Courier New" w:cs="Courier New"/>
      <w:szCs w:val="21"/>
    </w:rPr>
  </w:style>
  <w:style w:type="character" w:customStyle="1" w:styleId="68">
    <w:name w:val="日期 字符"/>
    <w:basedOn w:val="44"/>
    <w:link w:val="25"/>
    <w:qFormat/>
    <w:uiPriority w:val="99"/>
  </w:style>
  <w:style w:type="character" w:customStyle="1" w:styleId="69">
    <w:name w:val="正文文本缩进 2 字符"/>
    <w:basedOn w:val="44"/>
    <w:link w:val="26"/>
    <w:qFormat/>
    <w:uiPriority w:val="99"/>
    <w:rPr>
      <w:rFonts w:ascii="Times New Roman" w:hAnsi="Times New Roman" w:eastAsia="宋体" w:cs="Times New Roman"/>
      <w:sz w:val="28"/>
      <w:szCs w:val="24"/>
    </w:rPr>
  </w:style>
  <w:style w:type="character" w:customStyle="1" w:styleId="70">
    <w:name w:val="批注框文本 字符"/>
    <w:basedOn w:val="44"/>
    <w:link w:val="27"/>
    <w:qFormat/>
    <w:uiPriority w:val="0"/>
    <w:rPr>
      <w:sz w:val="18"/>
      <w:szCs w:val="18"/>
    </w:rPr>
  </w:style>
  <w:style w:type="character" w:customStyle="1" w:styleId="71">
    <w:name w:val="页脚 字符"/>
    <w:basedOn w:val="44"/>
    <w:link w:val="28"/>
    <w:qFormat/>
    <w:uiPriority w:val="0"/>
    <w:rPr>
      <w:sz w:val="18"/>
      <w:szCs w:val="18"/>
    </w:rPr>
  </w:style>
  <w:style w:type="character" w:customStyle="1" w:styleId="72">
    <w:name w:val="页眉 字符"/>
    <w:basedOn w:val="44"/>
    <w:link w:val="30"/>
    <w:qFormat/>
    <w:uiPriority w:val="0"/>
    <w:rPr>
      <w:sz w:val="18"/>
      <w:szCs w:val="18"/>
    </w:rPr>
  </w:style>
  <w:style w:type="character" w:customStyle="1" w:styleId="73">
    <w:name w:val="正文文本缩进 3 字符"/>
    <w:basedOn w:val="44"/>
    <w:link w:val="34"/>
    <w:qFormat/>
    <w:uiPriority w:val="99"/>
    <w:rPr>
      <w:rFonts w:ascii="Times New Roman" w:hAnsi="Times New Roman" w:eastAsia="宋体" w:cs="Times New Roman"/>
      <w:sz w:val="16"/>
      <w:szCs w:val="16"/>
    </w:rPr>
  </w:style>
  <w:style w:type="character" w:customStyle="1" w:styleId="74">
    <w:name w:val="正文文本 2 字符"/>
    <w:basedOn w:val="44"/>
    <w:link w:val="37"/>
    <w:qFormat/>
    <w:uiPriority w:val="99"/>
    <w:rPr>
      <w:rFonts w:ascii="Times New Roman" w:hAnsi="Times New Roman" w:eastAsia="宋体" w:cs="Times New Roman"/>
      <w:sz w:val="28"/>
      <w:szCs w:val="24"/>
    </w:rPr>
  </w:style>
  <w:style w:type="character" w:customStyle="1" w:styleId="75">
    <w:name w:val="标题 字符"/>
    <w:basedOn w:val="44"/>
    <w:link w:val="39"/>
    <w:qFormat/>
    <w:uiPriority w:val="99"/>
    <w:rPr>
      <w:rFonts w:ascii="宋体" w:hAnsi="Arial" w:eastAsia="宋体" w:cs="Arial"/>
      <w:b/>
      <w:bCs/>
      <w:kern w:val="28"/>
      <w:sz w:val="32"/>
      <w:szCs w:val="32"/>
    </w:rPr>
  </w:style>
  <w:style w:type="character" w:customStyle="1" w:styleId="76">
    <w:name w:val="批注主题 字符"/>
    <w:basedOn w:val="64"/>
    <w:link w:val="40"/>
    <w:qFormat/>
    <w:uiPriority w:val="0"/>
    <w:rPr>
      <w:b/>
      <w:bCs/>
    </w:rPr>
  </w:style>
  <w:style w:type="character" w:customStyle="1" w:styleId="77">
    <w:name w:val="正文文本首行缩进 字符"/>
    <w:basedOn w:val="65"/>
    <w:link w:val="41"/>
    <w:qFormat/>
    <w:uiPriority w:val="99"/>
    <w:rPr>
      <w:rFonts w:ascii="Times New Roman" w:hAnsi="Times New Roman" w:eastAsia="宋体" w:cs="Times New Roman"/>
      <w:szCs w:val="20"/>
    </w:rPr>
  </w:style>
  <w:style w:type="character" w:customStyle="1" w:styleId="78">
    <w:name w:val="正文文本首行缩进 2 字符"/>
    <w:basedOn w:val="66"/>
    <w:qFormat/>
    <w:uiPriority w:val="99"/>
    <w:rPr>
      <w:rFonts w:ascii="Times New Roman" w:hAnsi="Times New Roman" w:eastAsia="宋体" w:cs="Times New Roman"/>
      <w:sz w:val="32"/>
      <w:szCs w:val="24"/>
    </w:rPr>
  </w:style>
  <w:style w:type="paragraph" w:customStyle="1" w:styleId="79">
    <w:name w:val="列出段落1"/>
    <w:basedOn w:val="1"/>
    <w:qFormat/>
    <w:uiPriority w:val="0"/>
    <w:pPr>
      <w:ind w:firstLine="420" w:firstLineChars="200"/>
    </w:pPr>
  </w:style>
  <w:style w:type="paragraph" w:customStyle="1" w:styleId="80">
    <w:name w:val="_Style 3"/>
    <w:basedOn w:val="1"/>
    <w:next w:val="1"/>
    <w:qFormat/>
    <w:uiPriority w:val="99"/>
    <w:pPr>
      <w:spacing w:line="360" w:lineRule="auto"/>
      <w:ind w:firstLine="420" w:firstLineChars="200"/>
    </w:pPr>
    <w:rPr>
      <w:sz w:val="24"/>
      <w:szCs w:val="24"/>
    </w:rPr>
  </w:style>
  <w:style w:type="character" w:customStyle="1" w:styleId="81">
    <w:name w:val="font01"/>
    <w:basedOn w:val="44"/>
    <w:qFormat/>
    <w:uiPriority w:val="0"/>
    <w:rPr>
      <w:rFonts w:ascii="Helvetica" w:hAnsi="Helvetica" w:eastAsia="Helvetica" w:cs="Helvetica"/>
      <w:color w:val="000000"/>
      <w:sz w:val="16"/>
      <w:szCs w:val="16"/>
      <w:u w:val="none"/>
    </w:rPr>
  </w:style>
  <w:style w:type="character" w:customStyle="1" w:styleId="82">
    <w:name w:val="font41"/>
    <w:basedOn w:val="44"/>
    <w:qFormat/>
    <w:uiPriority w:val="0"/>
    <w:rPr>
      <w:rFonts w:hint="eastAsia" w:ascii="宋体" w:hAnsi="宋体" w:eastAsia="宋体" w:cs="宋体"/>
      <w:color w:val="000000"/>
      <w:sz w:val="16"/>
      <w:szCs w:val="16"/>
      <w:u w:val="none"/>
    </w:rPr>
  </w:style>
  <w:style w:type="character" w:customStyle="1" w:styleId="83">
    <w:name w:val="font11"/>
    <w:basedOn w:val="44"/>
    <w:qFormat/>
    <w:uiPriority w:val="0"/>
    <w:rPr>
      <w:rFonts w:hint="default" w:ascii="Times New Roman" w:hAnsi="Times New Roman" w:cs="Times New Roman"/>
      <w:color w:val="000000"/>
      <w:sz w:val="16"/>
      <w:szCs w:val="16"/>
      <w:u w:val="none"/>
    </w:rPr>
  </w:style>
  <w:style w:type="character" w:customStyle="1" w:styleId="84">
    <w:name w:val="font21"/>
    <w:basedOn w:val="44"/>
    <w:qFormat/>
    <w:uiPriority w:val="0"/>
    <w:rPr>
      <w:rFonts w:ascii="Helvetica" w:hAnsi="Helvetica" w:eastAsia="Helvetica" w:cs="Helvetica"/>
      <w:color w:val="000000"/>
      <w:sz w:val="16"/>
      <w:szCs w:val="16"/>
      <w:u w:val="none"/>
    </w:rPr>
  </w:style>
  <w:style w:type="character" w:customStyle="1" w:styleId="85">
    <w:name w:val="font51"/>
    <w:basedOn w:val="44"/>
    <w:qFormat/>
    <w:uiPriority w:val="0"/>
    <w:rPr>
      <w:rFonts w:hint="eastAsia" w:ascii="宋体" w:hAnsi="宋体" w:eastAsia="宋体" w:cs="宋体"/>
      <w:color w:val="000000"/>
      <w:sz w:val="16"/>
      <w:szCs w:val="16"/>
      <w:u w:val="none"/>
    </w:rPr>
  </w:style>
  <w:style w:type="character" w:customStyle="1" w:styleId="86">
    <w:name w:val="font31"/>
    <w:basedOn w:val="44"/>
    <w:qFormat/>
    <w:uiPriority w:val="0"/>
    <w:rPr>
      <w:rFonts w:hint="eastAsia" w:ascii="宋体" w:hAnsi="宋体" w:eastAsia="宋体" w:cs="宋体"/>
      <w:color w:val="000000"/>
      <w:sz w:val="16"/>
      <w:szCs w:val="16"/>
      <w:u w:val="none"/>
    </w:rPr>
  </w:style>
  <w:style w:type="character" w:customStyle="1" w:styleId="87">
    <w:name w:val="font61"/>
    <w:basedOn w:val="44"/>
    <w:qFormat/>
    <w:uiPriority w:val="0"/>
    <w:rPr>
      <w:rFonts w:hint="eastAsia" w:ascii="宋体" w:hAnsi="宋体" w:eastAsia="宋体" w:cs="宋体"/>
      <w:color w:val="000000"/>
      <w:sz w:val="16"/>
      <w:szCs w:val="16"/>
      <w:u w:val="none"/>
    </w:rPr>
  </w:style>
  <w:style w:type="paragraph" w:customStyle="1" w:styleId="88">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9">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0">
    <w:name w:val="正文缩进 字符"/>
    <w:link w:val="13"/>
    <w:qFormat/>
    <w:uiPriority w:val="0"/>
    <w:rPr>
      <w:rFonts w:eastAsia="宋体"/>
    </w:rPr>
  </w:style>
  <w:style w:type="character" w:customStyle="1" w:styleId="91">
    <w:name w:val="无间隔 字符"/>
    <w:link w:val="92"/>
    <w:qFormat/>
    <w:uiPriority w:val="0"/>
    <w:rPr>
      <w:rFonts w:ascii="Cambria" w:hAnsi="Cambria"/>
      <w:sz w:val="22"/>
      <w:lang w:eastAsia="en-US" w:bidi="en-US"/>
    </w:rPr>
  </w:style>
  <w:style w:type="paragraph" w:styleId="92">
    <w:name w:val="No Spacing"/>
    <w:basedOn w:val="1"/>
    <w:link w:val="91"/>
    <w:qFormat/>
    <w:uiPriority w:val="0"/>
    <w:pPr>
      <w:widowControl/>
      <w:numPr>
        <w:ilvl w:val="4"/>
        <w:numId w:val="2"/>
      </w:numPr>
      <w:ind w:left="0" w:firstLine="0"/>
      <w:jc w:val="left"/>
    </w:pPr>
    <w:rPr>
      <w:rFonts w:ascii="Cambria" w:hAnsi="Cambria"/>
      <w:sz w:val="22"/>
      <w:lang w:eastAsia="en-US" w:bidi="en-US"/>
    </w:rPr>
  </w:style>
  <w:style w:type="character" w:customStyle="1" w:styleId="93">
    <w:name w:val="样式2 Char"/>
    <w:link w:val="94"/>
    <w:qFormat/>
    <w:uiPriority w:val="0"/>
    <w:rPr>
      <w:rFonts w:ascii="宋体" w:hAnsi="宋体"/>
      <w:sz w:val="28"/>
      <w:szCs w:val="28"/>
    </w:rPr>
  </w:style>
  <w:style w:type="paragraph" w:customStyle="1" w:styleId="94">
    <w:name w:val="样式2"/>
    <w:basedOn w:val="1"/>
    <w:link w:val="93"/>
    <w:qFormat/>
    <w:uiPriority w:val="0"/>
    <w:pPr>
      <w:widowControl/>
      <w:spacing w:line="590" w:lineRule="exact"/>
      <w:ind w:firstLine="560" w:firstLineChars="200"/>
    </w:pPr>
    <w:rPr>
      <w:rFonts w:ascii="宋体" w:hAnsi="宋体"/>
      <w:sz w:val="28"/>
      <w:szCs w:val="28"/>
    </w:rPr>
  </w:style>
  <w:style w:type="character" w:customStyle="1" w:styleId="95">
    <w:name w:val="zj-122 Char"/>
    <w:link w:val="96"/>
    <w:qFormat/>
    <w:uiPriority w:val="99"/>
    <w:rPr>
      <w:rFonts w:ascii="Cambria" w:hAnsi="Cambria"/>
      <w:iCs/>
      <w:szCs w:val="21"/>
      <w:lang w:bidi="en-US"/>
    </w:rPr>
  </w:style>
  <w:style w:type="paragraph" w:customStyle="1" w:styleId="96">
    <w:name w:val="zj-122"/>
    <w:basedOn w:val="92"/>
    <w:link w:val="95"/>
    <w:qFormat/>
    <w:uiPriority w:val="99"/>
    <w:rPr>
      <w:iCs/>
      <w:sz w:val="21"/>
      <w:szCs w:val="21"/>
      <w:lang w:eastAsia="zh-CN"/>
    </w:rPr>
  </w:style>
  <w:style w:type="paragraph" w:customStyle="1" w:styleId="9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a9"/>
    <w:basedOn w:val="44"/>
    <w:qFormat/>
    <w:uiPriority w:val="0"/>
  </w:style>
  <w:style w:type="character" w:customStyle="1" w:styleId="99">
    <w:name w:val="msonormal"/>
    <w:basedOn w:val="44"/>
    <w:qFormat/>
    <w:uiPriority w:val="0"/>
  </w:style>
  <w:style w:type="character" w:customStyle="1" w:styleId="100">
    <w:name w:val="标题 1 Char Char"/>
    <w:qFormat/>
    <w:uiPriority w:val="0"/>
    <w:rPr>
      <w:rFonts w:eastAsia="宋体"/>
      <w:b/>
      <w:spacing w:val="-2"/>
      <w:sz w:val="24"/>
      <w:lang w:val="en-US" w:eastAsia="zh-CN" w:bidi="ar-SA"/>
    </w:rPr>
  </w:style>
  <w:style w:type="character" w:customStyle="1" w:styleId="101">
    <w:name w:val="标题 2 字符"/>
    <w:qFormat/>
    <w:uiPriority w:val="0"/>
    <w:rPr>
      <w:rFonts w:ascii="Arial" w:hAnsi="Arial" w:eastAsia="黑体"/>
      <w:b/>
      <w:bCs/>
      <w:kern w:val="2"/>
      <w:sz w:val="32"/>
      <w:szCs w:val="32"/>
    </w:rPr>
  </w:style>
  <w:style w:type="character" w:customStyle="1" w:styleId="102">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3">
    <w:name w:val="text-4"/>
    <w:basedOn w:val="44"/>
    <w:qFormat/>
    <w:uiPriority w:val="0"/>
  </w:style>
  <w:style w:type="character" w:customStyle="1" w:styleId="104">
    <w:name w:val="boldtitle1"/>
    <w:qFormat/>
    <w:uiPriority w:val="0"/>
    <w:rPr>
      <w:rFonts w:hint="default" w:ascii="Arial Black" w:hAnsi="Arial Black"/>
      <w:sz w:val="36"/>
      <w:szCs w:val="36"/>
    </w:rPr>
  </w:style>
  <w:style w:type="character" w:customStyle="1" w:styleId="105">
    <w:name w:val="Body Char"/>
    <w:link w:val="106"/>
    <w:qFormat/>
    <w:uiPriority w:val="0"/>
    <w:rPr>
      <w:szCs w:val="21"/>
    </w:rPr>
  </w:style>
  <w:style w:type="paragraph" w:customStyle="1" w:styleId="106">
    <w:name w:val="Body"/>
    <w:basedOn w:val="1"/>
    <w:link w:val="105"/>
    <w:qFormat/>
    <w:uiPriority w:val="0"/>
    <w:pPr>
      <w:widowControl/>
      <w:tabs>
        <w:tab w:val="left" w:pos="9356"/>
      </w:tabs>
      <w:spacing w:before="80" w:after="80" w:line="288" w:lineRule="auto"/>
      <w:ind w:left="426" w:leftChars="213" w:right="200"/>
    </w:pPr>
    <w:rPr>
      <w:szCs w:val="21"/>
    </w:rPr>
  </w:style>
  <w:style w:type="paragraph" w:customStyle="1" w:styleId="107">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1">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2">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3">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4">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5">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6">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7">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8">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Char Char"/>
    <w:basedOn w:val="1"/>
    <w:qFormat/>
    <w:uiPriority w:val="99"/>
    <w:rPr>
      <w:rFonts w:ascii="Tahoma" w:hAnsi="Tahoma" w:eastAsia="宋体" w:cs="Times New Roman"/>
      <w:sz w:val="24"/>
      <w:szCs w:val="20"/>
    </w:rPr>
  </w:style>
  <w:style w:type="paragraph" w:customStyle="1" w:styleId="120">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1">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2">
    <w:name w:val="Char Char Char1 Char"/>
    <w:basedOn w:val="1"/>
    <w:qFormat/>
    <w:uiPriority w:val="99"/>
    <w:rPr>
      <w:rFonts w:ascii="仿宋_GB2312" w:hAnsi="Times New Roman" w:eastAsia="仿宋_GB2312" w:cs="Times New Roman"/>
      <w:b/>
      <w:sz w:val="32"/>
      <w:szCs w:val="32"/>
    </w:rPr>
  </w:style>
  <w:style w:type="paragraph" w:customStyle="1" w:styleId="123">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4">
    <w:name w:val="List Paragraph1"/>
    <w:basedOn w:val="1"/>
    <w:qFormat/>
    <w:uiPriority w:val="99"/>
    <w:pPr>
      <w:ind w:firstLine="420" w:firstLineChars="200"/>
    </w:pPr>
    <w:rPr>
      <w:rFonts w:ascii="Calibri" w:hAnsi="Calibri" w:eastAsia="宋体" w:cs="Calibri"/>
      <w:szCs w:val="21"/>
    </w:rPr>
  </w:style>
  <w:style w:type="paragraph" w:customStyle="1" w:styleId="12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6">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7">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9">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3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1">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3">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5">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6">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7">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8">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9">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0">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1">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2">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3">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4">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5">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6">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7">
    <w:name w:val="ZTE标题6"/>
    <w:basedOn w:val="145"/>
    <w:qFormat/>
    <w:uiPriority w:val="99"/>
    <w:pPr>
      <w:tabs>
        <w:tab w:val="left" w:pos="1276"/>
      </w:tabs>
      <w:spacing w:before="120"/>
      <w:ind w:left="1276" w:hanging="1276"/>
    </w:pPr>
  </w:style>
  <w:style w:type="paragraph" w:customStyle="1" w:styleId="148">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9">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0">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1">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3">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5">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6">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7">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8">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9">
    <w:name w:val="正文 3"/>
    <w:basedOn w:val="130"/>
    <w:next w:val="130"/>
    <w:qFormat/>
    <w:uiPriority w:val="99"/>
    <w:pPr>
      <w:spacing w:before="120"/>
    </w:pPr>
    <w:rPr>
      <w:rFonts w:ascii="Garamond" w:hAnsi="Garamond"/>
      <w:color w:val="auto"/>
    </w:rPr>
  </w:style>
  <w:style w:type="paragraph" w:customStyle="1" w:styleId="160">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1">
    <w:name w:val="List Paragraph"/>
    <w:basedOn w:val="1"/>
    <w:link w:val="165"/>
    <w:qFormat/>
    <w:uiPriority w:val="99"/>
    <w:pPr>
      <w:ind w:firstLine="420" w:firstLineChars="200"/>
    </w:pPr>
    <w:rPr>
      <w:rFonts w:ascii="Calibri" w:hAnsi="Calibri" w:eastAsia="宋体" w:cs="Times New Roman"/>
    </w:rPr>
  </w:style>
  <w:style w:type="paragraph" w:customStyle="1" w:styleId="162">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4">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5">
    <w:name w:val="列表段落 字符"/>
    <w:link w:val="161"/>
    <w:qFormat/>
    <w:locked/>
    <w:uiPriority w:val="99"/>
    <w:rPr>
      <w:rFonts w:ascii="Calibri" w:hAnsi="Calibri" w:eastAsia="宋体" w:cs="Times New Roman"/>
    </w:rPr>
  </w:style>
  <w:style w:type="paragraph" w:customStyle="1" w:styleId="166">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7">
    <w:name w:val="font81"/>
    <w:basedOn w:val="44"/>
    <w:qFormat/>
    <w:uiPriority w:val="0"/>
    <w:rPr>
      <w:rFonts w:hint="eastAsia" w:ascii="宋体" w:hAnsi="宋体" w:eastAsia="宋体" w:cs="宋体"/>
      <w:color w:val="000000"/>
      <w:sz w:val="20"/>
      <w:szCs w:val="20"/>
      <w:u w:val="none"/>
    </w:rPr>
  </w:style>
  <w:style w:type="character" w:customStyle="1" w:styleId="168">
    <w:name w:val="font71"/>
    <w:basedOn w:val="44"/>
    <w:qFormat/>
    <w:uiPriority w:val="0"/>
    <w:rPr>
      <w:rFonts w:ascii="Arial" w:hAnsi="Arial" w:cs="Arial"/>
      <w:color w:val="000000"/>
      <w:sz w:val="24"/>
      <w:szCs w:val="24"/>
      <w:u w:val="none"/>
    </w:rPr>
  </w:style>
  <w:style w:type="character" w:customStyle="1" w:styleId="169">
    <w:name w:val="font91"/>
    <w:basedOn w:val="44"/>
    <w:qFormat/>
    <w:uiPriority w:val="0"/>
    <w:rPr>
      <w:rFonts w:hint="default" w:ascii="Arial" w:hAnsi="Arial" w:cs="Arial"/>
      <w:color w:val="000000"/>
      <w:sz w:val="24"/>
      <w:szCs w:val="24"/>
      <w:u w:val="none"/>
    </w:rPr>
  </w:style>
  <w:style w:type="character" w:customStyle="1" w:styleId="170">
    <w:name w:val="font101"/>
    <w:basedOn w:val="44"/>
    <w:qFormat/>
    <w:uiPriority w:val="0"/>
    <w:rPr>
      <w:rFonts w:hint="eastAsia" w:ascii="宋体" w:hAnsi="宋体" w:eastAsia="宋体" w:cs="宋体"/>
      <w:color w:val="000000"/>
      <w:sz w:val="24"/>
      <w:szCs w:val="24"/>
      <w:u w:val="none"/>
    </w:rPr>
  </w:style>
  <w:style w:type="character" w:customStyle="1" w:styleId="171">
    <w:name w:val="标题 1 Char1"/>
    <w:basedOn w:val="44"/>
    <w:qFormat/>
    <w:uiPriority w:val="0"/>
    <w:rPr>
      <w:rFonts w:asciiTheme="minorHAnsi" w:hAnsiTheme="minorHAnsi" w:eastAsiaTheme="minorEastAsia" w:cstheme="minorBidi"/>
      <w:b/>
      <w:bCs/>
      <w:kern w:val="44"/>
      <w:sz w:val="44"/>
      <w:szCs w:val="44"/>
    </w:rPr>
  </w:style>
  <w:style w:type="character" w:customStyle="1" w:styleId="172">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3">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4">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5">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6">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7">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8">
    <w:name w:val="标题 8 Char1"/>
    <w:basedOn w:val="44"/>
    <w:semiHidden/>
    <w:qFormat/>
    <w:uiPriority w:val="0"/>
    <w:rPr>
      <w:rFonts w:asciiTheme="majorHAnsi" w:hAnsiTheme="majorHAnsi" w:eastAsiaTheme="majorEastAsia" w:cstheme="majorBidi"/>
      <w:kern w:val="2"/>
      <w:sz w:val="24"/>
      <w:szCs w:val="24"/>
    </w:rPr>
  </w:style>
  <w:style w:type="character" w:customStyle="1" w:styleId="179">
    <w:name w:val="标题 9 Char1"/>
    <w:basedOn w:val="44"/>
    <w:semiHidden/>
    <w:qFormat/>
    <w:uiPriority w:val="0"/>
    <w:rPr>
      <w:rFonts w:asciiTheme="majorHAnsi" w:hAnsiTheme="majorHAnsi" w:eastAsiaTheme="majorEastAsia" w:cstheme="majorBidi"/>
      <w:kern w:val="2"/>
      <w:sz w:val="21"/>
      <w:szCs w:val="21"/>
    </w:rPr>
  </w:style>
  <w:style w:type="paragraph" w:customStyle="1" w:styleId="180">
    <w:name w:val="列出段落11"/>
    <w:basedOn w:val="1"/>
    <w:qFormat/>
    <w:uiPriority w:val="99"/>
    <w:pPr>
      <w:ind w:firstLine="420" w:firstLineChars="200"/>
    </w:pPr>
    <w:rPr>
      <w:rFonts w:ascii="Calibri" w:hAnsi="Calibri" w:eastAsia="宋体" w:cs="Times New Roman"/>
    </w:rPr>
  </w:style>
  <w:style w:type="paragraph" w:customStyle="1" w:styleId="181">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2">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3">
    <w:name w:val="网格型1"/>
    <w:basedOn w:val="42"/>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4">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列表段落1"/>
    <w:basedOn w:val="1"/>
    <w:qFormat/>
    <w:uiPriority w:val="0"/>
    <w:pPr>
      <w:ind w:firstLine="420" w:firstLineChars="200"/>
    </w:pPr>
    <w:rPr>
      <w:rFonts w:ascii="Calibri" w:hAnsi="Calibri" w:eastAsia="宋体" w:cs="Times New Roman"/>
    </w:rPr>
  </w:style>
  <w:style w:type="paragraph" w:customStyle="1" w:styleId="188">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9">
    <w:name w:val="网格型2"/>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WPSOffice手动目录 1"/>
    <w:qFormat/>
    <w:uiPriority w:val="0"/>
    <w:pPr>
      <w:ind w:leftChars="0"/>
    </w:pPr>
    <w:rPr>
      <w:rFonts w:asciiTheme="minorHAnsi" w:hAnsiTheme="minorHAnsi" w:eastAsiaTheme="minorEastAsia" w:cstheme="minorBidi"/>
      <w:sz w:val="20"/>
      <w:szCs w:val="20"/>
    </w:rPr>
  </w:style>
  <w:style w:type="paragraph" w:customStyle="1" w:styleId="191">
    <w:name w:val="WPSOffice手动目录 2"/>
    <w:qFormat/>
    <w:uiPriority w:val="0"/>
    <w:pPr>
      <w:ind w:leftChars="200"/>
    </w:pPr>
    <w:rPr>
      <w:rFonts w:asciiTheme="minorHAnsi" w:hAnsiTheme="minorHAnsi" w:eastAsiaTheme="minorEastAsia" w:cstheme="minorBidi"/>
      <w:sz w:val="20"/>
      <w:szCs w:val="20"/>
    </w:rPr>
  </w:style>
  <w:style w:type="character" w:customStyle="1" w:styleId="19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3">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4">
    <w:name w:val="179"/>
    <w:basedOn w:val="1"/>
    <w:qFormat/>
    <w:uiPriority w:val="0"/>
    <w:pPr>
      <w:spacing w:line="360" w:lineRule="auto"/>
      <w:ind w:firstLine="420" w:firstLineChars="200"/>
      <w:jc w:val="both"/>
      <w:textAlignment w:val="baseline"/>
    </w:pPr>
  </w:style>
  <w:style w:type="paragraph" w:customStyle="1" w:styleId="195">
    <w:name w:val="Heading3"/>
    <w:next w:val="196"/>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6">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7">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8">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9">
    <w:name w:val="Normal (Web)"/>
    <w:basedOn w:val="1"/>
    <w:qFormat/>
    <w:uiPriority w:val="0"/>
    <w:pPr>
      <w:widowControl/>
      <w:jc w:val="left"/>
    </w:pPr>
    <w:rPr>
      <w:rFonts w:hint="eastAsia" w:ascii="宋体" w:hAnsi="宋体" w:cs="Times New Roman"/>
      <w:kern w:val="0"/>
      <w:sz w:val="24"/>
    </w:rPr>
  </w:style>
  <w:style w:type="paragraph" w:customStyle="1" w:styleId="200">
    <w:name w:val="Other|1"/>
    <w:basedOn w:val="1"/>
    <w:qFormat/>
    <w:uiPriority w:val="0"/>
    <w:pPr>
      <w:widowControl w:val="0"/>
      <w:shd w:val="clear" w:color="auto" w:fill="auto"/>
      <w:jc w:val="center"/>
    </w:pPr>
    <w:rPr>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26561</Words>
  <Characters>29557</Characters>
  <Lines>210</Lines>
  <Paragraphs>59</Paragraphs>
  <TotalTime>105</TotalTime>
  <ScaleCrop>false</ScaleCrop>
  <LinksUpToDate>false</LinksUpToDate>
  <CharactersWithSpaces>30068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WPS_1642155775</cp:lastModifiedBy>
  <dcterms:modified xsi:type="dcterms:W3CDTF">2022-05-24T06:55:05Z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4F0AA080BA4C42F898AD8EF134B168B0</vt:lpwstr>
  </property>
</Properties>
</file>