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8"/>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both"/>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SXZC-2022-0010</w:t>
      </w:r>
    </w:p>
    <w:p>
      <w:pPr>
        <w:keepNext w:val="0"/>
        <w:keepLines w:val="0"/>
        <w:pageBreakBefore w:val="0"/>
        <w:widowControl w:val="0"/>
        <w:kinsoku/>
        <w:wordWrap/>
        <w:overflowPunct/>
        <w:topLinePunct w:val="0"/>
        <w:autoSpaceDE/>
        <w:autoSpaceDN/>
        <w:bidi w:val="0"/>
        <w:adjustRightInd/>
        <w:snapToGrid/>
        <w:ind w:left="4794" w:leftChars="1216" w:right="420" w:rightChars="200" w:hanging="2240" w:hangingChars="700"/>
        <w:jc w:val="both"/>
        <w:textAlignment w:val="auto"/>
        <w:rPr>
          <w:rFonts w:hint="eastAsia"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eastAsia="zh-CN"/>
        </w:rPr>
        <w:t>随县电教站教学设备、学生课桌椅项目</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both"/>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教学设备、学生课桌椅</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4"/>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4"/>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headerReference r:id="rId3" w:type="default"/>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8月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pStyle w:val="24"/>
            <w:ind w:left="840"/>
          </w:pPr>
          <w:bookmarkStart w:id="0" w:name="_Toc12619"/>
        </w:p>
        <w:p>
          <w:pPr>
            <w:widowControl/>
            <w:suppressLineNumbers/>
            <w:spacing w:line="360" w:lineRule="auto"/>
            <w:ind w:right="-19"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pPr>
            <w:pStyle w:val="24"/>
            <w:ind w:left="840"/>
            <w:rPr>
              <w:lang w:val="zh-CN"/>
            </w:rPr>
          </w:pP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 律不接受纸质投标文件，只接受具备法律效力的电子投标文件。供应商参加投标前，应当</w:t>
          </w:r>
          <w:r>
            <w:rPr>
              <w:rFonts w:hint="eastAsia" w:ascii="仿宋" w:hAnsi="仿宋" w:eastAsia="仿宋" w:cs="仿宋"/>
              <w:b/>
              <w:bCs/>
              <w:sz w:val="24"/>
              <w:szCs w:val="24"/>
            </w:rPr>
            <w:t>在湖北省政府电子采购平台进行注册并</w:t>
          </w:r>
          <w:r>
            <w:rPr>
              <w:rFonts w:hint="eastAsia" w:ascii="仿宋" w:hAnsi="仿宋" w:eastAsia="仿宋" w:cs="仿宋"/>
              <w:b/>
              <w:bCs/>
              <w:sz w:val="24"/>
              <w:szCs w:val="24"/>
              <w:lang w:val="zh-CN"/>
            </w:rPr>
            <w:t>办理CA数字证书和电子签章。</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19"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19"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四、供应商应按照</w:t>
          </w:r>
          <w:r>
            <w:rPr>
              <w:rFonts w:hint="eastAsia" w:ascii="仿宋" w:hAnsi="仿宋" w:eastAsia="仿宋" w:cs="仿宋"/>
              <w:b/>
              <w:bCs/>
              <w:sz w:val="24"/>
              <w:szCs w:val="24"/>
              <w:lang w:val="en-US"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pPr>
            <w:widowControl/>
            <w:suppressLineNumbers/>
            <w:spacing w:line="480" w:lineRule="auto"/>
            <w:ind w:right="-19" w:rightChars="-9" w:firstLine="422" w:firstLineChars="175"/>
            <w:jc w:val="left"/>
            <w:rPr>
              <w:rFonts w:ascii="仿宋" w:hAnsi="仿宋" w:eastAsia="仿宋" w:cs="仿宋"/>
              <w:b/>
              <w:sz w:val="24"/>
              <w:szCs w:val="24"/>
              <w:lang w:val="zh-CN"/>
            </w:rPr>
          </w:pPr>
          <w:r>
            <w:rPr>
              <w:rFonts w:hint="eastAsia" w:ascii="仿宋" w:hAnsi="仿宋" w:eastAsia="仿宋" w:cs="仿宋"/>
              <w:b/>
              <w:bCs/>
              <w:sz w:val="24"/>
              <w:szCs w:val="24"/>
              <w:lang w:val="zh-CN"/>
            </w:rPr>
            <w:t>五、</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19"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lang w:val="zh-CN" w:eastAsia="zh-CN"/>
            </w:rPr>
            <w:t>六</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19"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pPr>
            <w:suppressLineNumbers/>
            <w:spacing w:line="480" w:lineRule="auto"/>
            <w:ind w:right="-19" w:rightChars="-9"/>
            <w:jc w:val="center"/>
            <w:rPr>
              <w:rFonts w:ascii="仿宋" w:hAnsi="仿宋" w:eastAsia="仿宋" w:cs="仿宋"/>
              <w:b/>
              <w:sz w:val="44"/>
            </w:rPr>
            <w:sectPr>
              <w:headerReference r:id="rId4" w:type="default"/>
              <w:footerReference r:id="rId6" w:type="default"/>
              <w:headerReference r:id="rId5" w:type="even"/>
              <w:footerReference r:id="rId7" w:type="even"/>
              <w:pgSz w:w="11906" w:h="16838"/>
              <w:pgMar w:top="1102" w:right="1255" w:bottom="816" w:left="1211" w:header="624" w:footer="0" w:gutter="0"/>
              <w:pgNumType w:start="3"/>
              <w:cols w:space="425" w:num="1"/>
              <w:docGrid w:type="lines" w:linePitch="312" w:charSpace="0"/>
            </w:sectPr>
          </w:pPr>
        </w:p>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191"/>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91"/>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第二章磋商须知</w:t>
          </w:r>
          <w:r>
            <w:rPr>
              <w:b/>
              <w:color w:val="auto"/>
              <w:sz w:val="30"/>
              <w:szCs w:val="30"/>
            </w:rPr>
            <w:fldChar w:fldCharType="end"/>
          </w:r>
        </w:p>
        <w:p>
          <w:pPr>
            <w:pStyle w:val="191"/>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91"/>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91"/>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91"/>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第六章响应文件格式</w:t>
          </w:r>
          <w:r>
            <w:rPr>
              <w:b/>
              <w:color w:val="auto"/>
              <w:sz w:val="30"/>
              <w:szCs w:val="30"/>
            </w:rPr>
            <w:fldChar w:fldCharType="end"/>
          </w: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rPr>
              <w:color w:val="auto"/>
            </w:rPr>
          </w:pPr>
        </w:p>
        <w:p>
          <w:pPr>
            <w:pStyle w:val="192"/>
            <w:tabs>
              <w:tab w:val="right" w:leader="dot" w:pos="8820"/>
            </w:tabs>
            <w:ind w:left="0" w:leftChars="0" w:firstLine="0" w:firstLineChars="0"/>
            <w:rPr>
              <w:color w:val="auto"/>
            </w:rPr>
          </w:pPr>
        </w:p>
        <w:p>
          <w:pPr>
            <w:pStyle w:val="192"/>
            <w:tabs>
              <w:tab w:val="right" w:leader="dot" w:pos="8820"/>
            </w:tabs>
            <w:ind w:left="0" w:leftChars="0" w:firstLine="0" w:firstLineChars="0"/>
            <w:rPr>
              <w:color w:val="auto"/>
            </w:rPr>
          </w:pPr>
        </w:p>
        <w:p>
          <w:pPr>
            <w:pStyle w:val="192"/>
            <w:tabs>
              <w:tab w:val="right" w:leader="dot" w:pos="8820"/>
            </w:tabs>
            <w:rPr>
              <w:color w:val="auto"/>
            </w:rPr>
          </w:pPr>
        </w:p>
        <w:p>
          <w:pPr>
            <w:rPr>
              <w:b/>
              <w:color w:val="auto"/>
            </w:rPr>
          </w:pPr>
          <w:r>
            <w:rPr>
              <w:b/>
              <w:color w:val="auto"/>
            </w:rPr>
            <w:fldChar w:fldCharType="end"/>
          </w:r>
        </w:p>
        <w:p>
          <w:pPr>
            <w:rPr>
              <w:color w:val="auto"/>
            </w:rPr>
          </w:pP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4"/>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随县电教站教学设备、学生课桌椅项目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sz w:val="24"/>
          <w:szCs w:val="24"/>
          <w:lang w:val="en-US" w:eastAsia="zh-CN"/>
        </w:rPr>
        <w:t>并于2022年09月06日9点30分</w:t>
      </w:r>
      <w:r>
        <w:rPr>
          <w:rFonts w:hint="eastAsia" w:ascii="宋体" w:hAnsi="宋体" w:eastAsia="宋体" w:cs="宋体"/>
          <w:sz w:val="24"/>
          <w:szCs w:val="24"/>
          <w:lang w:eastAsia="zh-CN"/>
        </w:rPr>
        <w:t>前提交响应文件并签到</w:t>
      </w:r>
      <w:r>
        <w:rPr>
          <w:rFonts w:hint="eastAsia" w:ascii="宋体" w:hAnsi="宋体" w:eastAsia="宋体" w:cs="宋体"/>
          <w:color w:val="auto"/>
          <w:sz w:val="24"/>
          <w:szCs w:val="24"/>
          <w:lang w:val="en-US" w:eastAsia="zh-CN"/>
        </w:rPr>
        <w:t>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28359089"/>
      <w:bookmarkStart w:id="3" w:name="_Toc28359012"/>
      <w:bookmarkStart w:id="4" w:name="_Toc35393629"/>
      <w:bookmarkStart w:id="5" w:name="_Toc35393798"/>
      <w:bookmarkStart w:id="6" w:name="_Toc17951"/>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2022-08-006727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随县电教站教学设备、学生课桌椅项目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102</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widowControl/>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color w:val="000000" w:themeColor="text1"/>
          <w:sz w:val="24"/>
          <w:lang w:val="en-US" w:eastAsia="zh-CN"/>
          <w14:textFill>
            <w14:solidFill>
              <w14:schemeClr w14:val="tx1"/>
            </w14:solidFill>
          </w14:textFill>
        </w:rPr>
        <w:t>随县教学设备、学生课桌椅项目清单范围内的所有内容</w:t>
      </w:r>
      <w:r>
        <w:rPr>
          <w:rFonts w:hint="eastAsia" w:ascii="宋体" w:hAnsi="宋体" w:eastAsia="宋体" w:cs="宋体"/>
          <w:color w:val="auto"/>
          <w:sz w:val="24"/>
          <w:szCs w:val="24"/>
          <w:lang w:eastAsia="zh-CN"/>
        </w:rPr>
        <w:t>（具体内容</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30个日历天内完成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lang w:val="en-US" w:eastAsia="zh-CN"/>
        </w:rPr>
      </w:pPr>
      <w:r>
        <w:rPr>
          <w:rFonts w:hint="eastAsia" w:ascii="宋体" w:hAnsi="宋体" w:cs="宋体"/>
          <w:sz w:val="24"/>
          <w:szCs w:val="24"/>
        </w:rPr>
        <w:t>本项目（是/否）专门面向中小微企业：</w:t>
      </w:r>
      <w:r>
        <w:rPr>
          <w:rFonts w:hint="eastAsia" w:ascii="宋体" w:hAnsi="宋体" w:eastAsia="宋体" w:cs="宋体"/>
          <w:b/>
          <w:bCs/>
          <w:color w:val="auto"/>
          <w:sz w:val="24"/>
          <w:szCs w:val="24"/>
          <w:lang w:val="en-US" w:eastAsia="zh-CN"/>
        </w:rPr>
        <w:t>是</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35393630"/>
      <w:bookmarkStart w:id="8" w:name="_Toc30736"/>
      <w:bookmarkStart w:id="9" w:name="_Toc35393799"/>
      <w:bookmarkStart w:id="10" w:name="_Toc28359013"/>
      <w:bookmarkStart w:id="11" w:name="_Toc28359090"/>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14"/>
      <w:bookmarkStart w:id="13" w:name="_Toc28359091"/>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eastAsia="zh-CN"/>
        </w:rPr>
        <w:t>专门面向中小企业</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6、本项目的特定资格要求：无</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仿宋" w:hAnsi="仿宋" w:cs="仿宋"/>
          <w:color w:val="auto"/>
          <w:spacing w:val="-3"/>
          <w:sz w:val="24"/>
          <w:lang w:val="en-US" w:eastAsia="zh-CN"/>
        </w:rPr>
        <w:t>2022年8月25日至2022年8月31日，每天上午00:00 至12:00，下午12:00 至24:00（北京时间，法定节假日除外）。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2"/>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ascii="仿宋" w:hAnsi="仿宋" w:cs="仿宋"/>
          <w:color w:val="auto"/>
          <w:spacing w:val="-2"/>
          <w:sz w:val="24"/>
        </w:rPr>
        <w:t>登录</w:t>
      </w:r>
      <w:r>
        <w:rPr>
          <w:rFonts w:hint="eastAsia" w:ascii="仿宋" w:hAnsi="仿宋" w:cs="仿宋"/>
          <w:color w:val="auto"/>
          <w:spacing w:val="-2"/>
          <w:sz w:val="24"/>
          <w:lang w:eastAsia="zh-CN"/>
        </w:rPr>
        <w:t>随县</w:t>
      </w:r>
      <w:r>
        <w:rPr>
          <w:rFonts w:hint="eastAsia" w:ascii="仿宋" w:hAnsi="仿宋" w:cs="仿宋"/>
          <w:color w:val="auto"/>
          <w:spacing w:val="-2"/>
          <w:sz w:val="24"/>
        </w:rPr>
        <w:t>政府电子采购平台</w:t>
      </w:r>
      <w:r>
        <w:rPr>
          <w:rFonts w:ascii="仿宋" w:hAnsi="仿宋" w:cs="仿宋"/>
          <w:color w:val="auto"/>
          <w:spacing w:val="0"/>
          <w:sz w:val="24"/>
        </w:rPr>
        <w:t>直接获取</w:t>
      </w:r>
      <w:r>
        <w:rPr>
          <w:rFonts w:hint="eastAsia" w:ascii="仿宋" w:hAnsi="仿宋" w:cs="仿宋"/>
          <w:color w:val="auto"/>
          <w:spacing w:val="0"/>
          <w:sz w:val="24"/>
          <w:lang w:eastAsia="zh-CN"/>
        </w:rPr>
        <w:t>。</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pStyle w:val="24"/>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3、售价：0元</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1、开始时间：2022年8月26日00点00分（北京时间）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2022年9月6日09点30分（北京时间）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2022年9月6日09点30分（北京时间）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1、</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平台上传电子响应文件一份。投标过程中如遇系统操作问题可咨询：0722-3563205、全省供应商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pPr>
        <w:overflowPunct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4、为支持扶持中小微企业及推进“政采贷”政策落实，目前随县已开通的“政采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贷”银行有2家，联系方式如下：（1）建设银行随县支行：0722-3338009；（2）邮储银行随县支行：0722-3338922。</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28359095"/>
      <w:bookmarkStart w:id="20" w:name="_Toc28359018"/>
      <w:bookmarkStart w:id="21" w:name="_Toc35393636"/>
      <w:bookmarkStart w:id="22" w:name="_Toc20538"/>
      <w:bookmarkStart w:id="23" w:name="_Toc35393805"/>
      <w:bookmarkStart w:id="24" w:name="_Toc24012"/>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随县电教站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地    址：</w:t>
      </w:r>
      <w:r>
        <w:rPr>
          <w:rFonts w:hint="eastAsia" w:ascii="宋体" w:hAnsi="宋体"/>
          <w:sz w:val="24"/>
          <w:lang w:eastAsia="zh-CN"/>
        </w:rPr>
        <w:t>随县神农大道振兴路1号　</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联系人：蔡波林</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rPr>
        <w:t>联系电话：</w:t>
      </w:r>
      <w:bookmarkStart w:id="25" w:name="_Toc28359020"/>
      <w:bookmarkStart w:id="26" w:name="_Toc28359097"/>
      <w:bookmarkStart w:id="27" w:name="_Toc35393807"/>
      <w:bookmarkStart w:id="28" w:name="_Toc35393638"/>
      <w:r>
        <w:rPr>
          <w:rFonts w:hint="eastAsia" w:ascii="宋体" w:hAnsi="宋体" w:eastAsia="宋体" w:cs="宋体"/>
          <w:color w:val="auto"/>
          <w:sz w:val="24"/>
          <w:szCs w:val="24"/>
          <w:lang w:val="en-US" w:eastAsia="zh-CN"/>
        </w:rPr>
        <w:t>0722-3339860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19</w:t>
      </w:r>
      <w:r>
        <w:rPr>
          <w:rFonts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rPr>
        <w:t>日</w:t>
      </w:r>
    </w:p>
    <w:p>
      <w:pPr>
        <w:rPr>
          <w:color w:val="auto"/>
        </w:rPr>
      </w:pPr>
      <w:bookmarkStart w:id="29" w:name="_Toc22032"/>
    </w:p>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0" w:name="_Toc6368"/>
      <w:r>
        <w:rPr>
          <w:rFonts w:hint="eastAsia" w:ascii="Times New Roman" w:hAnsi="Times New Roman" w:cs="Times New Roman"/>
          <w:b/>
          <w:color w:val="auto"/>
          <w:sz w:val="36"/>
          <w:szCs w:val="36"/>
          <w:lang w:val="hr-HR" w:bidi="ar-EG"/>
        </w:rPr>
        <w:t>第二章磋商须知</w:t>
      </w:r>
      <w:bookmarkEnd w:id="30"/>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2"/>
        <w:keepNext w:val="0"/>
        <w:keepLines w:val="0"/>
        <w:pageBreakBefore w:val="0"/>
        <w:widowControl w:val="0"/>
        <w:numPr>
          <w:ilvl w:val="0"/>
          <w:numId w:val="8"/>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2"/>
        <w:ind w:left="480" w:firstLine="0" w:firstLineChars="0"/>
        <w:rPr>
          <w:rFonts w:ascii="Times New Roman" w:hAnsi="Times New Roman"/>
          <w:color w:val="auto"/>
          <w:sz w:val="24"/>
          <w:szCs w:val="24"/>
        </w:rPr>
      </w:pPr>
    </w:p>
    <w:tbl>
      <w:tblPr>
        <w:tblStyle w:val="4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2022-08-006727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随县电教站教学设备、学生课桌椅项目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教学设备、学生课桌椅</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102</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随县电教站</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cs="宋体"/>
                <w:color w:val="auto"/>
                <w:sz w:val="24"/>
                <w:szCs w:val="24"/>
              </w:rPr>
            </w:pPr>
            <w:r>
              <w:rPr>
                <w:rFonts w:hint="eastAsia" w:ascii="宋体" w:hAnsi="宋体" w:cs="宋体"/>
                <w:color w:val="auto"/>
                <w:sz w:val="24"/>
                <w:szCs w:val="24"/>
              </w:rPr>
              <w:t>地 址：</w:t>
            </w:r>
            <w:r>
              <w:rPr>
                <w:rFonts w:hint="eastAsia" w:ascii="宋体" w:hAnsi="宋体"/>
                <w:sz w:val="24"/>
                <w:lang w:eastAsia="zh-CN"/>
              </w:rPr>
              <w:t>随县神农大道振兴路1号　</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联系人：蔡波林</w:t>
            </w:r>
            <w:r>
              <w:rPr>
                <w:rFonts w:hint="eastAsia" w:ascii="宋体" w:hAnsi="宋体" w:eastAsia="宋体" w:cs="宋体"/>
                <w:color w:val="auto"/>
                <w:sz w:val="24"/>
                <w:szCs w:val="24"/>
                <w:lang w:val="en-US" w:eastAsia="zh-CN"/>
              </w:rPr>
              <w:tab/>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0722-3339860</w:t>
            </w:r>
          </w:p>
          <w:p>
            <w:pPr>
              <w:rPr>
                <w:rFonts w:hint="default" w:ascii="Times New Roman" w:hAnsi="Times New Roman" w:eastAsia="宋体"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90"/>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90"/>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90"/>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9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9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90"/>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val="0"/>
                <w:bCs w:val="0"/>
                <w:color w:val="auto"/>
                <w:kern w:val="0"/>
                <w:sz w:val="24"/>
                <w:szCs w:val="24"/>
              </w:rPr>
              <w:t>磋商时间</w:t>
            </w:r>
            <w:r>
              <w:rPr>
                <w:rFonts w:hint="eastAsia" w:ascii="Times New Roman" w:hAnsi="Times New Roman" w:eastAsia="宋体" w:cs="Times New Roman"/>
                <w:b/>
                <w:bCs/>
                <w:color w:val="auto"/>
                <w:kern w:val="0"/>
                <w:sz w:val="24"/>
                <w:szCs w:val="24"/>
              </w:rPr>
              <w:t>：</w:t>
            </w:r>
            <w:r>
              <w:rPr>
                <w:rFonts w:hint="eastAsia" w:ascii="宋体" w:hAnsi="宋体" w:eastAsia="宋体" w:cs="宋体"/>
                <w:color w:val="auto"/>
                <w:sz w:val="24"/>
                <w:szCs w:val="24"/>
                <w:lang w:val="en-US" w:eastAsia="zh-CN"/>
              </w:rPr>
              <w:t>详见竞争性磋商公告。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磋商地点：详见竞争性磋商公告。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90"/>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90"/>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w:t>
            </w:r>
            <w:bookmarkStart w:id="110" w:name="_GoBack"/>
            <w:bookmarkEnd w:id="110"/>
            <w:r>
              <w:rPr>
                <w:rFonts w:hint="eastAsia" w:asciiTheme="minorHAnsi" w:hAnsiTheme="minorHAnsi" w:eastAsiaTheme="minorEastAsia" w:cstheme="minorBidi"/>
                <w:b/>
                <w:bCs w:val="0"/>
                <w:color w:val="auto"/>
                <w:kern w:val="2"/>
                <w:sz w:val="24"/>
                <w:szCs w:val="22"/>
                <w:lang w:val="en-US" w:eastAsia="zh-CN" w:bidi="ar-SA"/>
              </w:rPr>
              <w:t>专门面向中小企业</w:t>
            </w:r>
          </w:p>
          <w:p>
            <w:pPr>
              <w:pStyle w:val="90"/>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90"/>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hint="eastAsia" w:ascii="Times New Roman" w:hAnsi="Times New Roman" w:cs="Times New Roman"/>
                <w:color w:val="auto"/>
                <w:sz w:val="24"/>
                <w:szCs w:val="24"/>
                <w:lang w:val="en-US" w:eastAsia="zh-CN"/>
              </w:rPr>
              <w:t>10</w:t>
            </w:r>
            <w:r>
              <w:rPr>
                <w:rFonts w:ascii="Times New Roman" w:hAnsi="Times New Roman" w:cs="Times New Roman"/>
                <w:color w:val="auto"/>
                <w:sz w:val="24"/>
                <w:szCs w:val="24"/>
              </w:rPr>
              <w:t>%</w:t>
            </w:r>
            <w:r>
              <w:rPr>
                <w:rFonts w:hint="eastAsia" w:ascii="Times New Roman" w:hAnsi="Times New Roman" w:cs="Times New Roman"/>
                <w:color w:val="auto"/>
                <w:sz w:val="24"/>
                <w:szCs w:val="24"/>
              </w:rPr>
              <w:t>的价格扣除。</w:t>
            </w:r>
          </w:p>
          <w:p>
            <w:pPr>
              <w:pStyle w:val="90"/>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90"/>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90"/>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90"/>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90"/>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90"/>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8"/>
                <w:rFonts w:hint="eastAsia"/>
                <w:color w:val="auto"/>
                <w:sz w:val="24"/>
              </w:rPr>
              <w:t>https://dzcg.hubeigp.gov.cn/assets/special/100/hbenterpoint.html</w:t>
            </w:r>
            <w:r>
              <w:rPr>
                <w:rStyle w:val="48"/>
                <w:rFonts w:hint="eastAsia"/>
                <w:color w:val="auto"/>
                <w:sz w:val="24"/>
                <w:lang w:eastAsia="zh-CN"/>
              </w:rPr>
              <w:t>）</w:t>
            </w:r>
            <w:r>
              <w:rPr>
                <w:rStyle w:val="48"/>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pStyle w:val="7"/>
        <w:numPr>
          <w:ilvl w:val="3"/>
          <w:numId w:val="0"/>
        </w:numPr>
        <w:rPr>
          <w:rFonts w:ascii="仿宋" w:hAnsi="仿宋" w:eastAsia="仿宋" w:cs="仿宋"/>
          <w:sz w:val="24"/>
          <w:szCs w:val="24"/>
        </w:rPr>
      </w:pPr>
      <w:r>
        <w:rPr>
          <w:rFonts w:hint="eastAsia" w:ascii="仿宋" w:hAnsi="仿宋" w:eastAsia="仿宋" w:cs="仿宋"/>
          <w:sz w:val="24"/>
          <w:szCs w:val="24"/>
        </w:rPr>
        <w:t>说明：如有供应商须知正文条款与供应商须知前附表不一致，以供应商须知前附表为准。</w:t>
      </w:r>
    </w:p>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并提供相关证明材料</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lang w:eastAsia="zh-CN"/>
        </w:rPr>
        <w:t>五日</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4"/>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textAlignment w:val="auto"/>
        <w:rPr>
          <w:rFonts w:hint="eastAsia" w:eastAsiaTheme="minorEastAsia"/>
          <w:lang w:val="en-US" w:eastAsia="zh-CN"/>
        </w:rPr>
      </w:pP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“★”号条款响应、偏离说明表(附件7)</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8</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hint="eastAsia" w:ascii="Times New Roman" w:hAnsi="Times New Roman" w:cs="Times New Roman"/>
          <w:bCs/>
          <w:color w:val="auto"/>
          <w:sz w:val="24"/>
          <w:szCs w:val="24"/>
          <w:lang w:val="en-US" w:eastAsia="zh-CN"/>
        </w:rPr>
        <w:t>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9</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hint="eastAsia" w:ascii="Times New Roman" w:hAnsi="Times New Roman" w:cs="Times New Roman"/>
          <w:bCs/>
          <w:color w:val="auto"/>
          <w:sz w:val="24"/>
          <w:szCs w:val="24"/>
          <w:lang w:val="en-US" w:eastAsia="zh-CN"/>
        </w:rPr>
        <w:t>9</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10</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hint="eastAsia" w:ascii="Times New Roman" w:hAnsi="Times New Roman" w:cs="Times New Roman"/>
          <w:bCs/>
          <w:color w:val="auto"/>
          <w:sz w:val="24"/>
          <w:szCs w:val="24"/>
          <w:lang w:val="en-US" w:eastAsia="zh-CN"/>
        </w:rPr>
        <w:t>10</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3</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pStyle w:val="2"/>
      </w:pPr>
      <w:r>
        <w:rPr>
          <w:rFonts w:hint="eastAsia" w:asciiTheme="minorEastAsia" w:hAnsiTheme="minorEastAsia" w:cstheme="minorEastAsia"/>
          <w:bCs/>
          <w:sz w:val="24"/>
          <w:szCs w:val="24"/>
          <w:lang w:val="en-US" w:eastAsia="zh-CN"/>
        </w:rPr>
        <w:t>14）</w:t>
      </w:r>
      <w:r>
        <w:rPr>
          <w:rFonts w:hint="eastAsia" w:asciiTheme="minorEastAsia" w:hAnsiTheme="minorEastAsia" w:eastAsiaTheme="minorEastAsia" w:cstheme="minorEastAsia"/>
          <w:bCs/>
          <w:sz w:val="24"/>
          <w:szCs w:val="24"/>
        </w:rPr>
        <w:t>“无政府采购回避事项的声明”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1" w:name="_Toc3291"/>
      <w:bookmarkStart w:id="32" w:name="_Toc9068"/>
      <w:r>
        <w:rPr>
          <w:rFonts w:hint="eastAsia" w:ascii="Times New Roman" w:hAnsi="Times New Roman" w:eastAsia="黑体" w:cs="Times New Roman"/>
          <w:color w:val="auto"/>
          <w:sz w:val="24"/>
          <w:szCs w:val="24"/>
        </w:rPr>
        <w:t>四、报价要求</w:t>
      </w:r>
      <w:bookmarkEnd w:id="31"/>
      <w:bookmarkEnd w:id="32"/>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2"/>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8"/>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4"/>
        <w:rPr>
          <w:color w:val="auto"/>
        </w:rPr>
      </w:pPr>
    </w:p>
    <w:p>
      <w:pPr>
        <w:rPr>
          <w:color w:val="auto"/>
        </w:rPr>
      </w:pPr>
    </w:p>
    <w:p>
      <w:pPr>
        <w:pStyle w:val="24"/>
        <w:rPr>
          <w:color w:val="auto"/>
        </w:rPr>
      </w:pPr>
    </w:p>
    <w:p>
      <w:pPr>
        <w:rPr>
          <w:color w:val="auto"/>
        </w:rPr>
      </w:pPr>
    </w:p>
    <w:p>
      <w:pPr>
        <w:pStyle w:val="24"/>
        <w:ind w:left="0" w:leftChars="0" w:firstLine="0" w:firstLineChars="0"/>
        <w:rPr>
          <w:color w:val="auto"/>
        </w:rPr>
      </w:pPr>
    </w:p>
    <w:p>
      <w:pPr>
        <w:rPr>
          <w:color w:val="auto"/>
        </w:rPr>
      </w:pPr>
    </w:p>
    <w:p>
      <w:pPr>
        <w:rPr>
          <w:color w:val="auto"/>
        </w:rPr>
      </w:pPr>
    </w:p>
    <w:p>
      <w:pPr>
        <w:numPr>
          <w:ilvl w:val="0"/>
          <w:numId w:val="10"/>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3"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29"/>
      <w:bookmarkEnd w:id="33"/>
      <w:bookmarkStart w:id="34" w:name="_Toc78299292"/>
      <w:bookmarkStart w:id="35" w:name="_Toc1458930"/>
      <w:bookmarkStart w:id="36" w:name="_Toc432753211"/>
    </w:p>
    <w:p>
      <w:pPr>
        <w:pStyle w:val="24"/>
        <w:numPr>
          <w:ilvl w:val="0"/>
          <w:numId w:val="0"/>
        </w:numPr>
        <w:rPr>
          <w:color w:val="auto"/>
          <w:lang w:val="hr-HR"/>
        </w:rPr>
      </w:pPr>
    </w:p>
    <w:bookmarkEnd w:id="34"/>
    <w:bookmarkEnd w:id="35"/>
    <w:bookmarkEnd w:id="36"/>
    <w:p>
      <w:pPr>
        <w:pStyle w:val="5"/>
        <w:pageBreakBefore w:val="0"/>
        <w:widowControl w:val="0"/>
        <w:numPr>
          <w:ilvl w:val="0"/>
          <w:numId w:val="11"/>
        </w:numPr>
        <w:kinsoku/>
        <w:wordWrap/>
        <w:overflowPunct/>
        <w:topLinePunct w:val="0"/>
        <w:autoSpaceDE/>
        <w:autoSpaceDN/>
        <w:bidi w:val="0"/>
        <w:adjustRightInd/>
        <w:snapToGrid/>
        <w:ind w:right="0" w:rightChars="0"/>
        <w:textAlignment w:val="auto"/>
        <w:rPr>
          <w:rFonts w:hint="eastAsia"/>
          <w:color w:val="auto"/>
        </w:rPr>
      </w:pPr>
      <w:bookmarkStart w:id="37" w:name="_Toc23295"/>
      <w:bookmarkStart w:id="38" w:name="_Toc2507"/>
      <w:r>
        <w:rPr>
          <w:rFonts w:hint="eastAsia"/>
          <w:color w:val="auto"/>
        </w:rPr>
        <w:t>采购清单</w:t>
      </w:r>
    </w:p>
    <w:tbl>
      <w:tblPr>
        <w:tblStyle w:val="42"/>
        <w:tblW w:w="5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382"/>
        <w:gridCol w:w="1020"/>
        <w:gridCol w:w="930"/>
        <w:gridCol w:w="400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355" w:type="pct"/>
            <w:noWrap w:val="0"/>
            <w:vAlign w:val="center"/>
          </w:tcPr>
          <w:p>
            <w:pPr>
              <w:snapToGrid/>
              <w:spacing w:before="0" w:beforeAutospacing="0" w:after="0" w:afterAutospacing="0" w:line="360" w:lineRule="auto"/>
              <w:jc w:val="center"/>
              <w:textAlignment w:val="baseline"/>
              <w:rPr>
                <w:rStyle w:val="193"/>
                <w:rFonts w:hint="default"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序号</w:t>
            </w:r>
          </w:p>
        </w:tc>
        <w:tc>
          <w:tcPr>
            <w:tcW w:w="1094" w:type="pct"/>
            <w:noWrap w:val="0"/>
            <w:vAlign w:val="center"/>
          </w:tcPr>
          <w:p>
            <w:pPr>
              <w:snapToGrid/>
              <w:spacing w:before="0" w:beforeAutospacing="0" w:after="0" w:afterAutospacing="0" w:line="360" w:lineRule="auto"/>
              <w:jc w:val="center"/>
              <w:textAlignment w:val="baseline"/>
              <w:rPr>
                <w:rStyle w:val="193"/>
                <w:rFonts w:hint="default"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产品及服务内容</w:t>
            </w:r>
          </w:p>
        </w:tc>
        <w:tc>
          <w:tcPr>
            <w:tcW w:w="468" w:type="pct"/>
            <w:noWrap w:val="0"/>
            <w:vAlign w:val="center"/>
          </w:tcPr>
          <w:p>
            <w:pPr>
              <w:snapToGrid/>
              <w:spacing w:before="0" w:beforeAutospacing="0" w:after="0" w:afterAutospacing="0" w:line="360" w:lineRule="auto"/>
              <w:jc w:val="center"/>
              <w:textAlignment w:val="baseline"/>
              <w:rPr>
                <w:rStyle w:val="193"/>
                <w:rFonts w:hint="default"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数量</w:t>
            </w:r>
          </w:p>
        </w:tc>
        <w:tc>
          <w:tcPr>
            <w:tcW w:w="427" w:type="pct"/>
            <w:noWrap w:val="0"/>
            <w:vAlign w:val="center"/>
          </w:tcPr>
          <w:p>
            <w:pPr>
              <w:snapToGrid/>
              <w:spacing w:before="0" w:beforeAutospacing="0" w:after="0" w:afterAutospacing="0" w:line="360" w:lineRule="auto"/>
              <w:jc w:val="center"/>
              <w:textAlignment w:val="baseline"/>
              <w:rPr>
                <w:rStyle w:val="193"/>
                <w:rFonts w:hint="default"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单位</w:t>
            </w:r>
          </w:p>
        </w:tc>
        <w:tc>
          <w:tcPr>
            <w:tcW w:w="1840" w:type="pct"/>
            <w:noWrap w:val="0"/>
            <w:vAlign w:val="center"/>
          </w:tcPr>
          <w:p>
            <w:pPr>
              <w:snapToGrid/>
              <w:spacing w:before="0" w:beforeAutospacing="0" w:after="0" w:afterAutospacing="0" w:line="360" w:lineRule="auto"/>
              <w:jc w:val="center"/>
              <w:textAlignment w:val="baseline"/>
              <w:rPr>
                <w:rStyle w:val="193"/>
                <w:rFonts w:hint="default"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要求/备注</w:t>
            </w:r>
          </w:p>
        </w:tc>
        <w:tc>
          <w:tcPr>
            <w:tcW w:w="813" w:type="pct"/>
            <w:noWrap w:val="0"/>
            <w:vAlign w:val="center"/>
          </w:tcPr>
          <w:p>
            <w:pPr>
              <w:snapToGrid/>
              <w:spacing w:before="0" w:beforeAutospacing="0" w:after="0" w:afterAutospacing="0" w:line="360" w:lineRule="auto"/>
              <w:jc w:val="center"/>
              <w:textAlignment w:val="baseline"/>
              <w:rPr>
                <w:rStyle w:val="193"/>
                <w:rFonts w:hint="eastAsia"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货物</w:t>
            </w:r>
          </w:p>
          <w:p>
            <w:pPr>
              <w:snapToGrid/>
              <w:spacing w:before="0" w:beforeAutospacing="0" w:after="0" w:afterAutospacing="0" w:line="360" w:lineRule="auto"/>
              <w:jc w:val="center"/>
              <w:textAlignment w:val="baseline"/>
              <w:rPr>
                <w:rStyle w:val="193"/>
                <w:rFonts w:hint="eastAsia" w:ascii="宋体" w:hAnsi="宋体"/>
                <w:b w:val="0"/>
                <w:i w:val="0"/>
                <w:caps w:val="0"/>
                <w:color w:val="auto"/>
                <w:spacing w:val="0"/>
                <w:w w:val="100"/>
                <w:kern w:val="2"/>
                <w:sz w:val="24"/>
                <w:szCs w:val="24"/>
                <w:lang w:val="en-US" w:eastAsia="zh-CN" w:bidi="ar-SA"/>
              </w:rPr>
            </w:pPr>
            <w:r>
              <w:rPr>
                <w:rStyle w:val="193"/>
                <w:rFonts w:hint="eastAsia" w:ascii="宋体" w:hAnsi="宋体"/>
                <w:b w:val="0"/>
                <w:i w:val="0"/>
                <w:caps w:val="0"/>
                <w:color w:val="auto"/>
                <w:spacing w:val="0"/>
                <w:w w:val="100"/>
                <w:kern w:val="2"/>
                <w:sz w:val="24"/>
                <w:szCs w:val="24"/>
                <w:lang w:val="en-US" w:eastAsia="zh-CN" w:bidi="ar-S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109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eastAsia="宋体"/>
                <w:bCs/>
                <w:sz w:val="21"/>
                <w:szCs w:val="21"/>
              </w:rPr>
              <w:t>7</w:t>
            </w:r>
            <w:r>
              <w:rPr>
                <w:rFonts w:ascii="宋体" w:hAnsi="宋体" w:eastAsia="宋体"/>
                <w:bCs/>
                <w:sz w:val="21"/>
                <w:szCs w:val="21"/>
              </w:rPr>
              <w:t>5</w:t>
            </w:r>
            <w:r>
              <w:rPr>
                <w:rFonts w:hint="eastAsia" w:ascii="宋体" w:hAnsi="宋体" w:eastAsia="宋体"/>
                <w:bCs/>
                <w:sz w:val="21"/>
                <w:szCs w:val="21"/>
              </w:rPr>
              <w:t>寸交互智能平板</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台</w:t>
            </w:r>
          </w:p>
        </w:tc>
        <w:tc>
          <w:tcPr>
            <w:tcW w:w="1840"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仿宋" w:hAnsi="仿宋" w:eastAsia="仿宋" w:cs="仿宋"/>
                <w:b/>
                <w:color w:val="000000"/>
                <w:sz w:val="22"/>
              </w:rPr>
              <w:t>节能产品</w:t>
            </w: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2</w:t>
            </w:r>
          </w:p>
        </w:tc>
        <w:tc>
          <w:tcPr>
            <w:tcW w:w="109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eastAsia="宋体"/>
                <w:bCs/>
                <w:sz w:val="21"/>
                <w:szCs w:val="21"/>
              </w:rPr>
              <w:t>内置电脑</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块</w:t>
            </w:r>
          </w:p>
        </w:tc>
        <w:tc>
          <w:tcPr>
            <w:tcW w:w="1840" w:type="pct"/>
            <w:noWrap w:val="0"/>
            <w:vAlign w:val="center"/>
          </w:tcPr>
          <w:p>
            <w:pPr>
              <w:spacing w:line="240" w:lineRule="auto"/>
              <w:jc w:val="both"/>
              <w:textAlignment w:val="center"/>
              <w:rPr>
                <w:rFonts w:hint="default"/>
                <w:color w:val="auto"/>
                <w:lang w:val="en-US" w:eastAsia="zh-CN"/>
              </w:rPr>
            </w:pPr>
            <w:r>
              <w:rPr>
                <w:rFonts w:hint="eastAsia" w:ascii="仿宋" w:hAnsi="仿宋" w:eastAsia="仿宋" w:cs="仿宋"/>
                <w:b/>
                <w:color w:val="000000"/>
                <w:sz w:val="22"/>
                <w:lang w:val="en-US" w:eastAsia="zh-CN"/>
              </w:rPr>
              <w:t>核心产品</w:t>
            </w: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109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eastAsia="宋体"/>
                <w:bCs/>
                <w:sz w:val="21"/>
                <w:szCs w:val="21"/>
              </w:rPr>
              <w:t>教学软件</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套</w:t>
            </w:r>
          </w:p>
        </w:tc>
        <w:tc>
          <w:tcPr>
            <w:tcW w:w="1840"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仿宋" w:hAnsi="仿宋" w:eastAsia="仿宋" w:cs="仿宋"/>
                <w:b/>
                <w:color w:val="000000"/>
                <w:sz w:val="22"/>
                <w:lang w:val="en-US" w:eastAsia="zh-CN"/>
              </w:rPr>
              <w:t>核心产品</w:t>
            </w: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109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eastAsia="宋体"/>
                <w:bCs/>
                <w:sz w:val="21"/>
                <w:szCs w:val="21"/>
              </w:rPr>
              <w:t>实物展台</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台</w:t>
            </w:r>
          </w:p>
        </w:tc>
        <w:tc>
          <w:tcPr>
            <w:tcW w:w="1840"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仿宋" w:hAnsi="仿宋" w:eastAsia="仿宋" w:cs="仿宋"/>
                <w:b/>
                <w:color w:val="000000"/>
                <w:sz w:val="22"/>
                <w:lang w:val="en-US" w:eastAsia="zh-CN"/>
              </w:rPr>
              <w:t>核心产品</w:t>
            </w: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w:t>
            </w:r>
          </w:p>
        </w:tc>
        <w:tc>
          <w:tcPr>
            <w:tcW w:w="109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eastAsia="宋体"/>
                <w:bCs/>
                <w:sz w:val="21"/>
                <w:szCs w:val="21"/>
              </w:rPr>
              <w:t>推拉搪瓷板</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套</w:t>
            </w:r>
          </w:p>
        </w:tc>
        <w:tc>
          <w:tcPr>
            <w:tcW w:w="1840"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1094"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eastAsia="宋体" w:cs="仿宋"/>
                <w:color w:val="000000"/>
                <w:kern w:val="0"/>
                <w:sz w:val="21"/>
                <w:szCs w:val="21"/>
              </w:rPr>
              <w:t>安装服务及辅助材料</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套</w:t>
            </w:r>
          </w:p>
        </w:tc>
        <w:tc>
          <w:tcPr>
            <w:tcW w:w="1840" w:type="pct"/>
            <w:noWrap w:val="0"/>
            <w:vAlign w:val="center"/>
          </w:tcPr>
          <w:p>
            <w:pPr>
              <w:snapToGrid/>
              <w:spacing w:before="0" w:beforeAutospacing="0" w:after="0" w:afterAutospacing="0" w:line="360" w:lineRule="auto"/>
              <w:jc w:val="both"/>
              <w:textAlignment w:val="baseline"/>
              <w:rPr>
                <w:rFonts w:hint="default" w:ascii="宋体" w:hAnsi="宋体" w:eastAsiaTheme="minorEastAsia" w:cstheme="minorBidi"/>
                <w:color w:val="auto"/>
                <w:kern w:val="2"/>
                <w:sz w:val="24"/>
                <w:szCs w:val="24"/>
                <w:lang w:val="en-US" w:eastAsia="zh-CN" w:bidi="ar-SA"/>
              </w:rPr>
            </w:pP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5"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1094"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eastAsia="宋体"/>
                <w:bCs/>
                <w:sz w:val="21"/>
                <w:szCs w:val="21"/>
              </w:rPr>
              <w:t>学生课桌椅</w:t>
            </w:r>
          </w:p>
        </w:tc>
        <w:tc>
          <w:tcPr>
            <w:tcW w:w="468"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400</w:t>
            </w:r>
          </w:p>
        </w:tc>
        <w:tc>
          <w:tcPr>
            <w:tcW w:w="427" w:type="pct"/>
            <w:noWrap w:val="0"/>
            <w:vAlign w:val="center"/>
          </w:tcPr>
          <w:p>
            <w:pPr>
              <w:snapToGrid/>
              <w:spacing w:before="0" w:beforeAutospacing="0" w:after="0" w:afterAutospacing="0" w:line="360" w:lineRule="auto"/>
              <w:ind w:firstLine="240" w:firstLineChars="100"/>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套</w:t>
            </w:r>
          </w:p>
        </w:tc>
        <w:tc>
          <w:tcPr>
            <w:tcW w:w="1840" w:type="pct"/>
            <w:noWrap w:val="0"/>
            <w:vAlign w:val="center"/>
          </w:tcPr>
          <w:p>
            <w:pPr>
              <w:pStyle w:val="38"/>
              <w:keepNext w:val="0"/>
              <w:keepLines w:val="0"/>
              <w:widowControl w:val="0"/>
              <w:suppressLineNumbers w:val="0"/>
              <w:spacing w:before="0" w:beforeAutospacing="0" w:after="0" w:afterAutospacing="0"/>
              <w:ind w:left="0" w:leftChars="0" w:right="0" w:rightChars="0" w:firstLine="0" w:firstLineChars="0"/>
              <w:jc w:val="left"/>
              <w:rPr>
                <w:rFonts w:hint="default" w:ascii="宋体" w:hAnsi="宋体" w:eastAsiaTheme="minorEastAsia" w:cstheme="minorBidi"/>
                <w:color w:val="auto"/>
                <w:kern w:val="2"/>
                <w:sz w:val="24"/>
                <w:szCs w:val="24"/>
                <w:lang w:val="en-US" w:eastAsia="zh-CN" w:bidi="ar-SA"/>
              </w:rPr>
            </w:pPr>
            <w:r>
              <w:rPr>
                <w:rFonts w:hint="eastAsia" w:ascii="仿宋" w:hAnsi="仿宋" w:eastAsia="仿宋" w:cs="仿宋"/>
                <w:b/>
                <w:color w:val="000000"/>
                <w:sz w:val="22"/>
                <w:lang w:val="en-US" w:eastAsia="zh-CN"/>
              </w:rPr>
              <w:t>核心产品</w:t>
            </w:r>
          </w:p>
        </w:tc>
        <w:tc>
          <w:tcPr>
            <w:tcW w:w="813" w:type="pct"/>
            <w:noWrap w:val="0"/>
            <w:vAlign w:val="center"/>
          </w:tcPr>
          <w:p>
            <w:pPr>
              <w:snapToGrid/>
              <w:spacing w:before="0" w:beforeAutospacing="0" w:after="0" w:afterAutospacing="0" w:line="360" w:lineRule="auto"/>
              <w:ind w:firstLine="480" w:firstLineChars="200"/>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9" w:type="pct"/>
            <w:gridSpan w:val="2"/>
            <w:noWrap w:val="0"/>
            <w:vAlign w:val="center"/>
          </w:tcPr>
          <w:p>
            <w:pPr>
              <w:snapToGrid/>
              <w:spacing w:before="0" w:beforeAutospacing="0" w:after="0" w:afterAutospacing="0" w:line="360" w:lineRule="auto"/>
              <w:ind w:firstLine="632" w:firstLineChars="300"/>
              <w:jc w:val="both"/>
              <w:textAlignment w:val="baseline"/>
              <w:rPr>
                <w:rFonts w:hint="eastAsia" w:ascii="宋体" w:hAnsi="宋体" w:eastAsia="宋体"/>
                <w:bCs/>
                <w:sz w:val="21"/>
                <w:szCs w:val="21"/>
                <w:lang w:eastAsia="zh-CN"/>
              </w:rPr>
            </w:pPr>
            <w:r>
              <w:rPr>
                <w:rFonts w:hint="eastAsia" w:ascii="宋体" w:hAnsi="宋体" w:eastAsia="宋体"/>
                <w:b/>
                <w:bCs w:val="0"/>
                <w:sz w:val="21"/>
                <w:szCs w:val="21"/>
                <w:lang w:eastAsia="zh-CN"/>
              </w:rPr>
              <w:t>项目工期</w:t>
            </w:r>
          </w:p>
        </w:tc>
        <w:tc>
          <w:tcPr>
            <w:tcW w:w="3550" w:type="pct"/>
            <w:gridSpan w:val="4"/>
            <w:noWrap w:val="0"/>
            <w:vAlign w:val="center"/>
          </w:tcPr>
          <w:p>
            <w:pPr>
              <w:snapToGrid/>
              <w:spacing w:before="0" w:beforeAutospacing="0" w:after="0" w:afterAutospacing="0" w:line="360" w:lineRule="auto"/>
              <w:ind w:firstLine="482" w:firstLineChars="200"/>
              <w:jc w:val="both"/>
              <w:textAlignment w:val="baseline"/>
              <w:rPr>
                <w:rFonts w:hint="eastAsia" w:ascii="宋体" w:hAnsi="宋体"/>
                <w:color w:val="auto"/>
                <w:sz w:val="24"/>
                <w:szCs w:val="24"/>
                <w:lang w:val="en-US" w:eastAsia="zh-CN"/>
              </w:rPr>
            </w:pPr>
            <w:r>
              <w:rPr>
                <w:rFonts w:hint="eastAsia" w:ascii="仿宋" w:hAnsi="仿宋" w:eastAsia="仿宋" w:cs="仿宋"/>
                <w:b/>
                <w:sz w:val="24"/>
                <w:szCs w:val="24"/>
              </w:rPr>
              <w:t>合同签订之日起</w:t>
            </w:r>
            <w:r>
              <w:rPr>
                <w:rFonts w:hint="eastAsia" w:ascii="仿宋" w:hAnsi="仿宋" w:eastAsia="仿宋" w:cs="仿宋"/>
                <w:b/>
                <w:sz w:val="24"/>
                <w:szCs w:val="24"/>
                <w:lang w:val="en-US" w:eastAsia="zh-CN"/>
              </w:rPr>
              <w:t>30</w:t>
            </w:r>
            <w:r>
              <w:rPr>
                <w:rFonts w:hint="eastAsia" w:ascii="仿宋" w:hAnsi="仿宋" w:eastAsia="仿宋" w:cs="仿宋"/>
                <w:b/>
                <w:sz w:val="24"/>
                <w:szCs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9" w:type="pct"/>
            <w:gridSpan w:val="2"/>
            <w:noWrap w:val="0"/>
            <w:vAlign w:val="center"/>
          </w:tcPr>
          <w:p>
            <w:pPr>
              <w:snapToGrid/>
              <w:spacing w:before="0" w:beforeAutospacing="0" w:after="0" w:afterAutospacing="0" w:line="360" w:lineRule="auto"/>
              <w:ind w:firstLine="632" w:firstLineChars="300"/>
              <w:jc w:val="both"/>
              <w:textAlignment w:val="baseline"/>
              <w:rPr>
                <w:rFonts w:hint="default" w:ascii="宋体" w:hAnsi="宋体" w:eastAsia="宋体"/>
                <w:b/>
                <w:bCs w:val="0"/>
                <w:sz w:val="21"/>
                <w:szCs w:val="21"/>
                <w:lang w:val="en-US" w:eastAsia="zh-CN"/>
              </w:rPr>
            </w:pPr>
            <w:r>
              <w:rPr>
                <w:rFonts w:hint="eastAsia" w:ascii="宋体" w:hAnsi="宋体" w:eastAsia="宋体"/>
                <w:b/>
                <w:bCs w:val="0"/>
                <w:sz w:val="21"/>
                <w:szCs w:val="21"/>
                <w:lang w:eastAsia="zh-CN"/>
              </w:rPr>
              <w:t>质保期</w:t>
            </w:r>
          </w:p>
        </w:tc>
        <w:tc>
          <w:tcPr>
            <w:tcW w:w="3550" w:type="pct"/>
            <w:gridSpan w:val="4"/>
            <w:noWrap w:val="0"/>
            <w:vAlign w:val="center"/>
          </w:tcPr>
          <w:p>
            <w:pPr>
              <w:snapToGrid/>
              <w:spacing w:before="0" w:beforeAutospacing="0" w:after="0" w:afterAutospacing="0" w:line="360" w:lineRule="auto"/>
              <w:ind w:firstLine="482" w:firstLineChars="200"/>
              <w:jc w:val="both"/>
              <w:textAlignment w:val="baseline"/>
              <w:rPr>
                <w:rFonts w:hint="eastAsia" w:ascii="宋体" w:hAnsi="宋体"/>
                <w:color w:val="auto"/>
                <w:sz w:val="24"/>
                <w:szCs w:val="24"/>
                <w:lang w:val="en-US" w:eastAsia="zh-CN"/>
              </w:rPr>
            </w:pPr>
            <w:r>
              <w:rPr>
                <w:rFonts w:hint="eastAsia" w:ascii="仿宋" w:hAnsi="仿宋" w:eastAsia="仿宋" w:cs="仿宋"/>
                <w:b/>
                <w:sz w:val="24"/>
                <w:szCs w:val="24"/>
              </w:rPr>
              <w:t xml:space="preserve">采购人验收合格之日起 </w:t>
            </w:r>
            <w:r>
              <w:rPr>
                <w:rFonts w:hint="eastAsia" w:ascii="仿宋" w:hAnsi="仿宋" w:eastAsia="仿宋" w:cs="仿宋"/>
                <w:b/>
                <w:sz w:val="24"/>
                <w:szCs w:val="24"/>
                <w:u w:val="single"/>
              </w:rPr>
              <w:t>3</w:t>
            </w:r>
            <w:r>
              <w:rPr>
                <w:rFonts w:hint="eastAsia" w:ascii="仿宋" w:hAnsi="仿宋" w:eastAsia="仿宋" w:cs="仿宋"/>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9" w:type="pct"/>
            <w:gridSpan w:val="2"/>
            <w:noWrap w:val="0"/>
            <w:vAlign w:val="center"/>
          </w:tcPr>
          <w:p>
            <w:pPr>
              <w:snapToGrid/>
              <w:spacing w:before="0" w:beforeAutospacing="0" w:after="0" w:afterAutospacing="0" w:line="360" w:lineRule="auto"/>
              <w:ind w:firstLine="632" w:firstLineChars="300"/>
              <w:jc w:val="both"/>
              <w:textAlignment w:val="baseline"/>
              <w:rPr>
                <w:rFonts w:hint="eastAsia" w:ascii="宋体" w:hAnsi="宋体" w:eastAsia="宋体"/>
                <w:b/>
                <w:bCs w:val="0"/>
                <w:sz w:val="21"/>
                <w:szCs w:val="21"/>
                <w:lang w:val="en-US" w:eastAsia="zh-CN"/>
              </w:rPr>
            </w:pPr>
            <w:r>
              <w:rPr>
                <w:rFonts w:hint="eastAsia" w:ascii="宋体" w:hAnsi="宋体" w:eastAsia="宋体"/>
                <w:b/>
                <w:bCs w:val="0"/>
                <w:sz w:val="21"/>
                <w:szCs w:val="21"/>
                <w:lang w:eastAsia="zh-CN"/>
              </w:rPr>
              <w:t>节能产品</w:t>
            </w:r>
          </w:p>
        </w:tc>
        <w:tc>
          <w:tcPr>
            <w:tcW w:w="3550" w:type="pct"/>
            <w:gridSpan w:val="4"/>
            <w:noWrap w:val="0"/>
            <w:vAlign w:val="center"/>
          </w:tcPr>
          <w:p>
            <w:pPr>
              <w:snapToGrid/>
              <w:spacing w:before="0" w:beforeAutospacing="0" w:after="0" w:afterAutospacing="0" w:line="360" w:lineRule="auto"/>
              <w:ind w:firstLine="482" w:firstLineChars="200"/>
              <w:jc w:val="both"/>
              <w:textAlignment w:val="baseline"/>
              <w:rPr>
                <w:rFonts w:hint="eastAsia" w:ascii="仿宋" w:hAnsi="仿宋" w:eastAsia="仿宋" w:cs="仿宋"/>
                <w:b/>
                <w:sz w:val="24"/>
                <w:szCs w:val="24"/>
              </w:rPr>
            </w:pPr>
            <w:r>
              <w:rPr>
                <w:rFonts w:hint="eastAsia" w:ascii="仿宋" w:hAnsi="仿宋" w:eastAsia="仿宋" w:cs="仿宋"/>
                <w:b/>
                <w:kern w:val="0"/>
                <w:sz w:val="24"/>
                <w:szCs w:val="24"/>
              </w:rPr>
              <w:t>注明“节能产品”的为强制采购节能产品。依据财库【2019】9号文的规定，提供国家确定的认证机构出具的节能产品认证证书。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9" w:type="pct"/>
            <w:gridSpan w:val="2"/>
            <w:noWrap w:val="0"/>
            <w:vAlign w:val="center"/>
          </w:tcPr>
          <w:p>
            <w:pPr>
              <w:snapToGrid/>
              <w:spacing w:before="0" w:beforeAutospacing="0" w:after="0" w:afterAutospacing="0" w:line="360" w:lineRule="auto"/>
              <w:ind w:firstLine="632" w:firstLineChars="300"/>
              <w:jc w:val="both"/>
              <w:textAlignment w:val="baseline"/>
              <w:rPr>
                <w:rFonts w:hint="eastAsia" w:ascii="宋体" w:hAnsi="宋体" w:eastAsia="宋体"/>
                <w:b/>
                <w:bCs w:val="0"/>
                <w:sz w:val="21"/>
                <w:szCs w:val="21"/>
                <w:lang w:eastAsia="zh-CN"/>
              </w:rPr>
            </w:pPr>
            <w:r>
              <w:rPr>
                <w:rFonts w:hint="eastAsia" w:ascii="宋体" w:hAnsi="宋体" w:eastAsia="宋体" w:cs="宋体"/>
                <w:b/>
                <w:color w:val="000000"/>
                <w:sz w:val="21"/>
                <w:szCs w:val="21"/>
              </w:rPr>
              <w:t>核心产品</w:t>
            </w:r>
          </w:p>
        </w:tc>
        <w:tc>
          <w:tcPr>
            <w:tcW w:w="3550" w:type="pct"/>
            <w:gridSpan w:val="4"/>
            <w:noWrap w:val="0"/>
            <w:vAlign w:val="center"/>
          </w:tcPr>
          <w:p>
            <w:pPr>
              <w:snapToGrid/>
              <w:spacing w:before="0" w:beforeAutospacing="0" w:after="0" w:afterAutospacing="0" w:line="360" w:lineRule="auto"/>
              <w:ind w:firstLine="480" w:firstLineChars="200"/>
              <w:jc w:val="both"/>
              <w:textAlignment w:val="baseline"/>
              <w:rPr>
                <w:rFonts w:hint="eastAsia" w:ascii="仿宋" w:hAnsi="仿宋" w:eastAsia="仿宋" w:cs="仿宋"/>
                <w:b/>
                <w:kern w:val="0"/>
                <w:sz w:val="24"/>
                <w:szCs w:val="24"/>
              </w:rPr>
            </w:pPr>
            <w:r>
              <w:rPr>
                <w:rFonts w:hint="eastAsia" w:ascii="宋体" w:hAnsi="宋体" w:eastAsia="宋体" w:cs="宋体"/>
                <w:color w:val="000000"/>
                <w:kern w:val="0"/>
                <w:sz w:val="24"/>
                <w:szCs w:val="24"/>
              </w:rPr>
              <w:t>注明“核心产品”的，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tc>
      </w:tr>
    </w:tbl>
    <w:p>
      <w:pPr>
        <w:pStyle w:val="5"/>
        <w:pageBreakBefore w:val="0"/>
        <w:widowControl w:val="0"/>
        <w:numPr>
          <w:ilvl w:val="0"/>
          <w:numId w:val="11"/>
        </w:numPr>
        <w:kinsoku/>
        <w:wordWrap/>
        <w:overflowPunct/>
        <w:topLinePunct w:val="0"/>
        <w:autoSpaceDE/>
        <w:autoSpaceDN/>
        <w:bidi w:val="0"/>
        <w:adjustRightInd/>
        <w:snapToGrid/>
        <w:ind w:left="432" w:leftChars="0" w:right="0" w:rightChars="0" w:hanging="432" w:firstLineChars="0"/>
        <w:textAlignment w:val="auto"/>
        <w:rPr>
          <w:rFonts w:hint="eastAsia"/>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bookmarkStart w:id="39" w:name="_Toc494721083"/>
      <w:bookmarkStart w:id="40" w:name="_Toc509992675"/>
      <w:bookmarkStart w:id="41" w:name="_Toc509997287"/>
      <w:bookmarkStart w:id="42" w:name="_Toc494745300"/>
      <w:bookmarkStart w:id="43" w:name="_Toc494665933"/>
      <w:bookmarkStart w:id="44" w:name="_Toc494664983"/>
      <w:bookmarkStart w:id="45" w:name="_Toc75007954"/>
      <w:bookmarkStart w:id="46" w:name="_Toc494665536"/>
      <w:bookmarkStart w:id="47" w:name="_Toc494702253"/>
      <w:bookmarkStart w:id="48" w:name="_Toc1421486"/>
      <w:bookmarkStart w:id="49" w:name="_Toc1458934"/>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为提高教育教学信息化水平，根据学校实际情况，经教育局批准，启动</w:t>
      </w:r>
      <w:r>
        <w:rPr>
          <w:rFonts w:hint="eastAsia" w:ascii="宋体" w:hAnsi="宋体" w:eastAsia="宋体" w:cs="宋体"/>
          <w:sz w:val="24"/>
          <w:szCs w:val="24"/>
          <w:lang w:eastAsia="zh-CN"/>
        </w:rPr>
        <w:t>随县</w:t>
      </w:r>
      <w:r>
        <w:rPr>
          <w:rFonts w:hint="eastAsia" w:ascii="宋体" w:hAnsi="宋体" w:eastAsia="宋体" w:cs="宋体"/>
          <w:sz w:val="24"/>
          <w:szCs w:val="24"/>
        </w:rPr>
        <w:t>教育局电教站</w:t>
      </w:r>
      <w:r>
        <w:rPr>
          <w:rFonts w:hint="eastAsia" w:ascii="宋体" w:hAnsi="宋体" w:eastAsia="宋体" w:cs="宋体"/>
          <w:sz w:val="24"/>
          <w:szCs w:val="24"/>
          <w:lang w:eastAsia="zh-CN"/>
        </w:rPr>
        <w:t>教学设备、学生课桌椅</w:t>
      </w:r>
      <w:r>
        <w:rPr>
          <w:rFonts w:hint="eastAsia" w:ascii="宋体" w:hAnsi="宋体" w:eastAsia="宋体" w:cs="宋体"/>
          <w:sz w:val="24"/>
          <w:szCs w:val="24"/>
        </w:rPr>
        <w:t>等采购项目</w:t>
      </w:r>
      <w:r>
        <w:rPr>
          <w:rFonts w:hint="eastAsia" w:ascii="宋体" w:hAnsi="宋体" w:eastAsia="宋体" w:cs="宋体"/>
          <w:sz w:val="24"/>
          <w:szCs w:val="24"/>
          <w:lang w:eastAsia="zh-CN"/>
        </w:rPr>
        <w:t>。</w:t>
      </w:r>
    </w:p>
    <w:p>
      <w:pPr>
        <w:ind w:firstLine="480" w:firstLineChars="200"/>
        <w:rPr>
          <w:rFonts w:hint="eastAsia"/>
          <w:lang w:val="en-US" w:eastAsia="zh-CN"/>
        </w:rPr>
      </w:pPr>
      <w:r>
        <w:rPr>
          <w:rFonts w:hint="eastAsia" w:ascii="宋体" w:hAnsi="宋体" w:eastAsia="宋体" w:cs="宋体"/>
          <w:sz w:val="24"/>
          <w:szCs w:val="24"/>
        </w:rPr>
        <w:t>本项目由随州市</w:t>
      </w:r>
      <w:r>
        <w:rPr>
          <w:rFonts w:hint="eastAsia" w:ascii="宋体" w:hAnsi="宋体" w:eastAsia="宋体" w:cs="宋体"/>
          <w:sz w:val="24"/>
          <w:szCs w:val="24"/>
          <w:lang w:eastAsia="zh-CN"/>
        </w:rPr>
        <w:t>随县</w:t>
      </w:r>
      <w:r>
        <w:rPr>
          <w:rFonts w:hint="eastAsia" w:ascii="宋体" w:hAnsi="宋体" w:eastAsia="宋体" w:cs="宋体"/>
          <w:sz w:val="24"/>
          <w:szCs w:val="24"/>
        </w:rPr>
        <w:t>教育局电教站发起， 已于2022年0</w:t>
      </w:r>
      <w:r>
        <w:rPr>
          <w:rFonts w:hint="eastAsia" w:ascii="宋体" w:hAnsi="宋体" w:eastAsia="宋体" w:cs="宋体"/>
          <w:sz w:val="24"/>
          <w:szCs w:val="24"/>
          <w:lang w:val="en-US" w:eastAsia="zh-CN"/>
        </w:rPr>
        <w:t>8</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日进行了相关批复（文号：[2022-0</w:t>
      </w:r>
      <w:r>
        <w:rPr>
          <w:rFonts w:hint="eastAsia" w:ascii="宋体" w:hAnsi="宋体" w:eastAsia="宋体" w:cs="宋体"/>
          <w:sz w:val="24"/>
          <w:szCs w:val="24"/>
          <w:lang w:val="en-US" w:eastAsia="zh-CN"/>
        </w:rPr>
        <w:t>8</w:t>
      </w:r>
      <w:r>
        <w:rPr>
          <w:rFonts w:hint="eastAsia" w:ascii="宋体" w:hAnsi="宋体" w:eastAsia="宋体" w:cs="宋体"/>
          <w:sz w:val="24"/>
          <w:szCs w:val="24"/>
        </w:rPr>
        <w:t>-00</w:t>
      </w:r>
      <w:r>
        <w:rPr>
          <w:rFonts w:hint="eastAsia" w:ascii="宋体" w:hAnsi="宋体" w:eastAsia="宋体" w:cs="宋体"/>
          <w:sz w:val="24"/>
          <w:szCs w:val="24"/>
          <w:lang w:val="en-US" w:eastAsia="zh-CN"/>
        </w:rPr>
        <w:t>6727</w:t>
      </w:r>
      <w:r>
        <w:rPr>
          <w:rFonts w:hint="eastAsia" w:ascii="宋体" w:hAnsi="宋体" w:eastAsia="宋体" w:cs="宋体"/>
          <w:sz w:val="24"/>
          <w:szCs w:val="24"/>
        </w:rPr>
        <w:t>]），拟采用</w:t>
      </w:r>
      <w:r>
        <w:rPr>
          <w:rFonts w:hint="eastAsia" w:ascii="宋体" w:hAnsi="宋体" w:eastAsia="宋体" w:cs="宋体"/>
          <w:b/>
          <w:sz w:val="24"/>
          <w:szCs w:val="24"/>
          <w:lang w:eastAsia="zh-CN"/>
        </w:rPr>
        <w:t>竞争性磋商</w:t>
      </w:r>
      <w:r>
        <w:rPr>
          <w:rFonts w:hint="eastAsia" w:ascii="宋体" w:hAnsi="宋体" w:eastAsia="宋体" w:cs="宋体"/>
          <w:sz w:val="24"/>
          <w:szCs w:val="24"/>
        </w:rPr>
        <w:t>方式进行采购。</w:t>
      </w:r>
    </w:p>
    <w:bookmarkEnd w:id="39"/>
    <w:bookmarkEnd w:id="40"/>
    <w:bookmarkEnd w:id="41"/>
    <w:bookmarkEnd w:id="42"/>
    <w:bookmarkEnd w:id="43"/>
    <w:bookmarkEnd w:id="44"/>
    <w:bookmarkEnd w:id="45"/>
    <w:bookmarkEnd w:id="46"/>
    <w:bookmarkEnd w:id="47"/>
    <w:bookmarkEnd w:id="48"/>
    <w:bookmarkEnd w:id="49"/>
    <w:p>
      <w:pPr>
        <w:pStyle w:val="5"/>
        <w:pageBreakBefore w:val="0"/>
        <w:widowControl w:val="0"/>
        <w:numPr>
          <w:ilvl w:val="0"/>
          <w:numId w:val="11"/>
        </w:numPr>
        <w:kinsoku/>
        <w:wordWrap/>
        <w:overflowPunct/>
        <w:topLinePunct w:val="0"/>
        <w:autoSpaceDE/>
        <w:autoSpaceDN/>
        <w:bidi w:val="0"/>
        <w:adjustRightInd/>
        <w:snapToGrid/>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国家相关行政主管部门颁布的标准、规范</w:t>
      </w:r>
    </w:p>
    <w:p>
      <w:pPr>
        <w:snapToGrid/>
        <w:spacing w:before="0" w:beforeAutospacing="0" w:after="0" w:afterAutospacing="0" w:line="240" w:lineRule="auto"/>
        <w:ind w:firstLine="480" w:firstLineChars="200"/>
        <w:jc w:val="both"/>
        <w:textAlignment w:val="baseline"/>
        <w:rPr>
          <w:rFonts w:hint="eastAsia"/>
          <w:lang w:val="en-US" w:eastAsia="zh-CN"/>
        </w:rPr>
      </w:pPr>
      <w:r>
        <w:rPr>
          <w:rStyle w:val="193"/>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3"/>
          <w:rFonts w:hint="eastAsia" w:asciiTheme="minorEastAsia" w:hAnsiTheme="minorEastAsia" w:cstheme="minorEastAsia"/>
          <w:b w:val="0"/>
          <w:i w:val="0"/>
          <w:caps w:val="0"/>
          <w:spacing w:val="0"/>
          <w:w w:val="100"/>
          <w:kern w:val="2"/>
          <w:sz w:val="24"/>
          <w:szCs w:val="24"/>
          <w:lang w:val="zh-CN" w:eastAsia="zh-CN" w:bidi="ar-SA"/>
        </w:rPr>
        <w:t>。</w:t>
      </w:r>
    </w:p>
    <w:p>
      <w:pPr>
        <w:pStyle w:val="5"/>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pPr>
        <w:keepNext w:val="0"/>
        <w:keepLines w:val="0"/>
        <w:pageBreakBefore w:val="0"/>
        <w:widowControl w:val="0"/>
        <w:kinsoku/>
        <w:wordWrap/>
        <w:overflowPunct/>
        <w:topLinePunct w:val="0"/>
        <w:bidi w:val="0"/>
        <w:adjustRightInd/>
        <w:snapToGrid/>
        <w:spacing w:line="360" w:lineRule="auto"/>
        <w:ind w:left="773" w:leftChars="26" w:right="0" w:rightChars="0" w:hanging="718"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1、投标人在投标文件《技术、服务要求响应、偏离说明表》中未对以下技术、</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773" w:leftChars="368" w:right="0" w:rightChars="0" w:firstLine="2" w:firstLineChars="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840" w:firstLineChars="350"/>
        <w:textAlignment w:val="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p>
    <w:tbl>
      <w:tblPr>
        <w:tblStyle w:val="42"/>
        <w:tblW w:w="9787"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656"/>
        <w:gridCol w:w="772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75" w:type="dxa"/>
            <w:noWrap/>
            <w:tcMar>
              <w:top w:w="15" w:type="dxa"/>
              <w:left w:w="15" w:type="dxa"/>
              <w:bottom w:w="0" w:type="dxa"/>
              <w:right w:w="15" w:type="dxa"/>
            </w:tcMar>
            <w:vAlign w:val="center"/>
          </w:tcPr>
          <w:p>
            <w:pPr>
              <w:jc w:val="center"/>
              <w:rPr>
                <w:rFonts w:hint="eastAsia" w:ascii="黑体" w:hAnsi="黑体" w:eastAsia="黑体" w:cs="黑体"/>
                <w:sz w:val="24"/>
                <w:szCs w:val="24"/>
              </w:rPr>
            </w:pPr>
            <w:bookmarkStart w:id="50" w:name="_Toc1458936"/>
            <w:bookmarkStart w:id="51" w:name="_Toc75007956"/>
            <w:r>
              <w:rPr>
                <w:rFonts w:hint="eastAsia" w:ascii="黑体" w:hAnsi="黑体" w:eastAsia="黑体" w:cs="黑体"/>
                <w:sz w:val="24"/>
                <w:szCs w:val="24"/>
              </w:rPr>
              <w:t>序号</w:t>
            </w:r>
          </w:p>
        </w:tc>
        <w:tc>
          <w:tcPr>
            <w:tcW w:w="656" w:type="dxa"/>
            <w:noWrap/>
            <w:tcMar>
              <w:top w:w="15" w:type="dxa"/>
              <w:left w:w="15" w:type="dxa"/>
              <w:bottom w:w="0" w:type="dxa"/>
              <w:right w:w="1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名称</w:t>
            </w:r>
          </w:p>
        </w:tc>
        <w:tc>
          <w:tcPr>
            <w:tcW w:w="7725" w:type="dxa"/>
            <w:noWrap/>
            <w:tcMar>
              <w:top w:w="15" w:type="dxa"/>
              <w:left w:w="15" w:type="dxa"/>
              <w:bottom w:w="0" w:type="dxa"/>
              <w:right w:w="15" w:type="dxa"/>
            </w:tcMar>
            <w:vAlign w:val="center"/>
          </w:tcPr>
          <w:p>
            <w:pPr>
              <w:jc w:val="center"/>
              <w:rPr>
                <w:rFonts w:hint="eastAsia" w:ascii="黑体" w:hAnsi="黑体" w:eastAsia="黑体" w:cs="黑体"/>
                <w:sz w:val="24"/>
                <w:szCs w:val="24"/>
              </w:rPr>
            </w:pPr>
            <w:r>
              <w:rPr>
                <w:rFonts w:hint="eastAsia" w:ascii="黑体" w:hAnsi="黑体" w:eastAsia="黑体" w:cs="黑体"/>
                <w:b/>
                <w:sz w:val="24"/>
                <w:szCs w:val="24"/>
              </w:rPr>
              <w:t>功能及技术参数</w:t>
            </w:r>
          </w:p>
        </w:tc>
        <w:tc>
          <w:tcPr>
            <w:tcW w:w="731" w:type="dxa"/>
            <w:noWrap/>
            <w:tcMar>
              <w:top w:w="15" w:type="dxa"/>
              <w:left w:w="15" w:type="dxa"/>
              <w:bottom w:w="0" w:type="dxa"/>
              <w:right w:w="15" w:type="dxa"/>
            </w:tcMar>
            <w:vAlign w:val="center"/>
          </w:tcPr>
          <w:p>
            <w:pPr>
              <w:widowControl/>
              <w:spacing w:line="360" w:lineRule="auto"/>
              <w:jc w:val="center"/>
              <w:rPr>
                <w:rFonts w:hint="eastAsia" w:ascii="黑体" w:hAnsi="黑体" w:eastAsia="黑体" w:cs="黑体"/>
                <w:sz w:val="24"/>
                <w:szCs w:val="24"/>
              </w:rPr>
            </w:pPr>
            <w:r>
              <w:rPr>
                <w:rFonts w:hint="eastAsia" w:ascii="黑体" w:hAnsi="黑体" w:eastAsia="黑体" w:cs="黑体"/>
                <w:b/>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1</w:t>
            </w:r>
          </w:p>
        </w:tc>
        <w:tc>
          <w:tcPr>
            <w:tcW w:w="656" w:type="dxa"/>
            <w:noWrap/>
            <w:tcMar>
              <w:top w:w="15" w:type="dxa"/>
              <w:left w:w="15" w:type="dxa"/>
              <w:bottom w:w="0" w:type="dxa"/>
              <w:right w:w="15" w:type="dxa"/>
            </w:tcMar>
            <w:textDirection w:val="tbRl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b w:val="0"/>
                <w:bCs w:val="0"/>
                <w:sz w:val="24"/>
                <w:szCs w:val="24"/>
              </w:rPr>
              <w:t>75寸交互智能平板</w:t>
            </w:r>
          </w:p>
        </w:tc>
        <w:tc>
          <w:tcPr>
            <w:tcW w:w="7725" w:type="dxa"/>
            <w:noWrap w:val="0"/>
            <w:tcMar>
              <w:top w:w="15" w:type="dxa"/>
              <w:left w:w="15" w:type="dxa"/>
              <w:bottom w:w="0" w:type="dxa"/>
              <w:right w:w="15" w:type="dxa"/>
            </w:tcMar>
            <w:vAlign w:val="center"/>
          </w:tcPr>
          <w:p>
            <w:pPr>
              <w:widowControl/>
              <w:jc w:val="left"/>
              <w:rPr>
                <w:rFonts w:ascii="宋体" w:hAnsi="宋体" w:eastAsia="宋体"/>
                <w:color w:val="000000" w:themeColor="text1"/>
                <w:kern w:val="0"/>
                <w:sz w:val="21"/>
                <w:szCs w:val="21"/>
                <w14:textFill>
                  <w14:solidFill>
                    <w14:schemeClr w14:val="tx1"/>
                  </w14:solidFill>
                </w14:textFill>
              </w:rPr>
            </w:pPr>
            <w:r>
              <w:rPr>
                <w:rFonts w:hint="eastAsia" w:ascii="宋体" w:hAnsi="宋体" w:eastAsia="宋体"/>
                <w:b/>
                <w:bCs/>
                <w:color w:val="000000" w:themeColor="text1"/>
                <w:kern w:val="0"/>
                <w:sz w:val="21"/>
                <w:szCs w:val="21"/>
                <w14:textFill>
                  <w14:solidFill>
                    <w14:schemeClr w14:val="tx1"/>
                  </w14:solidFill>
                </w14:textFill>
              </w:rPr>
              <w:t>屏体硬件</w:t>
            </w:r>
            <w:r>
              <w:rPr>
                <w:rFonts w:hint="eastAsia" w:ascii="宋体" w:hAnsi="宋体" w:eastAsia="宋体"/>
                <w:color w:val="000000" w:themeColor="text1"/>
                <w:kern w:val="0"/>
                <w:sz w:val="21"/>
                <w:szCs w:val="21"/>
                <w14:textFill>
                  <w14:solidFill>
                    <w14:schemeClr w14:val="tx1"/>
                  </w14:solidFill>
                </w14:textFill>
              </w:rPr>
              <w:t>：</w:t>
            </w:r>
          </w:p>
          <w:p>
            <w:pPr>
              <w:pStyle w:val="162"/>
              <w:numPr>
                <w:ilvl w:val="0"/>
                <w:numId w:val="12"/>
              </w:numPr>
              <w:ind w:firstLineChars="0"/>
              <w:rPr>
                <w:sz w:val="21"/>
                <w:szCs w:val="21"/>
              </w:rPr>
            </w:pPr>
            <w:r>
              <w:rPr>
                <w:rFonts w:hint="eastAsia"/>
                <w:sz w:val="21"/>
                <w:szCs w:val="21"/>
              </w:rPr>
              <w:t>★液晶屏体：A规屏，显示尺寸≥</w:t>
            </w:r>
            <w:r>
              <w:rPr>
                <w:sz w:val="21"/>
                <w:szCs w:val="21"/>
              </w:rPr>
              <w:t>75</w:t>
            </w:r>
            <w:r>
              <w:rPr>
                <w:rFonts w:hint="eastAsia"/>
                <w:sz w:val="21"/>
                <w:szCs w:val="21"/>
              </w:rPr>
              <w:t>英寸。</w:t>
            </w:r>
            <w:r>
              <w:rPr>
                <w:rFonts w:hint="eastAsia"/>
                <w:color w:val="000000" w:themeColor="text1"/>
                <w:sz w:val="21"/>
                <w:szCs w:val="21"/>
                <w14:textFill>
                  <w14:solidFill>
                    <w14:schemeClr w14:val="tx1"/>
                  </w14:solidFill>
                </w14:textFill>
              </w:rPr>
              <w:t>（提供具有CNAS标识的检测报告复印件加盖厂商公章）</w:t>
            </w:r>
          </w:p>
          <w:p>
            <w:pPr>
              <w:pStyle w:val="162"/>
              <w:numPr>
                <w:ilvl w:val="0"/>
                <w:numId w:val="12"/>
              </w:numPr>
              <w:ind w:firstLineChars="0"/>
              <w:rPr>
                <w:sz w:val="21"/>
                <w:szCs w:val="21"/>
              </w:rPr>
            </w:pPr>
            <w:r>
              <w:rPr>
                <w:rFonts w:hint="eastAsia"/>
                <w:sz w:val="21"/>
                <w:szCs w:val="21"/>
              </w:rPr>
              <w:t>★物理分辨率：电脑操作系统可达4K分辨率60Hz刷新率，且屏幕画面无闪烁。</w:t>
            </w:r>
            <w:r>
              <w:rPr>
                <w:rFonts w:hint="eastAsia"/>
                <w:color w:val="000000" w:themeColor="text1"/>
                <w:sz w:val="21"/>
                <w:szCs w:val="21"/>
                <w14:textFill>
                  <w14:solidFill>
                    <w14:schemeClr w14:val="tx1"/>
                  </w14:solidFill>
                </w14:textFill>
              </w:rPr>
              <w:t>（提供具有CNAS标识的检测报告复印件加盖厂商公章）</w:t>
            </w:r>
          </w:p>
          <w:p>
            <w:pPr>
              <w:pStyle w:val="162"/>
              <w:numPr>
                <w:ilvl w:val="0"/>
                <w:numId w:val="12"/>
              </w:numPr>
              <w:ind w:firstLineChars="0"/>
              <w:rPr>
                <w:sz w:val="21"/>
                <w:szCs w:val="21"/>
              </w:rPr>
            </w:pPr>
            <w:r>
              <w:rPr>
                <w:rFonts w:hint="eastAsia"/>
                <w:sz w:val="21"/>
                <w:szCs w:val="21"/>
              </w:rPr>
              <w:t>交互平板屏体N</w:t>
            </w:r>
            <w:r>
              <w:rPr>
                <w:sz w:val="21"/>
                <w:szCs w:val="21"/>
              </w:rPr>
              <w:t>TSC</w:t>
            </w:r>
            <w:r>
              <w:rPr>
                <w:rFonts w:hint="eastAsia"/>
                <w:sz w:val="21"/>
                <w:szCs w:val="21"/>
              </w:rPr>
              <w:t>色域≥</w:t>
            </w:r>
            <w:r>
              <w:rPr>
                <w:sz w:val="21"/>
                <w:szCs w:val="21"/>
              </w:rPr>
              <w:t>95%</w:t>
            </w:r>
            <w:r>
              <w:rPr>
                <w:rFonts w:hint="eastAsia"/>
                <w:sz w:val="21"/>
                <w:szCs w:val="21"/>
              </w:rPr>
              <w:t>，标准色域</w:t>
            </w:r>
            <w:r>
              <w:rPr>
                <w:sz w:val="21"/>
                <w:szCs w:val="21"/>
              </w:rPr>
              <w:t>色彩覆盖率</w:t>
            </w:r>
            <w:r>
              <w:rPr>
                <w:rFonts w:hint="eastAsia"/>
                <w:sz w:val="21"/>
                <w:szCs w:val="21"/>
              </w:rPr>
              <w:t>不低于1</w:t>
            </w:r>
            <w:r>
              <w:rPr>
                <w:sz w:val="21"/>
                <w:szCs w:val="21"/>
              </w:rPr>
              <w:t>2</w:t>
            </w:r>
            <w:r>
              <w:rPr>
                <w:rFonts w:hint="eastAsia"/>
                <w:sz w:val="21"/>
                <w:szCs w:val="21"/>
              </w:rPr>
              <w:t>0%，最高灰阶 256 灰阶。</w:t>
            </w:r>
          </w:p>
          <w:p>
            <w:pPr>
              <w:pStyle w:val="162"/>
              <w:numPr>
                <w:ilvl w:val="0"/>
                <w:numId w:val="12"/>
              </w:numPr>
              <w:ind w:firstLineChars="0"/>
              <w:rPr>
                <w:sz w:val="21"/>
                <w:szCs w:val="21"/>
              </w:rPr>
            </w:pPr>
            <w:r>
              <w:rPr>
                <w:rFonts w:hint="eastAsia"/>
                <w:sz w:val="21"/>
                <w:szCs w:val="21"/>
              </w:rPr>
              <w:t>整机音箱功率可达40W，采用针孔阵列发声。</w:t>
            </w:r>
          </w:p>
          <w:p>
            <w:pPr>
              <w:pStyle w:val="162"/>
              <w:numPr>
                <w:ilvl w:val="0"/>
                <w:numId w:val="12"/>
              </w:numPr>
              <w:ind w:firstLineChars="0"/>
              <w:rPr>
                <w:sz w:val="21"/>
                <w:szCs w:val="21"/>
              </w:rPr>
            </w:pPr>
            <w:r>
              <w:rPr>
                <w:rFonts w:hint="eastAsia"/>
                <w:sz w:val="21"/>
                <w:szCs w:val="21"/>
              </w:rPr>
              <w:t>★整机扬声器音量最大情况下，声压扩散均匀，谐振频率低于300Hz，1米处声压级≥90db,10米处声压级≥80db;</w:t>
            </w:r>
            <w:r>
              <w:rPr>
                <w:rFonts w:hint="eastAsia"/>
                <w:color w:val="000000" w:themeColor="text1"/>
                <w:sz w:val="21"/>
                <w:szCs w:val="21"/>
                <w14:textFill>
                  <w14:solidFill>
                    <w14:schemeClr w14:val="tx1"/>
                  </w14:solidFill>
                </w14:textFill>
              </w:rPr>
              <w:t>（提供具有CNAS标识的检测报告复印件加盖厂商公章）。</w:t>
            </w:r>
          </w:p>
          <w:p>
            <w:pPr>
              <w:pStyle w:val="162"/>
              <w:numPr>
                <w:ilvl w:val="0"/>
                <w:numId w:val="12"/>
              </w:numPr>
              <w:ind w:firstLineChars="0"/>
              <w:rPr>
                <w:sz w:val="21"/>
                <w:szCs w:val="21"/>
              </w:rPr>
            </w:pPr>
            <w:r>
              <w:rPr>
                <w:rFonts w:hint="eastAsia"/>
                <w:sz w:val="21"/>
                <w:szCs w:val="21"/>
              </w:rPr>
              <w:t>交互设备采用防眩光钢化玻璃并通过表面应力测试。</w:t>
            </w:r>
          </w:p>
          <w:p>
            <w:pPr>
              <w:pStyle w:val="162"/>
              <w:numPr>
                <w:ilvl w:val="0"/>
                <w:numId w:val="12"/>
              </w:numPr>
              <w:ind w:firstLineChars="0"/>
              <w:rPr>
                <w:sz w:val="21"/>
                <w:szCs w:val="21"/>
              </w:rPr>
            </w:pPr>
            <w:r>
              <w:rPr>
                <w:rFonts w:hint="eastAsia"/>
                <w:sz w:val="21"/>
                <w:szCs w:val="21"/>
              </w:rPr>
              <w:t>★触控玻璃具备抗菌作用，</w:t>
            </w:r>
            <w:r>
              <w:rPr>
                <w:sz w:val="21"/>
                <w:szCs w:val="21"/>
              </w:rPr>
              <w:t>24</w:t>
            </w:r>
            <w:r>
              <w:rPr>
                <w:rFonts w:hint="eastAsia"/>
                <w:sz w:val="21"/>
                <w:szCs w:val="21"/>
              </w:rPr>
              <w:t>小时总抗细菌率大于</w:t>
            </w:r>
            <w:r>
              <w:rPr>
                <w:sz w:val="21"/>
                <w:szCs w:val="21"/>
              </w:rPr>
              <w:t>90%</w:t>
            </w:r>
            <w:r>
              <w:rPr>
                <w:rFonts w:hint="eastAsia"/>
                <w:sz w:val="21"/>
                <w:szCs w:val="21"/>
              </w:rPr>
              <w:t>，</w:t>
            </w:r>
            <w:r>
              <w:rPr>
                <w:rFonts w:hint="eastAsia"/>
                <w:color w:val="000000" w:themeColor="text1"/>
                <w:sz w:val="21"/>
                <w:szCs w:val="21"/>
                <w14:textFill>
                  <w14:solidFill>
                    <w14:schemeClr w14:val="tx1"/>
                  </w14:solidFill>
                </w14:textFill>
              </w:rPr>
              <w:t>（提供具有CNAS标识的检测报告复印件加盖厂商公章）。</w:t>
            </w:r>
          </w:p>
          <w:p>
            <w:pPr>
              <w:pStyle w:val="162"/>
              <w:numPr>
                <w:ilvl w:val="0"/>
                <w:numId w:val="12"/>
              </w:numPr>
              <w:ind w:firstLineChars="0"/>
              <w:rPr>
                <w:color w:val="000000" w:themeColor="text1"/>
                <w:sz w:val="21"/>
                <w:szCs w:val="21"/>
                <w14:textFill>
                  <w14:solidFill>
                    <w14:schemeClr w14:val="tx1"/>
                  </w14:solidFill>
                </w14:textFill>
              </w:rPr>
            </w:pPr>
            <w:r>
              <w:rPr>
                <w:rFonts w:hint="eastAsia"/>
                <w:sz w:val="21"/>
                <w:szCs w:val="21"/>
              </w:rPr>
              <w:t>★采用先进人机交互</w:t>
            </w:r>
            <w:r>
              <w:rPr>
                <w:rFonts w:hint="eastAsia"/>
                <w:color w:val="000000" w:themeColor="text1"/>
                <w:sz w:val="21"/>
                <w:szCs w:val="21"/>
                <w14:textFill>
                  <w14:solidFill>
                    <w14:schemeClr w14:val="tx1"/>
                  </w14:solidFill>
                </w14:textFill>
              </w:rPr>
              <w:t>红外触控技术，在</w:t>
            </w:r>
            <w:r>
              <w:rPr>
                <w:color w:val="000000" w:themeColor="text1"/>
                <w:sz w:val="21"/>
                <w:szCs w:val="21"/>
                <w14:textFill>
                  <w14:solidFill>
                    <w14:schemeClr w14:val="tx1"/>
                  </w14:solidFill>
                </w14:textFill>
              </w:rPr>
              <w:t>W</w:t>
            </w:r>
            <w:r>
              <w:rPr>
                <w:rFonts w:hint="eastAsia"/>
                <w:color w:val="000000" w:themeColor="text1"/>
                <w:sz w:val="21"/>
                <w:szCs w:val="21"/>
                <w14:textFill>
                  <w14:solidFill>
                    <w14:schemeClr w14:val="tx1"/>
                  </w14:solidFill>
                </w14:textFill>
              </w:rPr>
              <w:t>indows及安卓系统下均支持不少于</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点触控及同时书写；（提供具有CNAS标识的检测报告复印件加盖厂商公章）。</w:t>
            </w:r>
          </w:p>
          <w:p>
            <w:pPr>
              <w:pStyle w:val="162"/>
              <w:numPr>
                <w:ilvl w:val="0"/>
                <w:numId w:val="12"/>
              </w:numPr>
              <w:ind w:firstLineChars="0"/>
              <w:rPr>
                <w:color w:val="000000" w:themeColor="text1"/>
                <w:sz w:val="21"/>
                <w:szCs w:val="21"/>
                <w14:textFill>
                  <w14:solidFill>
                    <w14:schemeClr w14:val="tx1"/>
                  </w14:solidFill>
                </w14:textFill>
              </w:rPr>
            </w:pPr>
            <w:r>
              <w:rPr>
                <w:rFonts w:hint="eastAsia"/>
                <w:sz w:val="21"/>
                <w:szCs w:val="21"/>
              </w:rPr>
              <w:t>★</w:t>
            </w:r>
            <w:r>
              <w:rPr>
                <w:rFonts w:hint="eastAsia"/>
                <w:color w:val="000000" w:themeColor="text1"/>
                <w:sz w:val="21"/>
                <w:szCs w:val="21"/>
                <w14:textFill>
                  <w14:solidFill>
                    <w14:schemeClr w14:val="tx1"/>
                  </w14:solidFill>
                </w14:textFill>
              </w:rPr>
              <w:t>交互平板应具备高、低温环境工作及抗强光干扰功能。</w:t>
            </w:r>
            <w:r>
              <w:rPr>
                <w:color w:val="000000" w:themeColor="text1"/>
                <w:sz w:val="21"/>
                <w:szCs w:val="21"/>
                <w14:textFill>
                  <w14:solidFill>
                    <w14:schemeClr w14:val="tx1"/>
                  </w14:solidFill>
                </w14:textFill>
              </w:rPr>
              <w:t>整机在-10℃</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45℃环境下可持续正常工作12小时或以上。</w:t>
            </w:r>
            <w:r>
              <w:rPr>
                <w:rFonts w:hint="eastAsia"/>
                <w:color w:val="000000" w:themeColor="text1"/>
                <w:sz w:val="21"/>
                <w:szCs w:val="21"/>
                <w14:textFill>
                  <w14:solidFill>
                    <w14:schemeClr w14:val="tx1"/>
                  </w14:solidFill>
                </w14:textFill>
              </w:rPr>
              <w:t>在＞</w:t>
            </w:r>
            <w:r>
              <w:rPr>
                <w:color w:val="000000" w:themeColor="text1"/>
                <w:sz w:val="21"/>
                <w:szCs w:val="21"/>
                <w14:textFill>
                  <w14:solidFill>
                    <w14:schemeClr w14:val="tx1"/>
                  </w14:solidFill>
                </w14:textFill>
              </w:rPr>
              <w:t>200</w:t>
            </w:r>
            <w:r>
              <w:rPr>
                <w:rFonts w:hint="eastAsia"/>
                <w:color w:val="000000" w:themeColor="text1"/>
                <w:sz w:val="21"/>
                <w:szCs w:val="21"/>
                <w14:textFill>
                  <w14:solidFill>
                    <w14:schemeClr w14:val="tx1"/>
                  </w14:solidFill>
                </w14:textFill>
              </w:rPr>
              <w:t>K LUX照度的光照下保证书写功能正常。（提供具有CNAS标识的检测报告复印件加盖厂商公章）。</w:t>
            </w:r>
          </w:p>
          <w:p>
            <w:pPr>
              <w:pStyle w:val="162"/>
              <w:numPr>
                <w:ilvl w:val="0"/>
                <w:numId w:val="12"/>
              </w:numPr>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产品每个前置物理按键均具备复用功能，通过短按和长按实现不同的功能指令，方便用户多样操作使用。</w:t>
            </w:r>
          </w:p>
          <w:p>
            <w:pPr>
              <w:pStyle w:val="162"/>
              <w:numPr>
                <w:ilvl w:val="0"/>
                <w:numId w:val="12"/>
              </w:numPr>
              <w:ind w:firstLineChars="0"/>
              <w:rPr>
                <w:color w:val="000000" w:themeColor="text1"/>
                <w:sz w:val="21"/>
                <w:szCs w:val="21"/>
                <w14:textFill>
                  <w14:solidFill>
                    <w14:schemeClr w14:val="tx1"/>
                  </w14:solidFill>
                </w14:textFill>
              </w:rPr>
            </w:pPr>
            <w:r>
              <w:rPr>
                <w:rFonts w:hint="eastAsia"/>
                <w:sz w:val="21"/>
                <w:szCs w:val="21"/>
              </w:rPr>
              <w:t>★前置按键及接口面板具备前拆式设计，支持单独前拆，方便售后维护。（提供具有CNAS标识的检测报告复印件加盖厂商公章）。</w:t>
            </w:r>
          </w:p>
          <w:p>
            <w:pPr>
              <w:pStyle w:val="162"/>
              <w:numPr>
                <w:ilvl w:val="0"/>
                <w:numId w:val="12"/>
              </w:numPr>
              <w:ind w:firstLineChars="0"/>
              <w:rPr>
                <w:sz w:val="21"/>
                <w:szCs w:val="21"/>
              </w:rPr>
            </w:pPr>
            <w:r>
              <w:rPr>
                <w:rFonts w:hint="eastAsia"/>
                <w:sz w:val="21"/>
                <w:szCs w:val="21"/>
              </w:rPr>
              <w:t>★前置面板具有≥</w:t>
            </w:r>
            <w:r>
              <w:rPr>
                <w:sz w:val="21"/>
                <w:szCs w:val="21"/>
              </w:rPr>
              <w:t>2</w:t>
            </w:r>
            <w:r>
              <w:rPr>
                <w:rFonts w:hint="eastAsia"/>
                <w:sz w:val="21"/>
                <w:szCs w:val="21"/>
              </w:rPr>
              <w:t>路双通道USB3.0接口、≥1路U</w:t>
            </w:r>
            <w:r>
              <w:rPr>
                <w:sz w:val="21"/>
                <w:szCs w:val="21"/>
              </w:rPr>
              <w:t>SB T</w:t>
            </w:r>
            <w:r>
              <w:rPr>
                <w:rFonts w:hint="eastAsia"/>
                <w:sz w:val="21"/>
                <w:szCs w:val="21"/>
              </w:rPr>
              <w:t>ype-</w:t>
            </w:r>
            <w:r>
              <w:rPr>
                <w:sz w:val="21"/>
                <w:szCs w:val="21"/>
              </w:rPr>
              <w:t>C</w:t>
            </w:r>
            <w:r>
              <w:rPr>
                <w:rFonts w:hint="eastAsia"/>
                <w:sz w:val="21"/>
                <w:szCs w:val="21"/>
              </w:rPr>
              <w:t>接口、≥1路H</w:t>
            </w:r>
            <w:r>
              <w:rPr>
                <w:sz w:val="21"/>
                <w:szCs w:val="21"/>
              </w:rPr>
              <w:t>DMI</w:t>
            </w:r>
            <w:r>
              <w:rPr>
                <w:rFonts w:hint="eastAsia"/>
                <w:sz w:val="21"/>
                <w:szCs w:val="21"/>
              </w:rPr>
              <w:t>接口。整机至少具备1路V</w:t>
            </w:r>
            <w:r>
              <w:rPr>
                <w:sz w:val="21"/>
                <w:szCs w:val="21"/>
              </w:rPr>
              <w:t>GA</w:t>
            </w:r>
            <w:r>
              <w:rPr>
                <w:rFonts w:hint="eastAsia"/>
                <w:sz w:val="21"/>
                <w:szCs w:val="21"/>
              </w:rPr>
              <w:t>接口方便用户外接拓展设备。（提供具有CNAS标识的检测报告复印件加盖厂商公章）</w:t>
            </w:r>
          </w:p>
          <w:p>
            <w:pPr>
              <w:pStyle w:val="162"/>
              <w:numPr>
                <w:ilvl w:val="0"/>
                <w:numId w:val="12"/>
              </w:numPr>
              <w:ind w:firstLineChars="0"/>
              <w:rPr>
                <w:sz w:val="21"/>
                <w:szCs w:val="21"/>
              </w:rPr>
            </w:pPr>
            <w:r>
              <w:rPr>
                <w:rFonts w:hint="eastAsia"/>
                <w:sz w:val="21"/>
                <w:szCs w:val="21"/>
              </w:rPr>
              <w:t>★前置接口具备保护盖板，盖板高度不少于4.5cm，能有效防止推拉板撞击。（提供具有CNAS标识的检测报告复印件加盖厂商公章）</w:t>
            </w:r>
          </w:p>
          <w:p>
            <w:pPr>
              <w:pStyle w:val="162"/>
              <w:numPr>
                <w:ilvl w:val="0"/>
                <w:numId w:val="12"/>
              </w:numPr>
              <w:ind w:firstLineChars="0"/>
              <w:rPr>
                <w:sz w:val="21"/>
                <w:szCs w:val="21"/>
              </w:rPr>
            </w:pPr>
            <w:r>
              <w:rPr>
                <w:rFonts w:hint="eastAsia"/>
                <w:sz w:val="21"/>
                <w:szCs w:val="21"/>
              </w:rPr>
              <w:t>★交互平板</w:t>
            </w:r>
            <w:r>
              <w:rPr>
                <w:sz w:val="21"/>
                <w:szCs w:val="21"/>
              </w:rPr>
              <w:t>前置接口</w:t>
            </w:r>
            <w:r>
              <w:rPr>
                <w:rFonts w:hint="eastAsia"/>
                <w:sz w:val="21"/>
                <w:szCs w:val="21"/>
              </w:rPr>
              <w:t>及主要功能按键具有</w:t>
            </w:r>
            <w:r>
              <w:rPr>
                <w:sz w:val="21"/>
                <w:szCs w:val="21"/>
              </w:rPr>
              <w:t>中文标识</w:t>
            </w:r>
            <w:r>
              <w:rPr>
                <w:rFonts w:hint="eastAsia"/>
                <w:sz w:val="21"/>
                <w:szCs w:val="21"/>
              </w:rPr>
              <w:t>，避免误操作。（提供具有CNAS标识的检测报告复印件加盖厂商公章）。</w:t>
            </w:r>
          </w:p>
          <w:p>
            <w:pPr>
              <w:pStyle w:val="162"/>
              <w:numPr>
                <w:ilvl w:val="0"/>
                <w:numId w:val="12"/>
              </w:numPr>
              <w:ind w:firstLineChars="0"/>
              <w:rPr>
                <w:sz w:val="21"/>
                <w:szCs w:val="21"/>
              </w:rPr>
            </w:pPr>
            <w:r>
              <w:rPr>
                <w:rFonts w:hint="eastAsia"/>
                <w:sz w:val="21"/>
                <w:szCs w:val="21"/>
              </w:rPr>
              <w:t>交互平板与外接电脑设备连接时，支持以一根</w:t>
            </w:r>
            <w:r>
              <w:rPr>
                <w:sz w:val="21"/>
                <w:szCs w:val="21"/>
              </w:rPr>
              <w:t>USB</w:t>
            </w:r>
            <w:r>
              <w:rPr>
                <w:rFonts w:hint="eastAsia"/>
                <w:sz w:val="21"/>
                <w:szCs w:val="21"/>
              </w:rPr>
              <w:t>线直接读取插在交互平板上的U盘，并识别连接至交互平板的翻页笔、无线键鼠等USB设备；</w:t>
            </w:r>
          </w:p>
          <w:p>
            <w:pPr>
              <w:pStyle w:val="162"/>
              <w:numPr>
                <w:ilvl w:val="0"/>
                <w:numId w:val="12"/>
              </w:numPr>
              <w:ind w:firstLineChars="0"/>
              <w:rPr>
                <w:sz w:val="21"/>
                <w:szCs w:val="21"/>
              </w:rPr>
            </w:pPr>
            <w:r>
              <w:rPr>
                <w:rFonts w:hint="eastAsia"/>
                <w:sz w:val="21"/>
                <w:szCs w:val="21"/>
              </w:rPr>
              <w:t>★交互设备具备笔槽设计，方便用户放置书写笔。（提供具有CNAS标识的检测报告复印件加盖厂商公章）。</w:t>
            </w:r>
          </w:p>
          <w:p>
            <w:pPr>
              <w:pStyle w:val="162"/>
              <w:numPr>
                <w:ilvl w:val="0"/>
                <w:numId w:val="12"/>
              </w:numPr>
              <w:ind w:firstLineChars="0"/>
              <w:rPr>
                <w:sz w:val="21"/>
                <w:szCs w:val="21"/>
              </w:rPr>
            </w:pPr>
            <w:r>
              <w:rPr>
                <w:rFonts w:hint="eastAsia"/>
                <w:sz w:val="21"/>
                <w:szCs w:val="21"/>
              </w:rPr>
              <w:t>★交互平板整机具备前置物理电脑还原物理按键，针孔式设计，防止误操作，并具有中文丝印标识便于识别。（提供具有CNAS标识的检测报告复印件加盖厂商公章）。</w:t>
            </w:r>
          </w:p>
          <w:p>
            <w:pPr>
              <w:pStyle w:val="162"/>
              <w:numPr>
                <w:ilvl w:val="0"/>
                <w:numId w:val="12"/>
              </w:numPr>
              <w:ind w:firstLineChars="0"/>
              <w:rPr>
                <w:sz w:val="21"/>
                <w:szCs w:val="21"/>
              </w:rPr>
            </w:pPr>
            <w:r>
              <w:rPr>
                <w:rFonts w:hint="eastAsia"/>
                <w:sz w:val="21"/>
                <w:szCs w:val="21"/>
              </w:rPr>
              <w:t>★</w:t>
            </w:r>
            <w:r>
              <w:rPr>
                <w:sz w:val="21"/>
                <w:szCs w:val="21"/>
              </w:rPr>
              <w:t>交互平板采用物理减滤蓝光设计，低蓝光模式下不会改变屏幕色温。</w:t>
            </w:r>
            <w:r>
              <w:rPr>
                <w:rFonts w:hint="eastAsia"/>
                <w:sz w:val="21"/>
                <w:szCs w:val="21"/>
              </w:rPr>
              <w:t>（提供具有CNAS标识的检测报告复印件加盖厂商公章）。</w:t>
            </w:r>
          </w:p>
          <w:p>
            <w:pPr>
              <w:pStyle w:val="162"/>
              <w:numPr>
                <w:ilvl w:val="0"/>
                <w:numId w:val="12"/>
              </w:numPr>
              <w:ind w:firstLineChars="0"/>
              <w:rPr>
                <w:sz w:val="21"/>
                <w:szCs w:val="21"/>
              </w:rPr>
            </w:pPr>
            <w:r>
              <w:rPr>
                <w:rFonts w:hint="eastAsia"/>
                <w:bCs/>
                <w:sz w:val="21"/>
                <w:szCs w:val="21"/>
              </w:rPr>
              <w:t>通过扫描黑板前的二维码，可获取相关防蓝光检测证书。</w:t>
            </w:r>
          </w:p>
          <w:p>
            <w:pPr>
              <w:pStyle w:val="162"/>
              <w:numPr>
                <w:ilvl w:val="0"/>
                <w:numId w:val="12"/>
              </w:numPr>
              <w:ind w:firstLineChars="0"/>
              <w:rPr>
                <w:sz w:val="21"/>
                <w:szCs w:val="21"/>
              </w:rPr>
            </w:pPr>
            <w:r>
              <w:rPr>
                <w:rFonts w:hint="eastAsia"/>
                <w:sz w:val="21"/>
                <w:szCs w:val="21"/>
              </w:rPr>
              <w:t>★交互平板可通过N</w:t>
            </w:r>
            <w:r>
              <w:rPr>
                <w:sz w:val="21"/>
                <w:szCs w:val="21"/>
              </w:rPr>
              <w:t>FC</w:t>
            </w:r>
            <w:r>
              <w:rPr>
                <w:rFonts w:hint="eastAsia"/>
                <w:sz w:val="21"/>
                <w:szCs w:val="21"/>
              </w:rPr>
              <w:t>模块与移动端进行多屏互动；（提供具有CNAS标识的检测报告复印件加盖厂商公章）</w:t>
            </w:r>
          </w:p>
          <w:p>
            <w:pPr>
              <w:pStyle w:val="162"/>
              <w:numPr>
                <w:ilvl w:val="0"/>
                <w:numId w:val="12"/>
              </w:numPr>
              <w:ind w:firstLineChars="0"/>
              <w:rPr>
                <w:sz w:val="21"/>
                <w:szCs w:val="21"/>
              </w:rPr>
            </w:pPr>
            <w:r>
              <w:rPr>
                <w:sz w:val="21"/>
                <w:szCs w:val="21"/>
              </w:rPr>
              <w:t>为了保证交互平板产品后续可扩展性</w:t>
            </w:r>
            <w:r>
              <w:rPr>
                <w:rFonts w:hint="eastAsia"/>
                <w:sz w:val="21"/>
                <w:szCs w:val="21"/>
              </w:rPr>
              <w:t>及售后维护配件通用性，</w:t>
            </w:r>
            <w:r>
              <w:rPr>
                <w:sz w:val="21"/>
                <w:szCs w:val="21"/>
              </w:rPr>
              <w:t>交互平板</w:t>
            </w:r>
            <w:r>
              <w:rPr>
                <w:rFonts w:hint="eastAsia"/>
                <w:sz w:val="21"/>
                <w:szCs w:val="21"/>
              </w:rPr>
              <w:t>采用通用80pin 针脚OPS接口。</w:t>
            </w:r>
          </w:p>
          <w:p>
            <w:pPr>
              <w:pStyle w:val="162"/>
              <w:numPr>
                <w:ilvl w:val="0"/>
                <w:numId w:val="12"/>
              </w:numPr>
              <w:ind w:firstLineChars="0"/>
              <w:rPr>
                <w:sz w:val="21"/>
                <w:szCs w:val="21"/>
              </w:rPr>
            </w:pPr>
            <w:r>
              <w:rPr>
                <w:rFonts w:hint="eastAsia"/>
                <w:sz w:val="21"/>
                <w:szCs w:val="21"/>
              </w:rPr>
              <w:t>★产品具备触控开关按键，在需要时可关闭触控防止蚊虫干扰影响屏幕播放。（提供具有CNAS标识的检测报告复印件加盖厂商公章）。</w:t>
            </w:r>
          </w:p>
          <w:p>
            <w:pPr>
              <w:pStyle w:val="162"/>
              <w:numPr>
                <w:ilvl w:val="0"/>
                <w:numId w:val="12"/>
              </w:numPr>
              <w:ind w:firstLineChars="0"/>
              <w:rPr>
                <w:sz w:val="21"/>
                <w:szCs w:val="21"/>
              </w:rPr>
            </w:pPr>
            <w:r>
              <w:rPr>
                <w:rFonts w:hint="eastAsia"/>
                <w:sz w:val="21"/>
                <w:szCs w:val="21"/>
              </w:rPr>
              <w:t>★交互平板扬声器支持接入无线扩音麦克风</w:t>
            </w:r>
            <w:r>
              <w:rPr>
                <w:sz w:val="21"/>
                <w:szCs w:val="21"/>
              </w:rPr>
              <w:t>，</w:t>
            </w:r>
            <w:r>
              <w:rPr>
                <w:rFonts w:hint="eastAsia"/>
                <w:sz w:val="21"/>
                <w:szCs w:val="21"/>
              </w:rPr>
              <w:t>麦克风扩音不影响交互平板自身多媒体信号播放，可</w:t>
            </w:r>
            <w:r>
              <w:rPr>
                <w:sz w:val="21"/>
                <w:szCs w:val="21"/>
              </w:rPr>
              <w:t>混音后通过屏体内置音箱播出；</w:t>
            </w:r>
            <w:r>
              <w:rPr>
                <w:rFonts w:hint="eastAsia"/>
                <w:sz w:val="21"/>
                <w:szCs w:val="21"/>
              </w:rPr>
              <w:t>（提供具有CNAS标识的检测报告复印件加盖厂商公章）。</w:t>
            </w:r>
          </w:p>
          <w:p>
            <w:pPr>
              <w:pStyle w:val="162"/>
              <w:numPr>
                <w:ilvl w:val="0"/>
                <w:numId w:val="12"/>
              </w:numPr>
              <w:ind w:firstLineChars="0"/>
              <w:rPr>
                <w:sz w:val="21"/>
                <w:szCs w:val="21"/>
              </w:rPr>
            </w:pPr>
            <w:r>
              <w:rPr>
                <w:rFonts w:hint="eastAsia"/>
                <w:sz w:val="21"/>
                <w:szCs w:val="21"/>
              </w:rPr>
              <w:t>★交互平板内置一体化摄像头，支持2</w:t>
            </w:r>
            <w:r>
              <w:rPr>
                <w:sz w:val="21"/>
                <w:szCs w:val="21"/>
              </w:rPr>
              <w:t>D</w:t>
            </w:r>
            <w:r>
              <w:rPr>
                <w:rFonts w:hint="eastAsia"/>
                <w:sz w:val="21"/>
                <w:szCs w:val="21"/>
              </w:rPr>
              <w:t>降噪，低畸变广角镜头画面畸变≤5</w:t>
            </w:r>
            <w:r>
              <w:rPr>
                <w:sz w:val="21"/>
                <w:szCs w:val="21"/>
              </w:rPr>
              <w:t>%</w:t>
            </w:r>
            <w:r>
              <w:rPr>
                <w:rFonts w:hint="eastAsia"/>
                <w:sz w:val="21"/>
                <w:szCs w:val="21"/>
              </w:rPr>
              <w:t>，≥130</w:t>
            </w:r>
            <w:r>
              <w:rPr>
                <w:sz w:val="21"/>
                <w:szCs w:val="21"/>
              </w:rPr>
              <w:t>0W</w:t>
            </w:r>
            <w:r>
              <w:rPr>
                <w:rFonts w:hint="eastAsia"/>
                <w:sz w:val="21"/>
                <w:szCs w:val="21"/>
              </w:rPr>
              <w:t>像素的视频采集。支持远程巡课系统，使用摄像头单元可实现远程巡课。（提供具有CNAS标识的检测报告复印件加盖厂商公章）。</w:t>
            </w:r>
          </w:p>
          <w:p>
            <w:pPr>
              <w:pStyle w:val="162"/>
              <w:numPr>
                <w:ilvl w:val="0"/>
                <w:numId w:val="12"/>
              </w:numPr>
              <w:ind w:firstLineChars="0"/>
              <w:rPr>
                <w:sz w:val="21"/>
                <w:szCs w:val="21"/>
              </w:rPr>
            </w:pPr>
            <w:r>
              <w:rPr>
                <w:rFonts w:hint="eastAsia"/>
                <w:sz w:val="21"/>
                <w:szCs w:val="21"/>
              </w:rPr>
              <w:t>产品标配一体化4阵列麦克风，拾音角度180°全向拾音距离最大可达 12 米；</w:t>
            </w:r>
          </w:p>
          <w:p>
            <w:pPr>
              <w:pStyle w:val="162"/>
              <w:numPr>
                <w:ilvl w:val="0"/>
                <w:numId w:val="12"/>
              </w:numPr>
              <w:ind w:firstLineChars="0"/>
              <w:rPr>
                <w:sz w:val="21"/>
                <w:szCs w:val="21"/>
              </w:rPr>
            </w:pPr>
            <w:r>
              <w:rPr>
                <w:sz w:val="21"/>
                <w:szCs w:val="21"/>
              </w:rPr>
              <w:t>智慧黑板制造商应根据国家标准建立良好的诚信及售后服务体系。</w:t>
            </w:r>
          </w:p>
          <w:p>
            <w:pPr>
              <w:widowControl/>
              <w:jc w:val="left"/>
              <w:rPr>
                <w:rFonts w:ascii="宋体" w:hAnsi="宋体" w:eastAsia="宋体"/>
                <w:b/>
                <w:bCs/>
                <w:sz w:val="21"/>
                <w:szCs w:val="21"/>
              </w:rPr>
            </w:pPr>
            <w:r>
              <w:rPr>
                <w:rFonts w:hint="eastAsia" w:ascii="宋体" w:hAnsi="宋体" w:eastAsia="宋体"/>
                <w:b/>
                <w:bCs/>
                <w:sz w:val="21"/>
                <w:szCs w:val="21"/>
              </w:rPr>
              <w:t>教学辅助系统：</w:t>
            </w:r>
          </w:p>
          <w:p>
            <w:pPr>
              <w:pStyle w:val="162"/>
              <w:numPr>
                <w:ilvl w:val="0"/>
                <w:numId w:val="12"/>
              </w:numPr>
              <w:ind w:firstLineChars="0"/>
              <w:rPr>
                <w:sz w:val="21"/>
                <w:szCs w:val="21"/>
              </w:rPr>
            </w:pPr>
            <w:r>
              <w:rPr>
                <w:rFonts w:hint="eastAsia"/>
                <w:sz w:val="21"/>
                <w:szCs w:val="21"/>
              </w:rPr>
              <w:t>★内置安卓教学辅助系统，具备四核CPU，系统版本不低于1</w:t>
            </w:r>
            <w:r>
              <w:rPr>
                <w:sz w:val="21"/>
                <w:szCs w:val="21"/>
              </w:rPr>
              <w:t>1.0</w:t>
            </w:r>
            <w:r>
              <w:rPr>
                <w:rFonts w:hint="eastAsia"/>
                <w:sz w:val="21"/>
                <w:szCs w:val="21"/>
              </w:rPr>
              <w:t>。R</w:t>
            </w:r>
            <w:r>
              <w:rPr>
                <w:sz w:val="21"/>
                <w:szCs w:val="21"/>
              </w:rPr>
              <w:t>AM</w:t>
            </w:r>
            <w:r>
              <w:rPr>
                <w:rFonts w:hint="eastAsia"/>
                <w:sz w:val="21"/>
                <w:szCs w:val="21"/>
              </w:rPr>
              <w:t>不小于2</w:t>
            </w:r>
            <w:r>
              <w:rPr>
                <w:sz w:val="21"/>
                <w:szCs w:val="21"/>
              </w:rPr>
              <w:t>G</w:t>
            </w:r>
            <w:r>
              <w:rPr>
                <w:rFonts w:hint="eastAsia"/>
                <w:sz w:val="21"/>
                <w:szCs w:val="21"/>
              </w:rPr>
              <w:t>。ROM不小于8G，并支持扩展至6</w:t>
            </w:r>
            <w:r>
              <w:rPr>
                <w:sz w:val="21"/>
                <w:szCs w:val="21"/>
              </w:rPr>
              <w:t>4G</w:t>
            </w:r>
            <w:r>
              <w:rPr>
                <w:rFonts w:hint="eastAsia"/>
                <w:sz w:val="21"/>
                <w:szCs w:val="21"/>
              </w:rPr>
              <w:t>存储空间。（提供具有CNAS标识的检测报告复印件加盖厂商公章）</w:t>
            </w:r>
          </w:p>
          <w:p>
            <w:pPr>
              <w:pStyle w:val="162"/>
              <w:numPr>
                <w:ilvl w:val="0"/>
                <w:numId w:val="12"/>
              </w:numPr>
              <w:ind w:firstLineChars="0"/>
              <w:rPr>
                <w:sz w:val="21"/>
                <w:szCs w:val="21"/>
              </w:rPr>
            </w:pPr>
            <w:r>
              <w:rPr>
                <w:rFonts w:hint="eastAsia"/>
                <w:sz w:val="21"/>
                <w:szCs w:val="21"/>
              </w:rPr>
              <w:t>★支持专业级录制及直播，在windows任意界面下均可开启录课功能，可实现屏幕录制及屏幕+摄像头画面的录制。（提供具有CNAS标识的检测报告复印件加盖厂商公章）。</w:t>
            </w:r>
          </w:p>
          <w:p>
            <w:pPr>
              <w:pStyle w:val="162"/>
              <w:numPr>
                <w:ilvl w:val="0"/>
                <w:numId w:val="12"/>
              </w:numPr>
              <w:ind w:firstLineChars="0"/>
              <w:rPr>
                <w:sz w:val="21"/>
                <w:szCs w:val="21"/>
              </w:rPr>
            </w:pPr>
            <w:r>
              <w:rPr>
                <w:rFonts w:hint="eastAsia"/>
                <w:sz w:val="21"/>
                <w:szCs w:val="21"/>
              </w:rPr>
              <w:t>★通过手势识别可调出多任务处理窗口，并对正在运行的应用进行浏览、快速切换或结束进程。（提供具有CNAS标识的检测报告复印件加盖厂商公章）。</w:t>
            </w:r>
          </w:p>
          <w:p>
            <w:pPr>
              <w:pStyle w:val="162"/>
              <w:numPr>
                <w:ilvl w:val="0"/>
                <w:numId w:val="12"/>
              </w:numPr>
              <w:ind w:firstLineChars="0"/>
              <w:rPr>
                <w:sz w:val="21"/>
                <w:szCs w:val="21"/>
              </w:rPr>
            </w:pPr>
            <w:r>
              <w:rPr>
                <w:rFonts w:hint="eastAsia"/>
                <w:sz w:val="21"/>
                <w:szCs w:val="21"/>
              </w:rPr>
              <w:t>在任意信号通道下可通过手势识别调用悬浮菜单，快速打开互动教学工具、系统设置等功能。</w:t>
            </w:r>
          </w:p>
          <w:p>
            <w:pPr>
              <w:pStyle w:val="162"/>
              <w:numPr>
                <w:ilvl w:val="0"/>
                <w:numId w:val="12"/>
              </w:numPr>
              <w:ind w:firstLineChars="0"/>
              <w:rPr>
                <w:sz w:val="21"/>
                <w:szCs w:val="21"/>
              </w:rPr>
            </w:pPr>
            <w:r>
              <w:rPr>
                <w:rFonts w:hint="eastAsia"/>
                <w:sz w:val="21"/>
                <w:szCs w:val="21"/>
              </w:rPr>
              <w:t>为满足教学过程中多场景应用需求，交互平板可通过多指长按屏幕部分达到息屏及屏幕唤醒功能，可根据实际教学应用开启或关闭此功能；</w:t>
            </w:r>
          </w:p>
          <w:p>
            <w:pPr>
              <w:pStyle w:val="162"/>
              <w:numPr>
                <w:ilvl w:val="0"/>
                <w:numId w:val="12"/>
              </w:numPr>
              <w:ind w:firstLineChars="0"/>
              <w:rPr>
                <w:sz w:val="21"/>
                <w:szCs w:val="21"/>
              </w:rPr>
            </w:pPr>
            <w:r>
              <w:rPr>
                <w:rFonts w:hint="eastAsia"/>
                <w:sz w:val="21"/>
                <w:szCs w:val="21"/>
              </w:rPr>
              <w:t>智能交互平板具备快捷键菜单，可快速打开相关功能，例如进行前后翻页、快速返回桌面、快速打开展台等功能。</w:t>
            </w:r>
          </w:p>
          <w:p>
            <w:pPr>
              <w:pStyle w:val="162"/>
              <w:numPr>
                <w:ilvl w:val="0"/>
                <w:numId w:val="12"/>
              </w:numPr>
              <w:ind w:firstLineChars="0"/>
              <w:rPr>
                <w:sz w:val="21"/>
                <w:szCs w:val="21"/>
              </w:rPr>
            </w:pPr>
            <w:r>
              <w:rPr>
                <w:rFonts w:hint="eastAsia"/>
                <w:sz w:val="21"/>
                <w:szCs w:val="21"/>
              </w:rPr>
              <w:t>智能交互平板支持定时</w:t>
            </w:r>
            <w:r>
              <w:rPr>
                <w:rFonts w:hint="eastAsia"/>
                <w:color w:val="000000" w:themeColor="text1"/>
                <w:sz w:val="21"/>
                <w:szCs w:val="21"/>
                <w14:textFill>
                  <w14:solidFill>
                    <w14:schemeClr w14:val="tx1"/>
                  </w14:solidFill>
                </w14:textFill>
              </w:rPr>
              <w:t>自动开关机与远程开关机功能。</w:t>
            </w:r>
          </w:p>
          <w:p>
            <w:pPr>
              <w:keepNext w:val="0"/>
              <w:keepLines w:val="0"/>
              <w:pageBreakBefore w:val="0"/>
              <w:widowControl w:val="0"/>
              <w:kinsoku/>
              <w:wordWrap/>
              <w:overflowPunct/>
              <w:topLinePunct w:val="0"/>
              <w:bidi w:val="0"/>
              <w:adjustRightInd/>
              <w:snapToGrid/>
              <w:spacing w:line="360" w:lineRule="auto"/>
              <w:ind w:left="680" w:leftChars="26" w:right="0" w:rightChars="0" w:hanging="62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sz w:val="21"/>
                <w:szCs w:val="21"/>
              </w:rPr>
              <w:t>★</w:t>
            </w:r>
            <w:r>
              <w:rPr>
                <w:rFonts w:hint="eastAsia"/>
                <w:bCs/>
                <w:sz w:val="21"/>
                <w:szCs w:val="21"/>
              </w:rPr>
              <w:t>为照顾不同身高的用户方便点击屏幕右上角窗口关闭按钮，产品支持屏幕下移功能。也可通过前置物理按键一键关闭电脑桌面顶层窗口，让用户在不方便点击右上角关闭窗口区域情况下，快速关闭顶层窗口，提供检测报告证明。</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2</w:t>
            </w:r>
          </w:p>
        </w:tc>
        <w:tc>
          <w:tcPr>
            <w:tcW w:w="656" w:type="dxa"/>
            <w:noWrap/>
            <w:tcMar>
              <w:top w:w="15" w:type="dxa"/>
              <w:left w:w="15" w:type="dxa"/>
              <w:bottom w:w="0" w:type="dxa"/>
              <w:right w:w="15" w:type="dxa"/>
            </w:tcMar>
            <w:textDirection w:val="tbLrV"/>
            <w:vAlign w:val="center"/>
          </w:tcPr>
          <w:p>
            <w:pPr>
              <w:ind w:left="113" w:right="113"/>
              <w:jc w:val="center"/>
              <w:rPr>
                <w:rFonts w:hint="eastAsia" w:ascii="黑体" w:hAnsi="黑体" w:eastAsia="黑体" w:cs="黑体"/>
                <w:color w:val="000000"/>
                <w:kern w:val="0"/>
                <w:sz w:val="24"/>
                <w:szCs w:val="24"/>
                <w:lang w:val="en-US" w:eastAsia="zh-CN" w:bidi="ar"/>
              </w:rPr>
            </w:pPr>
            <w:r>
              <w:rPr>
                <w:rFonts w:hint="eastAsia" w:ascii="黑体" w:hAnsi="黑体" w:eastAsia="黑体" w:cs="黑体"/>
                <w:sz w:val="24"/>
                <w:szCs w:val="24"/>
              </w:rPr>
              <w:t>内置电脑</w:t>
            </w:r>
          </w:p>
        </w:tc>
        <w:tc>
          <w:tcPr>
            <w:tcW w:w="7725" w:type="dxa"/>
            <w:noWrap w:val="0"/>
            <w:tcMar>
              <w:top w:w="15" w:type="dxa"/>
              <w:left w:w="15" w:type="dxa"/>
              <w:bottom w:w="0" w:type="dxa"/>
              <w:right w:w="15" w:type="dxa"/>
            </w:tcMar>
            <w:vAlign w:val="center"/>
          </w:tcPr>
          <w:p>
            <w:pPr>
              <w:rPr>
                <w:rFonts w:ascii="宋体" w:hAnsi="宋体" w:eastAsia="宋体"/>
                <w:bCs/>
                <w:sz w:val="21"/>
                <w:szCs w:val="21"/>
              </w:rPr>
            </w:pPr>
            <w:r>
              <w:rPr>
                <w:rFonts w:ascii="宋体" w:hAnsi="宋体" w:eastAsia="宋体"/>
                <w:bCs/>
                <w:sz w:val="21"/>
                <w:szCs w:val="21"/>
              </w:rPr>
              <w:t>1</w:t>
            </w:r>
            <w:r>
              <w:rPr>
                <w:rFonts w:hint="eastAsia" w:ascii="宋体" w:hAnsi="宋体" w:eastAsia="宋体"/>
                <w:bCs/>
                <w:sz w:val="21"/>
                <w:szCs w:val="21"/>
              </w:rPr>
              <w:t>、采用插拔式模块电脑结构，接口严格遵循</w:t>
            </w:r>
            <w:r>
              <w:rPr>
                <w:rFonts w:ascii="宋体" w:hAnsi="宋体" w:eastAsia="宋体"/>
                <w:bCs/>
                <w:sz w:val="21"/>
                <w:szCs w:val="21"/>
              </w:rPr>
              <w:t>Intel</w:t>
            </w:r>
            <w:r>
              <w:rPr>
                <w:rFonts w:hint="eastAsia" w:ascii="宋体" w:hAnsi="宋体" w:eastAsia="宋体"/>
                <w:bCs/>
                <w:sz w:val="21"/>
                <w:szCs w:val="21"/>
              </w:rPr>
              <w:t>相关</w:t>
            </w:r>
            <w:r>
              <w:rPr>
                <w:rFonts w:ascii="宋体" w:hAnsi="宋体" w:eastAsia="宋体"/>
                <w:bCs/>
                <w:sz w:val="21"/>
                <w:szCs w:val="21"/>
              </w:rPr>
              <w:t>80pin</w:t>
            </w:r>
            <w:r>
              <w:rPr>
                <w:rFonts w:hint="eastAsia" w:ascii="宋体" w:hAnsi="宋体" w:eastAsia="宋体"/>
                <w:bCs/>
                <w:sz w:val="21"/>
                <w:szCs w:val="21"/>
              </w:rPr>
              <w:t>接口规范</w:t>
            </w:r>
            <w:r>
              <w:rPr>
                <w:rFonts w:ascii="宋体" w:hAnsi="宋体" w:eastAsia="宋体"/>
                <w:bCs/>
                <w:sz w:val="21"/>
                <w:szCs w:val="21"/>
              </w:rPr>
              <w:t>,</w:t>
            </w:r>
            <w:r>
              <w:rPr>
                <w:rFonts w:hint="eastAsia" w:ascii="宋体" w:hAnsi="宋体" w:eastAsia="宋体"/>
                <w:bCs/>
                <w:sz w:val="21"/>
                <w:szCs w:val="21"/>
              </w:rPr>
              <w:t>易拆卸维修，与大屏无单独连接线。</w:t>
            </w:r>
          </w:p>
          <w:p>
            <w:pPr>
              <w:rPr>
                <w:rFonts w:ascii="宋体" w:hAnsi="宋体" w:eastAsia="宋体"/>
                <w:bCs/>
                <w:sz w:val="21"/>
                <w:szCs w:val="21"/>
              </w:rPr>
            </w:pPr>
            <w:r>
              <w:rPr>
                <w:rFonts w:ascii="宋体" w:hAnsi="宋体" w:eastAsia="宋体"/>
                <w:bCs/>
                <w:sz w:val="21"/>
                <w:szCs w:val="21"/>
              </w:rPr>
              <w:t>2</w:t>
            </w:r>
            <w:r>
              <w:rPr>
                <w:rFonts w:hint="eastAsia" w:ascii="宋体" w:hAnsi="宋体" w:eastAsia="宋体"/>
                <w:bCs/>
                <w:sz w:val="21"/>
                <w:szCs w:val="21"/>
              </w:rPr>
              <w:t>、★</w:t>
            </w:r>
            <w:r>
              <w:rPr>
                <w:rFonts w:ascii="宋体" w:hAnsi="宋体" w:eastAsia="宋体"/>
                <w:bCs/>
                <w:sz w:val="21"/>
                <w:szCs w:val="21"/>
              </w:rPr>
              <w:t>CPU</w:t>
            </w:r>
            <w:r>
              <w:rPr>
                <w:rFonts w:hint="eastAsia" w:ascii="宋体" w:hAnsi="宋体" w:eastAsia="宋体"/>
                <w:bCs/>
                <w:sz w:val="21"/>
                <w:szCs w:val="21"/>
              </w:rPr>
              <w:t>采用</w:t>
            </w:r>
            <w:r>
              <w:rPr>
                <w:rFonts w:ascii="宋体" w:hAnsi="宋体" w:eastAsia="宋体"/>
                <w:bCs/>
                <w:sz w:val="21"/>
                <w:szCs w:val="21"/>
              </w:rPr>
              <w:t>Intel</w:t>
            </w:r>
            <w:r>
              <w:rPr>
                <w:rFonts w:hint="eastAsia" w:ascii="宋体" w:hAnsi="宋体" w:eastAsia="宋体"/>
                <w:bCs/>
                <w:sz w:val="21"/>
                <w:szCs w:val="21"/>
              </w:rPr>
              <w:t>第</w:t>
            </w:r>
            <w:r>
              <w:rPr>
                <w:rFonts w:ascii="宋体" w:hAnsi="宋体" w:eastAsia="宋体"/>
                <w:bCs/>
                <w:sz w:val="21"/>
                <w:szCs w:val="21"/>
              </w:rPr>
              <w:t>9</w:t>
            </w:r>
            <w:r>
              <w:rPr>
                <w:rFonts w:hint="eastAsia" w:ascii="宋体" w:hAnsi="宋体" w:eastAsia="宋体"/>
                <w:bCs/>
                <w:sz w:val="21"/>
                <w:szCs w:val="21"/>
              </w:rPr>
              <w:t>代酷睿</w:t>
            </w:r>
            <w:r>
              <w:rPr>
                <w:rFonts w:ascii="宋体" w:hAnsi="宋体" w:eastAsia="宋体"/>
                <w:bCs/>
                <w:sz w:val="21"/>
                <w:szCs w:val="21"/>
              </w:rPr>
              <w:t>I5</w:t>
            </w:r>
            <w:r>
              <w:rPr>
                <w:rFonts w:hint="eastAsia" w:ascii="宋体" w:hAnsi="宋体" w:eastAsia="宋体"/>
                <w:bCs/>
                <w:sz w:val="21"/>
                <w:szCs w:val="21"/>
              </w:rPr>
              <w:t>处理器或更高配置；（提供具有</w:t>
            </w:r>
            <w:r>
              <w:rPr>
                <w:rFonts w:ascii="宋体" w:hAnsi="宋体" w:eastAsia="宋体"/>
                <w:bCs/>
                <w:sz w:val="21"/>
                <w:szCs w:val="21"/>
              </w:rPr>
              <w:t>CNAS</w:t>
            </w:r>
            <w:r>
              <w:rPr>
                <w:rFonts w:hint="eastAsia" w:ascii="宋体" w:hAnsi="宋体" w:eastAsia="宋体"/>
                <w:bCs/>
                <w:sz w:val="21"/>
                <w:szCs w:val="21"/>
              </w:rPr>
              <w:t>标识的检测报告复印件加盖厂商公章）</w:t>
            </w:r>
          </w:p>
          <w:p>
            <w:pPr>
              <w:rPr>
                <w:rFonts w:ascii="宋体" w:hAnsi="宋体" w:eastAsia="宋体"/>
                <w:bCs/>
                <w:sz w:val="21"/>
                <w:szCs w:val="21"/>
              </w:rPr>
            </w:pPr>
            <w:r>
              <w:rPr>
                <w:rFonts w:ascii="宋体" w:hAnsi="宋体" w:eastAsia="宋体"/>
                <w:bCs/>
                <w:sz w:val="21"/>
                <w:szCs w:val="21"/>
              </w:rPr>
              <w:t>3</w:t>
            </w:r>
            <w:r>
              <w:rPr>
                <w:rFonts w:hint="eastAsia" w:ascii="宋体" w:hAnsi="宋体" w:eastAsia="宋体"/>
                <w:bCs/>
                <w:sz w:val="21"/>
                <w:szCs w:val="21"/>
              </w:rPr>
              <w:t>、内存：≥</w:t>
            </w:r>
            <w:r>
              <w:rPr>
                <w:rFonts w:ascii="宋体" w:hAnsi="宋体" w:eastAsia="宋体"/>
                <w:bCs/>
                <w:sz w:val="21"/>
                <w:szCs w:val="21"/>
              </w:rPr>
              <w:t>8G DDR4</w:t>
            </w:r>
            <w:r>
              <w:rPr>
                <w:rFonts w:hint="eastAsia" w:ascii="宋体" w:hAnsi="宋体" w:eastAsia="宋体"/>
                <w:bCs/>
                <w:sz w:val="21"/>
                <w:szCs w:val="21"/>
              </w:rPr>
              <w:t>；</w:t>
            </w:r>
          </w:p>
          <w:p>
            <w:pPr>
              <w:rPr>
                <w:rFonts w:ascii="宋体" w:hAnsi="宋体" w:eastAsia="宋体"/>
                <w:bCs/>
                <w:sz w:val="21"/>
                <w:szCs w:val="21"/>
              </w:rPr>
            </w:pPr>
            <w:r>
              <w:rPr>
                <w:rFonts w:ascii="宋体" w:hAnsi="宋体" w:eastAsia="宋体"/>
                <w:bCs/>
                <w:sz w:val="21"/>
                <w:szCs w:val="21"/>
              </w:rPr>
              <w:t>4</w:t>
            </w:r>
            <w:r>
              <w:rPr>
                <w:rFonts w:hint="eastAsia" w:ascii="宋体" w:hAnsi="宋体" w:eastAsia="宋体"/>
                <w:bCs/>
                <w:sz w:val="21"/>
                <w:szCs w:val="21"/>
              </w:rPr>
              <w:t>、硬盘：≥</w:t>
            </w:r>
            <w:r>
              <w:rPr>
                <w:rFonts w:ascii="宋体" w:hAnsi="宋体" w:eastAsia="宋体"/>
                <w:bCs/>
                <w:sz w:val="21"/>
                <w:szCs w:val="21"/>
              </w:rPr>
              <w:t>256G SSD</w:t>
            </w:r>
            <w:r>
              <w:rPr>
                <w:rFonts w:hint="eastAsia" w:ascii="宋体" w:hAnsi="宋体" w:eastAsia="宋体"/>
                <w:bCs/>
                <w:sz w:val="21"/>
                <w:szCs w:val="21"/>
              </w:rPr>
              <w:t>；</w:t>
            </w:r>
          </w:p>
          <w:p>
            <w:pPr>
              <w:spacing w:line="360" w:lineRule="auto"/>
              <w:rPr>
                <w:rFonts w:ascii="宋体" w:hAnsi="宋体" w:eastAsia="宋体"/>
                <w:bCs/>
                <w:sz w:val="21"/>
                <w:szCs w:val="21"/>
              </w:rPr>
            </w:pPr>
            <w:r>
              <w:rPr>
                <w:rFonts w:ascii="宋体" w:hAnsi="宋体" w:eastAsia="宋体"/>
                <w:bCs/>
                <w:sz w:val="21"/>
                <w:szCs w:val="21"/>
              </w:rPr>
              <w:t>5</w:t>
            </w:r>
            <w:r>
              <w:rPr>
                <w:rFonts w:hint="eastAsia" w:ascii="宋体" w:hAnsi="宋体" w:eastAsia="宋体"/>
                <w:bCs/>
                <w:sz w:val="21"/>
                <w:szCs w:val="21"/>
              </w:rPr>
              <w:t>、★具备高效导槽散热模组，超低静音侧出风散热设计。（提供具有</w:t>
            </w:r>
            <w:r>
              <w:rPr>
                <w:rFonts w:ascii="宋体" w:hAnsi="宋体" w:eastAsia="宋体"/>
                <w:bCs/>
                <w:sz w:val="21"/>
                <w:szCs w:val="21"/>
              </w:rPr>
              <w:t>CNAS</w:t>
            </w:r>
            <w:r>
              <w:rPr>
                <w:rFonts w:hint="eastAsia" w:ascii="宋体" w:hAnsi="宋体" w:eastAsia="宋体"/>
                <w:bCs/>
                <w:sz w:val="21"/>
                <w:szCs w:val="21"/>
              </w:rPr>
              <w:t>标识的检测报告复印件加盖厂商公章）</w:t>
            </w:r>
          </w:p>
          <w:p>
            <w:pPr>
              <w:keepNext w:val="0"/>
              <w:keepLines w:val="0"/>
              <w:pageBreakBefore w:val="0"/>
              <w:widowControl w:val="0"/>
              <w:kinsoku/>
              <w:wordWrap/>
              <w:overflowPunct/>
              <w:topLinePunct w:val="0"/>
              <w:bidi w:val="0"/>
              <w:adjustRightInd/>
              <w:snapToGrid/>
              <w:spacing w:line="360" w:lineRule="auto"/>
              <w:ind w:left="680" w:leftChars="26" w:right="0" w:rightChars="0" w:hanging="625" w:hangingChars="298"/>
              <w:textAlignment w:val="auto"/>
              <w:rPr>
                <w:rFonts w:hint="eastAsia" w:asciiTheme="minorEastAsia" w:hAnsiTheme="minorEastAsia" w:eastAsiaTheme="minorEastAsia" w:cstheme="minorEastAsia"/>
                <w:color w:val="auto"/>
                <w:sz w:val="24"/>
                <w:szCs w:val="24"/>
                <w:lang w:val="en-US" w:eastAsia="zh-CN"/>
              </w:rPr>
            </w:pPr>
            <w:r>
              <w:rPr>
                <w:rFonts w:ascii="宋体" w:hAnsi="宋体"/>
                <w:bCs/>
                <w:szCs w:val="21"/>
              </w:rPr>
              <w:t>6</w:t>
            </w:r>
            <w:r>
              <w:rPr>
                <w:rFonts w:hint="eastAsia" w:ascii="宋体" w:hAnsi="宋体"/>
                <w:bCs/>
                <w:szCs w:val="21"/>
              </w:rPr>
              <w:t>、★整机采用万兆级接口，传输速率≥</w:t>
            </w:r>
            <w:r>
              <w:rPr>
                <w:rFonts w:ascii="宋体" w:hAnsi="宋体"/>
                <w:bCs/>
                <w:szCs w:val="21"/>
              </w:rPr>
              <w:t>10Gbps</w:t>
            </w:r>
            <w:r>
              <w:rPr>
                <w:rFonts w:hint="eastAsia" w:ascii="宋体" w:hAnsi="宋体"/>
                <w:bCs/>
                <w:szCs w:val="21"/>
              </w:rPr>
              <w:t>（提供具有</w:t>
            </w:r>
            <w:r>
              <w:rPr>
                <w:rFonts w:ascii="宋体" w:hAnsi="宋体"/>
                <w:bCs/>
                <w:szCs w:val="21"/>
              </w:rPr>
              <w:t>CNAS</w:t>
            </w:r>
            <w:r>
              <w:rPr>
                <w:rFonts w:hint="eastAsia" w:ascii="宋体" w:hAnsi="宋体"/>
                <w:bCs/>
                <w:szCs w:val="21"/>
              </w:rPr>
              <w:t>标识的检测报告复印件加盖厂商公章）</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教学软件</w:t>
            </w:r>
          </w:p>
        </w:tc>
        <w:tc>
          <w:tcPr>
            <w:tcW w:w="7725" w:type="dxa"/>
            <w:noWrap w:val="0"/>
            <w:tcMar>
              <w:top w:w="15" w:type="dxa"/>
              <w:left w:w="15" w:type="dxa"/>
              <w:bottom w:w="0" w:type="dxa"/>
              <w:right w:w="15" w:type="dxa"/>
            </w:tcMar>
            <w:vAlign w:val="center"/>
          </w:tcPr>
          <w:p>
            <w:pPr>
              <w:pStyle w:val="188"/>
              <w:ind w:firstLine="0" w:firstLineChars="0"/>
              <w:jc w:val="left"/>
              <w:rPr>
                <w:rFonts w:ascii="宋体" w:hAnsi="宋体"/>
                <w:b/>
                <w:szCs w:val="21"/>
              </w:rPr>
            </w:pPr>
            <w:r>
              <w:rPr>
                <w:rFonts w:hint="eastAsia" w:ascii="宋体" w:hAnsi="宋体"/>
                <w:b/>
                <w:szCs w:val="21"/>
              </w:rPr>
              <w:t>软件应用：</w:t>
            </w:r>
          </w:p>
          <w:p>
            <w:pPr>
              <w:pStyle w:val="188"/>
              <w:ind w:firstLine="0" w:firstLineChars="0"/>
              <w:jc w:val="left"/>
              <w:rPr>
                <w:rFonts w:ascii="宋体" w:hAnsi="宋体"/>
                <w:szCs w:val="21"/>
              </w:rPr>
            </w:pPr>
            <w:r>
              <w:rPr>
                <w:rFonts w:hint="eastAsia" w:ascii="宋体" w:hAnsi="宋体"/>
                <w:szCs w:val="21"/>
              </w:rPr>
              <w:t>1、支持多种登录方式如账号密码直接登录，手机验证码快捷登录；支持免登录打开本地课件；软件分为备课模式和授课模式，满足用户不同的教学场景需求；</w:t>
            </w:r>
          </w:p>
          <w:p>
            <w:pPr>
              <w:pStyle w:val="188"/>
              <w:ind w:firstLine="0" w:firstLineChars="0"/>
              <w:jc w:val="left"/>
              <w:rPr>
                <w:rFonts w:ascii="宋体" w:hAnsi="宋体"/>
                <w:szCs w:val="21"/>
              </w:rPr>
            </w:pPr>
            <w:r>
              <w:rPr>
                <w:rFonts w:hint="eastAsia" w:ascii="宋体" w:hAnsi="宋体"/>
                <w:szCs w:val="21"/>
              </w:rPr>
              <w:t>2、教学软件包含多个应用模块如：用户空间、资源回收站、班级、操作指南等应用模块；</w:t>
            </w:r>
          </w:p>
          <w:p>
            <w:pPr>
              <w:pStyle w:val="188"/>
              <w:ind w:firstLine="0" w:firstLineChars="0"/>
              <w:jc w:val="left"/>
              <w:rPr>
                <w:rFonts w:ascii="宋体" w:hAnsi="宋体"/>
                <w:szCs w:val="21"/>
              </w:rPr>
            </w:pPr>
            <w:r>
              <w:rPr>
                <w:rFonts w:hint="eastAsia" w:ascii="宋体" w:hAnsi="宋体"/>
                <w:szCs w:val="21"/>
              </w:rPr>
              <w:t>3、★回收站：教师可根据使用需求对已经创建好的课件进行修改或删除，删除后的课件可自行存放到回收站，默认情况下保存30天，30天后可自动清除，已经删除后的课件，可进行恢复或清除；回收站内的课件支持单个课件，或者全部课件一键清除；（提供具有CNAS标识的检测报告复印件加盖厂商公章）。</w:t>
            </w:r>
          </w:p>
          <w:p>
            <w:pPr>
              <w:pStyle w:val="188"/>
              <w:ind w:firstLine="0" w:firstLineChars="0"/>
              <w:jc w:val="left"/>
              <w:rPr>
                <w:rFonts w:ascii="宋体" w:hAnsi="宋体"/>
                <w:b/>
                <w:szCs w:val="21"/>
              </w:rPr>
            </w:pPr>
            <w:r>
              <w:rPr>
                <w:rFonts w:hint="eastAsia" w:ascii="宋体" w:hAnsi="宋体"/>
                <w:b/>
                <w:szCs w:val="21"/>
              </w:rPr>
              <w:t>备课模式：</w:t>
            </w:r>
          </w:p>
          <w:p>
            <w:pPr>
              <w:pStyle w:val="188"/>
              <w:ind w:firstLine="0" w:firstLineChars="0"/>
              <w:jc w:val="left"/>
              <w:rPr>
                <w:rFonts w:ascii="宋体" w:hAnsi="宋体"/>
                <w:szCs w:val="21"/>
              </w:rPr>
            </w:pPr>
            <w:r>
              <w:rPr>
                <w:rFonts w:hint="eastAsia" w:ascii="宋体" w:hAnsi="宋体"/>
                <w:szCs w:val="21"/>
              </w:rPr>
              <w:t>1、提供预置的高质量课件素材，允许老师在电脑端进行内容的选择与组合，快速生成课件并浏览。所有制作的课件均实时保存至云端，老师只需登录即可查看。</w:t>
            </w:r>
          </w:p>
          <w:p>
            <w:pPr>
              <w:pStyle w:val="188"/>
              <w:ind w:firstLine="0" w:firstLineChars="0"/>
              <w:jc w:val="left"/>
              <w:rPr>
                <w:rFonts w:ascii="宋体" w:hAnsi="宋体"/>
                <w:szCs w:val="21"/>
              </w:rPr>
            </w:pPr>
            <w:r>
              <w:rPr>
                <w:rFonts w:hint="eastAsia" w:ascii="宋体" w:hAnsi="宋体"/>
                <w:szCs w:val="21"/>
              </w:rPr>
              <w:t>2、★支持老师根据教材章节目录、知识点选择对应的教学内容。老师仅需要按每个教学环节选择所需的教学模块即可快速生成一份课件。每个课时均提供过量的教学内容模块，满足老师的个性化需求。（提供具有CNAS标识的检测报告复印件加盖厂商公章）。</w:t>
            </w:r>
          </w:p>
          <w:p>
            <w:pPr>
              <w:pStyle w:val="188"/>
              <w:ind w:firstLine="0" w:firstLineChars="0"/>
              <w:jc w:val="left"/>
              <w:rPr>
                <w:rFonts w:ascii="宋体" w:hAnsi="宋体"/>
                <w:szCs w:val="21"/>
              </w:rPr>
            </w:pPr>
            <w:r>
              <w:rPr>
                <w:rFonts w:ascii="宋体" w:hAnsi="宋体"/>
                <w:szCs w:val="21"/>
              </w:rPr>
              <w:t>3</w:t>
            </w:r>
            <w:r>
              <w:rPr>
                <w:rFonts w:hint="eastAsia" w:ascii="宋体" w:hAnsi="宋体"/>
                <w:szCs w:val="21"/>
              </w:rPr>
              <w:t>、教学模块提供教学设计和课件内容，部分课件提供课件批注，帮助老师更好地选择、运用课件内容。</w:t>
            </w:r>
          </w:p>
          <w:p>
            <w:pPr>
              <w:pStyle w:val="188"/>
              <w:ind w:firstLine="0" w:firstLineChars="0"/>
              <w:jc w:val="left"/>
              <w:rPr>
                <w:rFonts w:ascii="宋体" w:hAnsi="宋体"/>
                <w:szCs w:val="21"/>
              </w:rPr>
            </w:pPr>
            <w:r>
              <w:rPr>
                <w:rFonts w:hint="eastAsia" w:ascii="宋体" w:hAnsi="宋体"/>
                <w:szCs w:val="21"/>
              </w:rPr>
              <w:t>4、★支持将做好的课件保存在个人空间，老师在授课时进入个人空间后即可直接打开授课使用，无需下载。为方便老师课件存储，账号可提供不少于3TB的空间容量。（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5、老师制作好的课件可以打印成纸质版或导出成PDF，同时也可以以链接的形式分享，还支持扫码分享到手机微信。</w:t>
            </w:r>
          </w:p>
          <w:p>
            <w:pPr>
              <w:pStyle w:val="188"/>
              <w:ind w:firstLine="0" w:firstLineChars="0"/>
              <w:jc w:val="left"/>
              <w:rPr>
                <w:rFonts w:ascii="宋体" w:hAnsi="宋体"/>
                <w:szCs w:val="21"/>
              </w:rPr>
            </w:pPr>
            <w:r>
              <w:rPr>
                <w:rFonts w:hint="eastAsia" w:ascii="宋体" w:hAnsi="宋体"/>
                <w:szCs w:val="21"/>
              </w:rPr>
              <w:t>6、为方便老师更好地使用软件功能，软件中需要内置常见问题及初级、高级使用说明，同时提供视频格式的教程，以方便老师自主学习。</w:t>
            </w:r>
          </w:p>
          <w:p>
            <w:pPr>
              <w:pStyle w:val="188"/>
              <w:ind w:firstLine="0" w:firstLineChars="0"/>
              <w:jc w:val="left"/>
              <w:rPr>
                <w:rFonts w:ascii="宋体" w:hAnsi="宋体"/>
                <w:szCs w:val="21"/>
              </w:rPr>
            </w:pPr>
            <w:r>
              <w:rPr>
                <w:rFonts w:hint="eastAsia" w:ascii="宋体" w:hAnsi="宋体"/>
                <w:szCs w:val="21"/>
              </w:rPr>
              <w:t>7、空白课程建设需包含P</w:t>
            </w:r>
            <w:r>
              <w:rPr>
                <w:rFonts w:ascii="宋体" w:hAnsi="宋体"/>
                <w:szCs w:val="21"/>
              </w:rPr>
              <w:t>PT</w:t>
            </w:r>
            <w:r>
              <w:rPr>
                <w:rFonts w:hint="eastAsia" w:ascii="宋体" w:hAnsi="宋体"/>
                <w:szCs w:val="21"/>
              </w:rPr>
              <w:t>导入，word导入等功能；制作完成后可进行课件预览，下载，打印等功能，教学设计模块支持二次编辑。</w:t>
            </w:r>
          </w:p>
          <w:p>
            <w:pPr>
              <w:pStyle w:val="188"/>
              <w:ind w:firstLine="0" w:firstLineChars="0"/>
              <w:jc w:val="left"/>
              <w:rPr>
                <w:rFonts w:ascii="宋体" w:hAnsi="宋体"/>
                <w:szCs w:val="21"/>
              </w:rPr>
            </w:pPr>
            <w:r>
              <w:rPr>
                <w:rFonts w:ascii="宋体" w:hAnsi="宋体"/>
                <w:szCs w:val="21"/>
              </w:rPr>
              <w:t>8</w:t>
            </w:r>
            <w:r>
              <w:rPr>
                <w:rFonts w:hint="eastAsia" w:ascii="宋体" w:hAnsi="宋体"/>
                <w:szCs w:val="21"/>
              </w:rPr>
              <w:t>、软件支持单独P</w:t>
            </w:r>
            <w:r>
              <w:rPr>
                <w:rFonts w:ascii="宋体" w:hAnsi="宋体"/>
                <w:szCs w:val="21"/>
              </w:rPr>
              <w:t xml:space="preserve">PT </w:t>
            </w:r>
            <w:r>
              <w:rPr>
                <w:rFonts w:hint="eastAsia" w:ascii="宋体" w:hAnsi="宋体"/>
                <w:szCs w:val="21"/>
              </w:rPr>
              <w:t>导入功能，并支持导入进度条提示功能，用户可查看当前导入进度，上传完成后具有中文提供功能；</w:t>
            </w:r>
          </w:p>
          <w:p>
            <w:pPr>
              <w:pStyle w:val="188"/>
              <w:ind w:firstLine="0" w:firstLineChars="0"/>
              <w:jc w:val="left"/>
              <w:rPr>
                <w:rFonts w:ascii="宋体" w:hAnsi="宋体"/>
                <w:b/>
                <w:szCs w:val="21"/>
              </w:rPr>
            </w:pPr>
            <w:r>
              <w:rPr>
                <w:rFonts w:hint="eastAsia" w:ascii="宋体" w:hAnsi="宋体"/>
                <w:b/>
                <w:szCs w:val="21"/>
              </w:rPr>
              <w:t>学科资源：</w:t>
            </w:r>
          </w:p>
          <w:p>
            <w:pPr>
              <w:pStyle w:val="188"/>
              <w:ind w:firstLine="0" w:firstLineChars="0"/>
              <w:jc w:val="left"/>
              <w:rPr>
                <w:rFonts w:ascii="宋体" w:hAnsi="宋体"/>
                <w:szCs w:val="21"/>
              </w:rPr>
            </w:pPr>
            <w:r>
              <w:rPr>
                <w:rFonts w:hint="eastAsia" w:ascii="宋体" w:hAnsi="宋体"/>
                <w:szCs w:val="21"/>
              </w:rPr>
              <w:t>1、★提模块化的高质量课件素材和教案，学科涵盖小学语文、初中语文、小学数学、初中数学、高中数学、小学英语、初中英语、小学科学、初中物理、初中化学。课件支持组选：课堂导入、知识讲解，例题与变式，拓展延伸，课外活动等等，注重知识的形成过程。课件总课时量不低于1000个课时。（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2、★内置数百个高质量交互式动画，增强课堂趣味性。提供平行线、勾股定理的证明、正比例函数、全等三角形、爱国动画、识字小游戏、课文朗诵等不少于1000个制作完成的语文、数学交互式动画课件素材，可直接选用插入到课件中。（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3、精选各省市高考、统考真题、学校考试真题，以及主流教辅书中的习题组成中学数学学科题库，题库总量达到20万题。要求题库自带答案及解析，题库内的题目支持筛选题型和试题难度，可支持直接插入到课件中。题库内容插入到课件之后，还可以对题、答案、解析进行二次编辑。还可以对文本、公式进行二次编辑。</w:t>
            </w:r>
          </w:p>
          <w:p>
            <w:pPr>
              <w:pStyle w:val="188"/>
              <w:ind w:firstLine="0" w:firstLineChars="0"/>
              <w:jc w:val="left"/>
              <w:rPr>
                <w:rFonts w:ascii="宋体" w:hAnsi="宋体"/>
                <w:b/>
                <w:szCs w:val="21"/>
              </w:rPr>
            </w:pPr>
            <w:r>
              <w:rPr>
                <w:rFonts w:ascii="宋体" w:hAnsi="宋体"/>
                <w:b/>
                <w:szCs w:val="21"/>
              </w:rPr>
              <w:t>课件编辑</w:t>
            </w:r>
            <w:r>
              <w:rPr>
                <w:rFonts w:hint="eastAsia" w:ascii="宋体" w:hAnsi="宋体"/>
                <w:b/>
                <w:szCs w:val="21"/>
              </w:rPr>
              <w:t>：</w:t>
            </w:r>
          </w:p>
          <w:p>
            <w:pPr>
              <w:pStyle w:val="188"/>
              <w:ind w:firstLine="0" w:firstLineChars="0"/>
              <w:jc w:val="left"/>
              <w:rPr>
                <w:rFonts w:ascii="宋体" w:hAnsi="宋体"/>
                <w:szCs w:val="21"/>
              </w:rPr>
            </w:pPr>
            <w:r>
              <w:rPr>
                <w:rFonts w:hint="eastAsia" w:ascii="宋体" w:hAnsi="宋体"/>
                <w:szCs w:val="21"/>
              </w:rPr>
              <w:t>1、支持电脑端在线创建、编辑和修改课件。</w:t>
            </w:r>
          </w:p>
          <w:p>
            <w:pPr>
              <w:pStyle w:val="188"/>
              <w:ind w:firstLine="0" w:firstLineChars="0"/>
              <w:jc w:val="left"/>
              <w:rPr>
                <w:rFonts w:ascii="宋体" w:hAnsi="宋体"/>
                <w:szCs w:val="21"/>
              </w:rPr>
            </w:pPr>
            <w:r>
              <w:rPr>
                <w:rFonts w:hint="eastAsia" w:ascii="宋体" w:hAnsi="宋体"/>
                <w:szCs w:val="21"/>
              </w:rPr>
              <w:t>2、提供语文生字卡片，输入常用字后自动匹配读音及笔顺演示。提供拼音标注工具。支持一键将纯文本转化为文本+拼音格式或拼音格式。</w:t>
            </w:r>
          </w:p>
          <w:p>
            <w:pPr>
              <w:pStyle w:val="188"/>
              <w:ind w:firstLine="0" w:firstLineChars="0"/>
              <w:jc w:val="left"/>
              <w:rPr>
                <w:rFonts w:ascii="宋体" w:hAnsi="宋体"/>
                <w:szCs w:val="21"/>
              </w:rPr>
            </w:pPr>
            <w:r>
              <w:rPr>
                <w:rFonts w:hint="eastAsia" w:ascii="宋体" w:hAnsi="宋体"/>
                <w:szCs w:val="21"/>
              </w:rPr>
              <w:t>3、提供英语生词卡片，按不同年级提供同一单词的不同释义生词卡片。常用单词自动生成配图、发音、释义；配图可根据老师的需求进行切换。</w:t>
            </w:r>
          </w:p>
          <w:p>
            <w:pPr>
              <w:pStyle w:val="188"/>
              <w:ind w:firstLine="0" w:firstLineChars="0"/>
              <w:jc w:val="left"/>
              <w:rPr>
                <w:rFonts w:ascii="宋体" w:hAnsi="宋体"/>
                <w:szCs w:val="21"/>
              </w:rPr>
            </w:pPr>
            <w:r>
              <w:rPr>
                <w:rFonts w:hint="eastAsia" w:ascii="宋体" w:hAnsi="宋体"/>
                <w:szCs w:val="21"/>
              </w:rPr>
              <w:t>4、提供化学编辑器：提供化学公式上标、下标、反应符号、反应条件、气体沉淀等符号及快捷输入方式。输入后的公式与文本处于同一个文本框内，拖动文本框后公式随文本框变化位置。</w:t>
            </w:r>
          </w:p>
          <w:p>
            <w:pPr>
              <w:pStyle w:val="188"/>
              <w:ind w:firstLine="0" w:firstLineChars="0"/>
              <w:jc w:val="left"/>
              <w:rPr>
                <w:rFonts w:ascii="宋体" w:hAnsi="宋体"/>
                <w:szCs w:val="21"/>
              </w:rPr>
            </w:pPr>
            <w:r>
              <w:rPr>
                <w:rFonts w:hint="eastAsia" w:ascii="宋体" w:hAnsi="宋体"/>
                <w:szCs w:val="21"/>
              </w:rPr>
              <w:t>5、提供数学公式编辑器，提供近百种数学符号，提供数学公式上标、下标、分式的快捷键输入方式。输入后的公式与文本处于同一个文本框内，拖动文本框后公式随文本框变化位置。</w:t>
            </w:r>
          </w:p>
          <w:p>
            <w:pPr>
              <w:pStyle w:val="188"/>
              <w:ind w:firstLine="0" w:firstLineChars="0"/>
              <w:jc w:val="left"/>
              <w:rPr>
                <w:rFonts w:ascii="宋体" w:hAnsi="宋体"/>
                <w:szCs w:val="21"/>
              </w:rPr>
            </w:pPr>
            <w:r>
              <w:rPr>
                <w:rFonts w:ascii="宋体" w:hAnsi="宋体"/>
                <w:szCs w:val="21"/>
              </w:rPr>
              <w:t>6</w:t>
            </w:r>
            <w:r>
              <w:rPr>
                <w:rFonts w:hint="eastAsia" w:ascii="宋体" w:hAnsi="宋体"/>
                <w:szCs w:val="21"/>
              </w:rPr>
              <w:t>、支持用户创建当一个对象被点击时，触发其他对象出现或隐藏效果的动画。</w:t>
            </w:r>
          </w:p>
          <w:p>
            <w:pPr>
              <w:pStyle w:val="188"/>
              <w:ind w:firstLine="0" w:firstLineChars="0"/>
              <w:jc w:val="left"/>
              <w:rPr>
                <w:rFonts w:ascii="宋体" w:hAnsi="宋体"/>
                <w:szCs w:val="21"/>
              </w:rPr>
            </w:pPr>
            <w:r>
              <w:rPr>
                <w:rFonts w:hint="eastAsia" w:ascii="宋体" w:hAnsi="宋体"/>
                <w:szCs w:val="21"/>
              </w:rPr>
              <w:t>7、支持老师创建交互式动态课件，提供相应的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p>
            <w:pPr>
              <w:pStyle w:val="188"/>
              <w:ind w:firstLine="0" w:firstLineChars="0"/>
              <w:jc w:val="left"/>
              <w:rPr>
                <w:rFonts w:ascii="宋体" w:hAnsi="宋体"/>
                <w:szCs w:val="21"/>
              </w:rPr>
            </w:pPr>
            <w:r>
              <w:rPr>
                <w:rFonts w:hint="eastAsia" w:ascii="宋体" w:hAnsi="宋体"/>
                <w:szCs w:val="21"/>
              </w:rPr>
              <w:t>8、可以绘制任意平面图形：例如：多边形，圆，圆锥曲线，向量，函数图形等。可以绘制任意几何图形。例如：棱柱，棱锥，几何体展开图，曲线，曲面等。</w:t>
            </w:r>
          </w:p>
          <w:p>
            <w:pPr>
              <w:pStyle w:val="188"/>
              <w:ind w:firstLine="0" w:firstLineChars="0"/>
              <w:jc w:val="left"/>
              <w:rPr>
                <w:rFonts w:ascii="宋体" w:hAnsi="宋体"/>
                <w:szCs w:val="21"/>
              </w:rPr>
            </w:pPr>
            <w:r>
              <w:rPr>
                <w:rFonts w:hint="eastAsia" w:ascii="宋体" w:hAnsi="宋体"/>
                <w:szCs w:val="21"/>
              </w:rPr>
              <w:t>9、★可以制作任意3D动态课件，例如：震荡，视图旋转，空间运动，投影等等。（提供具有CNAS标识的检测报告复印件加盖厂商公章）。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10、支持老师将绘制的函数图像或图形一键导出为图片，插入到课件中。</w:t>
            </w:r>
          </w:p>
          <w:p>
            <w:pPr>
              <w:pStyle w:val="188"/>
              <w:ind w:firstLine="0" w:firstLineChars="0"/>
              <w:jc w:val="left"/>
              <w:rPr>
                <w:rFonts w:ascii="宋体" w:hAnsi="宋体"/>
                <w:szCs w:val="21"/>
              </w:rPr>
            </w:pPr>
            <w:r>
              <w:rPr>
                <w:rFonts w:ascii="宋体" w:hAnsi="宋体"/>
                <w:szCs w:val="21"/>
              </w:rPr>
              <w:t>1</w:t>
            </w:r>
            <w:r>
              <w:rPr>
                <w:rFonts w:hint="eastAsia" w:ascii="宋体" w:hAnsi="宋体"/>
                <w:szCs w:val="21"/>
              </w:rPr>
              <w:t>1、提供知识配对、分类、填空等多种类型的课堂活动，每种课堂活动提供多种活动模板，老师备课时通过活动模板即可快速制作趣味活动，以增加课堂趣味性。</w:t>
            </w:r>
          </w:p>
          <w:p>
            <w:pPr>
              <w:pStyle w:val="188"/>
              <w:ind w:firstLine="0" w:firstLineChars="0"/>
              <w:jc w:val="left"/>
              <w:rPr>
                <w:rFonts w:ascii="宋体" w:hAnsi="宋体"/>
                <w:b/>
                <w:szCs w:val="21"/>
              </w:rPr>
            </w:pPr>
            <w:r>
              <w:rPr>
                <w:rFonts w:hint="eastAsia" w:ascii="宋体" w:hAnsi="宋体"/>
                <w:b/>
                <w:szCs w:val="21"/>
              </w:rPr>
              <w:t>应用中心：</w:t>
            </w:r>
          </w:p>
          <w:p>
            <w:pPr>
              <w:pStyle w:val="188"/>
              <w:ind w:firstLine="0" w:firstLineChars="0"/>
              <w:jc w:val="left"/>
              <w:rPr>
                <w:rFonts w:ascii="宋体" w:hAnsi="宋体"/>
                <w:szCs w:val="21"/>
              </w:rPr>
            </w:pPr>
            <w:r>
              <w:rPr>
                <w:rFonts w:hint="eastAsia" w:ascii="宋体" w:hAnsi="宋体"/>
                <w:szCs w:val="21"/>
              </w:rPr>
              <w:t>1、★</w:t>
            </w:r>
            <w:r>
              <w:rPr>
                <w:rFonts w:ascii="宋体" w:hAnsi="宋体"/>
                <w:szCs w:val="21"/>
              </w:rPr>
              <w:t>为方便用户对教学软件进行统一的下载、安装、升级等，需要提供专门针对教学软件管理的应用中心（与硬件为同一品牌，</w:t>
            </w:r>
            <w:r>
              <w:rPr>
                <w:rFonts w:hint="eastAsia" w:ascii="宋体" w:hAnsi="宋体"/>
                <w:szCs w:val="21"/>
              </w:rPr>
              <w:t>保证软件来源及信息安全，</w:t>
            </w:r>
            <w:r>
              <w:rPr>
                <w:rFonts w:ascii="宋体" w:hAnsi="宋体"/>
                <w:szCs w:val="21"/>
              </w:rPr>
              <w:t>不接受第三方应用）；</w:t>
            </w:r>
            <w:r>
              <w:rPr>
                <w:rFonts w:hint="eastAsia" w:ascii="宋体" w:hAnsi="宋体"/>
                <w:szCs w:val="21"/>
              </w:rPr>
              <w:t>（提供具有CNAS标识的检测报告复印件加盖厂商公章）。</w:t>
            </w:r>
          </w:p>
          <w:p>
            <w:pPr>
              <w:pStyle w:val="188"/>
              <w:ind w:firstLine="0" w:firstLineChars="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应用中心可对教学软件进行分类统计，并可显示每一类别的软件数量。同时还可以显示软件是否已安装，对未安装的教学软件可以一键下载并安装，支持查看下载记录及软件下载进度；</w:t>
            </w:r>
          </w:p>
          <w:p>
            <w:pPr>
              <w:pStyle w:val="188"/>
              <w:ind w:firstLine="0" w:firstLineChars="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支持查看软件详情页，包含软件名称、软件介绍、软件截图、软件大小、软件版本号、软件更新时间等信息；</w:t>
            </w:r>
          </w:p>
          <w:p>
            <w:pPr>
              <w:pStyle w:val="188"/>
              <w:ind w:firstLine="0" w:firstLineChars="0"/>
              <w:jc w:val="left"/>
              <w:rPr>
                <w:rFonts w:ascii="宋体" w:hAnsi="宋体"/>
                <w:b/>
                <w:szCs w:val="21"/>
              </w:rPr>
            </w:pPr>
            <w:r>
              <w:rPr>
                <w:rFonts w:hint="eastAsia" w:ascii="宋体" w:hAnsi="宋体"/>
                <w:b/>
                <w:szCs w:val="21"/>
              </w:rPr>
              <w:t>移动授课：</w:t>
            </w:r>
          </w:p>
          <w:p>
            <w:pPr>
              <w:pStyle w:val="188"/>
              <w:ind w:firstLine="0" w:firstLineChars="0"/>
              <w:jc w:val="left"/>
              <w:rPr>
                <w:rFonts w:hint="eastAsia" w:ascii="宋体" w:hAnsi="宋体" w:eastAsia="宋体"/>
                <w:szCs w:val="21"/>
                <w:lang w:eastAsia="zh-CN"/>
              </w:rPr>
            </w:pPr>
            <w:r>
              <w:rPr>
                <w:rFonts w:hint="eastAsia" w:ascii="宋体" w:hAnsi="宋体"/>
                <w:szCs w:val="21"/>
              </w:rPr>
              <w:t>支持手机、pad 移动端与PC 端通过智能搜索或扫描二维码方式连接；可实现影像上传功能：支持对上传的图片内容再次编辑操作，可同时上传多张照片进行同屏对比，双向批注；可实现投屏功能：手机画面上传至 PC 端；PC 端电脑画面同步至手机，可实现手机实时控制、随时批注PC 端电脑桌面；可实现播放课件功能：支持播放电脑桌面的 ppt/白板课件；可实现手机直播：同步直播手机摄像头画面至 PC 端；可实现 u 盘文件直读功能；可实现一键切换电脑窗口文件功能</w:t>
            </w:r>
            <w:r>
              <w:rPr>
                <w:rFonts w:hint="eastAsia" w:ascii="宋体" w:hAnsi="宋体"/>
                <w:szCs w:val="21"/>
                <w:lang w:eastAsia="zh-CN"/>
              </w:rPr>
              <w:t>。</w:t>
            </w:r>
          </w:p>
          <w:p>
            <w:pPr>
              <w:pStyle w:val="188"/>
              <w:ind w:firstLine="0" w:firstLineChars="0"/>
              <w:jc w:val="left"/>
              <w:rPr>
                <w:rFonts w:hint="eastAsia" w:ascii="宋体" w:hAnsi="宋体" w:eastAsia="宋体"/>
                <w:szCs w:val="21"/>
                <w:lang w:eastAsia="zh-CN"/>
              </w:rPr>
            </w:pPr>
            <w:r>
              <w:rPr>
                <w:rFonts w:hint="eastAsia" w:ascii="宋体" w:hAnsi="宋体"/>
                <w:szCs w:val="21"/>
              </w:rPr>
              <w:t>★为保证产品兼容性，教学软件需与交互平板为同一品牌</w:t>
            </w:r>
            <w:r>
              <w:rPr>
                <w:rFonts w:hint="eastAsia" w:ascii="宋体" w:hAnsi="宋体"/>
                <w:szCs w:val="21"/>
                <w:lang w:eastAsia="zh-CN"/>
              </w:rPr>
              <w:t>。</w:t>
            </w:r>
          </w:p>
          <w:p>
            <w:pPr>
              <w:keepNext w:val="0"/>
              <w:keepLines w:val="0"/>
              <w:pageBreakBefore w:val="0"/>
              <w:widowControl w:val="0"/>
              <w:kinsoku/>
              <w:wordWrap/>
              <w:overflowPunct/>
              <w:topLinePunct w:val="0"/>
              <w:bidi w:val="0"/>
              <w:adjustRightInd/>
              <w:snapToGrid/>
              <w:spacing w:line="360" w:lineRule="auto"/>
              <w:ind w:left="680" w:leftChars="26" w:right="0" w:rightChars="0" w:hanging="62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olor w:val="000000" w:themeColor="text1"/>
                <w:kern w:val="0"/>
                <w:szCs w:val="21"/>
                <w14:textFill>
                  <w14:solidFill>
                    <w14:schemeClr w14:val="tx1"/>
                  </w14:solidFill>
                </w14:textFill>
              </w:rPr>
              <w:t>软件应用服务及功能应保障用户信息安全</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4</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实物展台</w:t>
            </w:r>
          </w:p>
        </w:tc>
        <w:tc>
          <w:tcPr>
            <w:tcW w:w="7725" w:type="dxa"/>
            <w:noWrap w:val="0"/>
            <w:tcMar>
              <w:top w:w="15" w:type="dxa"/>
              <w:left w:w="15" w:type="dxa"/>
              <w:bottom w:w="0" w:type="dxa"/>
              <w:right w:w="15" w:type="dxa"/>
            </w:tcMar>
            <w:vAlign w:val="center"/>
          </w:tcPr>
          <w:p>
            <w:pPr>
              <w:pStyle w:val="188"/>
              <w:ind w:firstLine="0" w:firstLineChars="0"/>
              <w:jc w:val="left"/>
              <w:rPr>
                <w:rFonts w:ascii="宋体" w:hAnsi="宋体"/>
                <w:szCs w:val="21"/>
              </w:rPr>
            </w:pPr>
            <w:r>
              <w:rPr>
                <w:rFonts w:hint="eastAsia" w:ascii="宋体" w:hAnsi="宋体"/>
                <w:szCs w:val="21"/>
              </w:rPr>
              <w:t>1.整机采用USB方式供电，支持壁挂式安装和台式安装两种安装方式，与交互平板为同一品牌。</w:t>
            </w:r>
          </w:p>
          <w:p>
            <w:pPr>
              <w:pStyle w:val="188"/>
              <w:ind w:firstLine="0" w:firstLineChars="0"/>
              <w:jc w:val="left"/>
              <w:rPr>
                <w:rFonts w:ascii="宋体" w:hAnsi="宋体"/>
                <w:szCs w:val="21"/>
              </w:rPr>
            </w:pPr>
            <w:r>
              <w:rPr>
                <w:rFonts w:hint="eastAsia" w:ascii="宋体" w:hAnsi="宋体"/>
                <w:szCs w:val="21"/>
              </w:rPr>
              <w:t>2.外观材质：兼顾教学环境，保护师生安全，采用ABS材质；</w:t>
            </w:r>
          </w:p>
          <w:p>
            <w:pPr>
              <w:pStyle w:val="188"/>
              <w:ind w:firstLine="0" w:firstLineChars="0"/>
              <w:jc w:val="left"/>
              <w:rPr>
                <w:rFonts w:ascii="宋体" w:hAnsi="宋体"/>
                <w:szCs w:val="21"/>
              </w:rPr>
            </w:pPr>
            <w:r>
              <w:rPr>
                <w:rFonts w:hint="eastAsia" w:ascii="宋体" w:hAnsi="宋体"/>
                <w:szCs w:val="21"/>
              </w:rPr>
              <w:t>3.★整机采用高清摄像头设计，不小于1300万像素定焦镜头，清晰度中心线≥1600线，使画面展示更加清晰；（提供具有CNAS标识的检测报告复印件加盖厂商公章）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4.整机变焦：≥12倍数字变焦；（提供具有CNAS标识的检测报告复印件加盖厂商公章）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5.拍摄幅面：A4及以上；</w:t>
            </w:r>
          </w:p>
          <w:p>
            <w:pPr>
              <w:pStyle w:val="188"/>
              <w:ind w:firstLine="0" w:firstLineChars="0"/>
              <w:jc w:val="left"/>
              <w:rPr>
                <w:rFonts w:ascii="宋体" w:hAnsi="宋体"/>
                <w:szCs w:val="21"/>
              </w:rPr>
            </w:pPr>
            <w:r>
              <w:rPr>
                <w:rFonts w:hint="eastAsia" w:ascii="宋体" w:hAnsi="宋体"/>
                <w:szCs w:val="21"/>
              </w:rPr>
              <w:t>6.图像色彩：24位及以上；</w:t>
            </w:r>
          </w:p>
          <w:p>
            <w:pPr>
              <w:pStyle w:val="188"/>
              <w:ind w:firstLine="0" w:firstLineChars="0"/>
              <w:jc w:val="left"/>
              <w:rPr>
                <w:rFonts w:ascii="宋体" w:hAnsi="宋体"/>
                <w:szCs w:val="21"/>
              </w:rPr>
            </w:pPr>
            <w:r>
              <w:rPr>
                <w:rFonts w:hint="eastAsia" w:ascii="宋体" w:hAnsi="宋体"/>
                <w:szCs w:val="21"/>
              </w:rPr>
              <w:t>7.输出格式：图片JPG，视频MP4；</w:t>
            </w:r>
          </w:p>
          <w:p>
            <w:pPr>
              <w:pStyle w:val="188"/>
              <w:ind w:firstLine="0" w:firstLineChars="0"/>
              <w:jc w:val="left"/>
              <w:rPr>
                <w:rFonts w:ascii="宋体" w:hAnsi="宋体"/>
                <w:szCs w:val="21"/>
              </w:rPr>
            </w:pPr>
            <w:r>
              <w:rPr>
                <w:rFonts w:hint="eastAsia" w:ascii="宋体" w:hAnsi="宋体"/>
                <w:szCs w:val="21"/>
              </w:rPr>
              <w:t>8.整机具有安全锁；</w:t>
            </w:r>
          </w:p>
          <w:p>
            <w:pPr>
              <w:pStyle w:val="188"/>
              <w:ind w:firstLine="0" w:firstLineChars="0"/>
              <w:jc w:val="left"/>
              <w:rPr>
                <w:rFonts w:ascii="宋体" w:hAnsi="宋体"/>
                <w:szCs w:val="21"/>
              </w:rPr>
            </w:pPr>
            <w:r>
              <w:rPr>
                <w:rFonts w:hint="eastAsia" w:ascii="宋体" w:hAnsi="宋体"/>
                <w:szCs w:val="21"/>
              </w:rPr>
              <w:t>9.稳固安装设计：采用三点稳固设计，确保台式安装时，即使在不平整的桌面上依然可稳固安装及使用；</w:t>
            </w:r>
          </w:p>
          <w:p>
            <w:pPr>
              <w:pStyle w:val="188"/>
              <w:ind w:firstLine="0" w:firstLineChars="0"/>
              <w:jc w:val="left"/>
              <w:rPr>
                <w:rFonts w:ascii="宋体" w:hAnsi="宋体"/>
                <w:szCs w:val="21"/>
              </w:rPr>
            </w:pPr>
            <w:r>
              <w:rPr>
                <w:rFonts w:hint="eastAsia" w:ascii="宋体" w:hAnsi="宋体"/>
                <w:szCs w:val="21"/>
              </w:rPr>
              <w:t>10.光源补偿：LED五级光源补偿</w:t>
            </w:r>
          </w:p>
          <w:p>
            <w:pPr>
              <w:pStyle w:val="188"/>
              <w:ind w:firstLine="0" w:firstLineChars="0"/>
              <w:jc w:val="left"/>
              <w:rPr>
                <w:rFonts w:ascii="宋体" w:hAnsi="宋体"/>
                <w:szCs w:val="21"/>
              </w:rPr>
            </w:pPr>
            <w:r>
              <w:rPr>
                <w:rFonts w:hint="eastAsia" w:ascii="宋体" w:hAnsi="宋体"/>
                <w:szCs w:val="21"/>
              </w:rPr>
              <w:t>11.★整机内置高灵敏麦克风，录制1080P动态视频预览达到30帧/秒，满足教学录制需求；（提供具有CNAS标识的检测报告复印件加盖厂商公章）</w:t>
            </w:r>
          </w:p>
          <w:p>
            <w:pPr>
              <w:pStyle w:val="188"/>
              <w:ind w:firstLine="0" w:firstLineChars="0"/>
              <w:jc w:val="left"/>
              <w:rPr>
                <w:rFonts w:ascii="宋体" w:hAnsi="宋体"/>
                <w:szCs w:val="21"/>
              </w:rPr>
            </w:pPr>
            <w:r>
              <w:rPr>
                <w:rFonts w:hint="eastAsia" w:ascii="宋体" w:hAnsi="宋体"/>
                <w:szCs w:val="21"/>
              </w:rPr>
              <w:t>12.★视频展台产品通过可靠性检验，通过平均无故障时间（MTBF）检测；</w:t>
            </w:r>
          </w:p>
          <w:p>
            <w:pPr>
              <w:pStyle w:val="50"/>
              <w:rPr>
                <w:rFonts w:hint="eastAsia"/>
                <w:lang w:val="en-US" w:eastAsia="zh-CN"/>
              </w:rPr>
            </w:pPr>
            <w:r>
              <w:rPr>
                <w:rFonts w:hint="eastAsia" w:ascii="宋体" w:hAnsi="宋体"/>
                <w:szCs w:val="21"/>
              </w:rPr>
              <w:t>13.</w:t>
            </w:r>
            <w:r>
              <w:rPr>
                <w:rFonts w:hint="eastAsia" w:ascii="宋体" w:hAnsi="宋体" w:eastAsia="宋体" w:cs="Times New Roman"/>
                <w:b/>
                <w:bCs/>
                <w:caps w:val="0"/>
                <w:kern w:val="2"/>
                <w:sz w:val="21"/>
                <w:szCs w:val="21"/>
                <w:lang w:val="en-US" w:eastAsia="zh-CN" w:bidi="ar-SA"/>
              </w:rPr>
              <w:t>★具有拍照截图、智能连拍功能，支持通用、文本档、色彩三种图像模式，方便用户根据实际教学场景切换模式；（提供具有CNAS标识的检测报告复印件加盖厂商公章）</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5</w:t>
            </w:r>
          </w:p>
        </w:tc>
        <w:tc>
          <w:tcPr>
            <w:tcW w:w="656" w:type="dxa"/>
            <w:noWrap/>
            <w:tcMar>
              <w:top w:w="15" w:type="dxa"/>
              <w:left w:w="15" w:type="dxa"/>
              <w:bottom w:w="0" w:type="dxa"/>
              <w:right w:w="15" w:type="dxa"/>
            </w:tcMar>
            <w:textDirection w:val="tbLrV"/>
            <w:vAlign w:val="center"/>
          </w:tcPr>
          <w:p>
            <w:pPr>
              <w:ind w:left="113" w:leftChars="0" w:right="113" w:rightChars="0"/>
              <w:jc w:val="both"/>
              <w:rPr>
                <w:rFonts w:hint="eastAsia"/>
                <w:lang w:val="en-US" w:eastAsia="zh-CN"/>
              </w:rPr>
            </w:pPr>
          </w:p>
          <w:p>
            <w:pPr>
              <w:pStyle w:val="18"/>
              <w:rPr>
                <w:rFonts w:hint="default"/>
                <w:lang w:val="en-US" w:eastAsia="zh-CN"/>
              </w:rPr>
            </w:pPr>
            <w:r>
              <w:rPr>
                <w:rFonts w:hint="eastAsia" w:ascii="黑体" w:hAnsi="黑体" w:eastAsia="黑体" w:cs="黑体"/>
                <w:kern w:val="2"/>
                <w:sz w:val="24"/>
                <w:szCs w:val="24"/>
                <w:lang w:val="en-US" w:eastAsia="zh-CN" w:bidi="ar-SA"/>
              </w:rPr>
              <w:t xml:space="preserve">     推拉搪瓷板</w:t>
            </w:r>
          </w:p>
        </w:tc>
        <w:tc>
          <w:tcPr>
            <w:tcW w:w="7725" w:type="dxa"/>
            <w:noWrap w:val="0"/>
            <w:tcMar>
              <w:top w:w="15" w:type="dxa"/>
              <w:left w:w="15" w:type="dxa"/>
              <w:bottom w:w="0" w:type="dxa"/>
              <w:right w:w="15" w:type="dxa"/>
            </w:tcMar>
            <w:vAlign w:val="center"/>
          </w:tcPr>
          <w:p>
            <w:pPr>
              <w:pStyle w:val="188"/>
              <w:ind w:firstLine="0" w:firstLineChars="0"/>
              <w:jc w:val="left"/>
              <w:rPr>
                <w:rFonts w:ascii="宋体" w:hAnsi="宋体"/>
                <w:szCs w:val="21"/>
              </w:rPr>
            </w:pPr>
            <w:r>
              <w:rPr>
                <w:rFonts w:hint="eastAsia" w:ascii="宋体" w:hAnsi="宋体"/>
                <w:szCs w:val="21"/>
              </w:rPr>
              <w:t>1、产品结构：左右推拉结构 (无侧边框，内置轨道,外框和轨道一体化设计)，由2块活动板、上下整体滑道、转角等组装而成。交互智能平板内置于黑板中间的位置，活动板锁定时能完全遮挡并保护大屏幕液智能平板，活动板向两边推开时可超出推拉板后部固定的外边框，完全露出大屏幕液智能平板用于教学；</w:t>
            </w:r>
          </w:p>
          <w:p>
            <w:pPr>
              <w:pStyle w:val="188"/>
              <w:ind w:firstLine="0" w:firstLineChars="0"/>
              <w:jc w:val="left"/>
              <w:rPr>
                <w:rFonts w:ascii="宋体" w:hAnsi="宋体"/>
                <w:szCs w:val="21"/>
              </w:rPr>
            </w:pPr>
            <w:r>
              <w:rPr>
                <w:rFonts w:hint="eastAsia" w:ascii="宋体" w:hAnsi="宋体"/>
                <w:szCs w:val="21"/>
              </w:rPr>
              <w:t xml:space="preserve">2、基本尺寸：外形尺寸一般为4000mm×1300mm，需保证与大屏幕液智能平板物理尺寸配套，实际尺寸可根据学校实际情况进行调整； </w:t>
            </w:r>
          </w:p>
          <w:p>
            <w:pPr>
              <w:pStyle w:val="188"/>
              <w:ind w:firstLine="0" w:firstLineChars="0"/>
              <w:jc w:val="left"/>
              <w:rPr>
                <w:rFonts w:ascii="宋体" w:hAnsi="宋体"/>
                <w:szCs w:val="21"/>
              </w:rPr>
            </w:pPr>
            <w:r>
              <w:rPr>
                <w:rFonts w:hint="eastAsia" w:ascii="宋体" w:hAnsi="宋体"/>
                <w:szCs w:val="21"/>
              </w:rPr>
              <w:t>3、面板：白彩钢板厚度≥0.3㎜，表面有保护膜；书写面颜色：白色、亚光；</w:t>
            </w:r>
          </w:p>
          <w:p>
            <w:pPr>
              <w:keepNext w:val="0"/>
              <w:keepLines w:val="0"/>
              <w:pageBreakBefore w:val="0"/>
              <w:widowControl w:val="0"/>
              <w:kinsoku/>
              <w:wordWrap/>
              <w:overflowPunct/>
              <w:topLinePunct w:val="0"/>
              <w:bidi w:val="0"/>
              <w:adjustRightInd/>
              <w:snapToGrid/>
              <w:spacing w:line="360" w:lineRule="auto"/>
              <w:ind w:left="680" w:leftChars="26" w:right="0" w:rightChars="0" w:hanging="62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szCs w:val="21"/>
              </w:rPr>
              <w:t>4、外观：书写面平整，没有波纹、龟裂、针孔、气泡、斑痕凹凸等缺陷。</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6</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eastAsia="zh-CN"/>
              </w:rPr>
              <w:t>学生课</w:t>
            </w:r>
            <w:r>
              <w:rPr>
                <w:rFonts w:hint="eastAsia" w:ascii="黑体" w:hAnsi="黑体" w:eastAsia="黑体" w:cs="黑体"/>
                <w:sz w:val="24"/>
                <w:szCs w:val="24"/>
              </w:rPr>
              <w:t>桌椅</w:t>
            </w:r>
          </w:p>
        </w:tc>
        <w:tc>
          <w:tcPr>
            <w:tcW w:w="7725" w:type="dxa"/>
            <w:noWrap w:val="0"/>
            <w:tcMar>
              <w:top w:w="15" w:type="dxa"/>
              <w:left w:w="15" w:type="dxa"/>
              <w:bottom w:w="0" w:type="dxa"/>
              <w:right w:w="15" w:type="dxa"/>
            </w:tcMar>
            <w:vAlign w:val="center"/>
          </w:tcPr>
          <w:p>
            <w:pPr>
              <w:widowControl/>
              <w:jc w:val="left"/>
              <w:rPr>
                <w:rFonts w:ascii="宋体" w:hAnsi="宋体" w:eastAsia="宋体"/>
                <w:sz w:val="21"/>
                <w:szCs w:val="21"/>
              </w:rPr>
            </w:pPr>
            <w:r>
              <w:rPr>
                <w:rFonts w:hint="eastAsia" w:ascii="宋体" w:hAnsi="宋体" w:eastAsia="宋体"/>
                <w:sz w:val="21"/>
                <w:szCs w:val="21"/>
              </w:rPr>
              <w:t>规格：桌长600×宽400×高(670~790)mm  椅H=(380~460)mm，可升降式。</w:t>
            </w:r>
          </w:p>
          <w:p>
            <w:pPr>
              <w:widowControl/>
              <w:jc w:val="left"/>
              <w:rPr>
                <w:rFonts w:ascii="宋体" w:hAnsi="宋体" w:eastAsia="宋体"/>
                <w:sz w:val="21"/>
                <w:szCs w:val="21"/>
              </w:rPr>
            </w:pPr>
            <w:r>
              <w:rPr>
                <w:rFonts w:hint="eastAsia" w:ascii="宋体" w:hAnsi="宋体" w:eastAsia="宋体"/>
                <w:sz w:val="21"/>
                <w:szCs w:val="21"/>
              </w:rPr>
              <w:t xml:space="preserve">  一、课桌：单斗，桌面600*400*18mm塑料包边中纤板；可升降式，升降侧板为0.8mm优质冷轧钢板整体冲压成型,桌斗采用0.8mm优质冷轧钢板整体冲压成型,内腔尺寸：500（±2）×350（±2）×180mm；双立柱20*50*1.2椭圆管，双立柱横拉为20*50*1.0，脚管采用20*50×1.2mm椭圆钢管，两端为塑胶套，与地面接触。</w:t>
            </w:r>
          </w:p>
          <w:p>
            <w:pPr>
              <w:widowControl/>
              <w:jc w:val="left"/>
              <w:rPr>
                <w:rFonts w:ascii="宋体" w:hAnsi="宋体" w:eastAsia="宋体"/>
                <w:sz w:val="21"/>
                <w:szCs w:val="21"/>
              </w:rPr>
            </w:pPr>
            <w:r>
              <w:rPr>
                <w:rFonts w:hint="eastAsia" w:ascii="宋体" w:hAnsi="宋体" w:eastAsia="宋体"/>
                <w:sz w:val="21"/>
                <w:szCs w:val="21"/>
              </w:rPr>
              <w:t xml:space="preserve">  二、课椅：椅子采用18厚塑料包边中纤座板、背板，椅背为20*20*1.1方管采用双头弯管机一次性成型，升降侧板为1.2mm优质冷轧钢板整体冲压成型,双立柱管采用20（±2）×50（±2）×1.0mm型材钢管;脚管采用20*50×1.2mm椭圆钢管，双脚横拉为20*50*1.0椭圆管，两端为塑胶套，与地面接触。</w:t>
            </w:r>
          </w:p>
          <w:p>
            <w:pPr>
              <w:widowControl/>
              <w:jc w:val="left"/>
              <w:rPr>
                <w:rFonts w:ascii="宋体" w:hAnsi="宋体" w:eastAsia="宋体"/>
                <w:sz w:val="21"/>
                <w:szCs w:val="21"/>
              </w:rPr>
            </w:pPr>
            <w:r>
              <w:rPr>
                <w:rFonts w:hint="eastAsia" w:ascii="宋体" w:hAnsi="宋体" w:eastAsia="宋体"/>
                <w:sz w:val="21"/>
                <w:szCs w:val="21"/>
              </w:rPr>
              <w:t xml:space="preserve">  课身颜色为中灰。</w:t>
            </w:r>
          </w:p>
          <w:p>
            <w:pPr>
              <w:widowControl/>
              <w:jc w:val="left"/>
              <w:rPr>
                <w:rFonts w:ascii="宋体" w:hAnsi="宋体" w:eastAsia="宋体" w:cs="宋体"/>
                <w:kern w:val="0"/>
                <w:sz w:val="21"/>
                <w:szCs w:val="21"/>
              </w:rPr>
            </w:pPr>
            <w:r>
              <w:rPr>
                <w:rFonts w:hint="eastAsia" w:ascii="宋体" w:hAnsi="宋体" w:eastAsia="宋体"/>
                <w:sz w:val="21"/>
                <w:szCs w:val="21"/>
              </w:rPr>
              <w:t>三、</w:t>
            </w:r>
            <w:r>
              <w:rPr>
                <w:rFonts w:hint="eastAsia" w:ascii="宋体" w:hAnsi="宋体" w:eastAsia="宋体" w:cs="宋体"/>
                <w:kern w:val="0"/>
                <w:sz w:val="21"/>
                <w:szCs w:val="21"/>
              </w:rPr>
              <w:t>所投产品的</w:t>
            </w:r>
            <w:r>
              <w:rPr>
                <w:rFonts w:hint="eastAsia" w:ascii="宋体" w:hAnsi="宋体" w:eastAsia="宋体" w:cs="宋体"/>
                <w:sz w:val="21"/>
                <w:szCs w:val="21"/>
              </w:rPr>
              <w:t>★</w:t>
            </w:r>
            <w:r>
              <w:rPr>
                <w:rFonts w:hint="eastAsia" w:ascii="宋体" w:hAnsi="宋体" w:eastAsia="宋体" w:cs="宋体"/>
                <w:kern w:val="0"/>
                <w:sz w:val="21"/>
                <w:szCs w:val="21"/>
              </w:rPr>
              <w:t>钢管（辅材）满足：</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1.化学成分分析：满足SGS化学成分分析测试，依据GB/T4336-2016+AMD.1-2017(OES)测试标准。至少通过5项元素测试，检验结果：①C（不超过0.08%）；②Si（不超过0.03%）；③Mn（不超过0.2%）；④P（不超过0.014%）；⑤S（不超过0.007%）。</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2、拉伸测试：满足SGS矩形截面试样拉伸测试，依据GB/T228.1-2010测试标准。至少通过3项测试，检验结果：①抗拉强度（不小于338MPa）；②规定塑性延伸强度（不小于312）；③断后伸长率（不小于49%）</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3.可溶性重金属测试：满足SGS可溶性重金属测试，依据GB 18584-2001测试标准。至少通过4项测试，检验结果：①可溶性镉（未检出）；②可溶性铅（未检出）；③可溶性汞（未检出）；④可溶性铬（未检出）；</w:t>
            </w:r>
          </w:p>
          <w:p>
            <w:pPr>
              <w:spacing w:line="380" w:lineRule="exact"/>
              <w:jc w:val="left"/>
              <w:rPr>
                <w:rFonts w:ascii="宋体" w:hAnsi="宋体" w:eastAsia="宋体" w:cs="宋体"/>
                <w:kern w:val="0"/>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提供检测报告，检测报告须为2018年以后（含18年版本，检测报告必须具有CMA标识及CNAS标识）（复印件加盖制造商公章）（开标时原件备查）</w:t>
            </w:r>
            <w:r>
              <w:rPr>
                <w:rFonts w:hint="eastAsia" w:ascii="宋体" w:hAnsi="宋体" w:eastAsia="宋体" w:cs="宋体"/>
                <w:kern w:val="0"/>
                <w:sz w:val="21"/>
                <w:szCs w:val="21"/>
              </w:rPr>
              <w:br w:type="page"/>
            </w:r>
          </w:p>
          <w:p>
            <w:pPr>
              <w:spacing w:line="380" w:lineRule="exact"/>
              <w:jc w:val="left"/>
              <w:rPr>
                <w:rFonts w:ascii="宋体" w:hAnsi="宋体" w:eastAsia="宋体" w:cs="宋体"/>
                <w:kern w:val="0"/>
                <w:sz w:val="21"/>
                <w:szCs w:val="21"/>
              </w:rPr>
            </w:pPr>
            <w:r>
              <w:rPr>
                <w:rFonts w:hint="eastAsia" w:ascii="宋体" w:hAnsi="宋体" w:eastAsia="宋体" w:cs="宋体"/>
                <w:kern w:val="0"/>
                <w:sz w:val="21"/>
                <w:szCs w:val="21"/>
              </w:rPr>
              <w:t>四、</w:t>
            </w:r>
            <w:r>
              <w:rPr>
                <w:rFonts w:hint="eastAsia" w:ascii="宋体" w:hAnsi="宋体" w:eastAsia="宋体" w:cs="宋体"/>
                <w:sz w:val="21"/>
                <w:szCs w:val="21"/>
              </w:rPr>
              <w:t>★</w:t>
            </w:r>
            <w:r>
              <w:rPr>
                <w:rFonts w:hint="eastAsia" w:ascii="宋体" w:hAnsi="宋体" w:eastAsia="宋体" w:cs="宋体"/>
                <w:kern w:val="0"/>
                <w:sz w:val="21"/>
                <w:szCs w:val="21"/>
              </w:rPr>
              <w:t>冷轧钢板（辅材）满足：</w:t>
            </w:r>
            <w:r>
              <w:rPr>
                <w:rFonts w:hint="eastAsia" w:ascii="宋体" w:hAnsi="宋体" w:eastAsia="宋体" w:cs="宋体"/>
                <w:kern w:val="0"/>
                <w:sz w:val="21"/>
                <w:szCs w:val="21"/>
              </w:rPr>
              <w:br w:type="page"/>
            </w:r>
            <w:r>
              <w:rPr>
                <w:rFonts w:hint="eastAsia" w:ascii="宋体" w:hAnsi="宋体" w:eastAsia="宋体" w:cs="宋体"/>
                <w:kern w:val="0"/>
                <w:sz w:val="21"/>
                <w:szCs w:val="21"/>
              </w:rPr>
              <w:t>1、化学成分分析：满足SGS化学成分分析测试，依据GB/T4336-2016+AMD.1-2017(OES)测试标准。至少通过5项元素测试，检验结果：①C（不超过0.08%）；②Si（不超过0.02%）；③Mn（不超过0.18%）；④P（不超过0.013%）；⑤S（不超过0.007%）</w:t>
            </w:r>
            <w:r>
              <w:rPr>
                <w:rFonts w:hint="eastAsia" w:ascii="宋体" w:hAnsi="宋体" w:eastAsia="宋体" w:cs="宋体"/>
                <w:kern w:val="0"/>
                <w:sz w:val="21"/>
                <w:szCs w:val="21"/>
              </w:rPr>
              <w:br w:type="page"/>
            </w:r>
            <w:r>
              <w:rPr>
                <w:rFonts w:hint="eastAsia" w:ascii="宋体" w:hAnsi="宋体" w:eastAsia="宋体" w:cs="宋体"/>
                <w:kern w:val="0"/>
                <w:sz w:val="21"/>
                <w:szCs w:val="21"/>
              </w:rPr>
              <w:t>2、拉伸测试：满足SGS矩形截面试样拉伸测试，依据GB/T228.1-2010测试标准。至少通过3项测试，检验结果：①抗拉强度（不小于260MPa）；②规定塑性延伸强度（不小于150）；③断后伸长率（不小于50%）</w:t>
            </w:r>
            <w:r>
              <w:rPr>
                <w:rFonts w:hint="eastAsia" w:ascii="宋体" w:hAnsi="宋体" w:eastAsia="宋体" w:cs="宋体"/>
                <w:kern w:val="0"/>
                <w:sz w:val="21"/>
                <w:szCs w:val="21"/>
              </w:rPr>
              <w:br w:type="page"/>
            </w:r>
            <w:r>
              <w:rPr>
                <w:rFonts w:hint="eastAsia" w:ascii="宋体" w:hAnsi="宋体" w:eastAsia="宋体" w:cs="宋体"/>
                <w:kern w:val="0"/>
                <w:sz w:val="21"/>
                <w:szCs w:val="21"/>
              </w:rPr>
              <w:t>3、附着力测试：满足SGS附着力测试，依据GB/T9286-1998测试标准。检验结果：0级</w:t>
            </w:r>
            <w:r>
              <w:rPr>
                <w:rFonts w:hint="eastAsia" w:ascii="宋体" w:hAnsi="宋体" w:eastAsia="宋体" w:cs="宋体"/>
                <w:kern w:val="0"/>
                <w:sz w:val="21"/>
                <w:szCs w:val="21"/>
              </w:rPr>
              <w:br w:type="page"/>
            </w:r>
            <w:r>
              <w:rPr>
                <w:rFonts w:hint="eastAsia" w:ascii="宋体" w:hAnsi="宋体" w:eastAsia="宋体" w:cs="宋体"/>
                <w:kern w:val="0"/>
                <w:sz w:val="21"/>
                <w:szCs w:val="21"/>
              </w:rPr>
              <w:t>4、耐冲击性测试：满足SGS耐冲击性测试，依据GB/T 1732-1993测试标准。检验结果：无可视破裂</w:t>
            </w:r>
            <w:r>
              <w:rPr>
                <w:rFonts w:hint="eastAsia" w:ascii="宋体" w:hAnsi="宋体" w:eastAsia="宋体" w:cs="宋体"/>
                <w:kern w:val="0"/>
                <w:sz w:val="21"/>
                <w:szCs w:val="21"/>
              </w:rPr>
              <w:br w:type="page"/>
            </w:r>
            <w:r>
              <w:rPr>
                <w:rFonts w:hint="eastAsia" w:ascii="宋体" w:hAnsi="宋体" w:eastAsia="宋体" w:cs="宋体"/>
                <w:kern w:val="0"/>
                <w:sz w:val="21"/>
                <w:szCs w:val="21"/>
              </w:rPr>
              <w:t>5、中性盐雾测试：满足SGS中性盐雾试验，依据GB/T 10125-2012测试标准。检验结果：无可视锈蚀</w:t>
            </w:r>
            <w:r>
              <w:rPr>
                <w:rFonts w:hint="eastAsia" w:ascii="宋体" w:hAnsi="宋体" w:eastAsia="宋体" w:cs="宋体"/>
                <w:kern w:val="0"/>
                <w:sz w:val="21"/>
                <w:szCs w:val="21"/>
              </w:rPr>
              <w:br w:type="page"/>
            </w:r>
            <w:r>
              <w:rPr>
                <w:rFonts w:hint="eastAsia" w:ascii="宋体" w:hAnsi="宋体" w:eastAsia="宋体" w:cs="宋体"/>
                <w:kern w:val="0"/>
                <w:sz w:val="21"/>
                <w:szCs w:val="21"/>
              </w:rPr>
              <w:t>6、可溶性重金属测试：满足SGS可溶性重金属测试，依据GB 18584-2001测试标准。检验结果：①可溶性镉（未检出）；②可溶性铅（未检出）；③可溶性汞（未检出）；④可溶性铬（未检出）。</w:t>
            </w:r>
            <w:r>
              <w:rPr>
                <w:rFonts w:hint="eastAsia" w:ascii="宋体" w:hAnsi="宋体" w:eastAsia="宋体" w:cs="宋体"/>
                <w:kern w:val="0"/>
                <w:sz w:val="21"/>
                <w:szCs w:val="21"/>
              </w:rPr>
              <w:br w:type="page"/>
            </w:r>
            <w:r>
              <w:rPr>
                <w:rFonts w:hint="eastAsia" w:ascii="宋体" w:hAnsi="宋体" w:eastAsia="宋体" w:cs="宋体"/>
                <w:kern w:val="0"/>
                <w:sz w:val="21"/>
                <w:szCs w:val="21"/>
              </w:rPr>
              <w:t>提供检测报告，检测报告须为2018年以后（含18年版本，检测报告必须具有CMA标识及CNAS标识）（复印件加盖制造商公章）（开标时原件备查）</w:t>
            </w:r>
            <w:r>
              <w:rPr>
                <w:rFonts w:hint="eastAsia" w:ascii="宋体" w:hAnsi="宋体" w:eastAsia="宋体" w:cs="宋体"/>
                <w:kern w:val="0"/>
                <w:sz w:val="21"/>
                <w:szCs w:val="21"/>
              </w:rPr>
              <w:br w:type="page"/>
            </w:r>
          </w:p>
          <w:p>
            <w:pPr>
              <w:spacing w:line="380" w:lineRule="exact"/>
              <w:rPr>
                <w:rFonts w:ascii="宋体" w:hAnsi="宋体" w:eastAsia="宋体"/>
                <w:sz w:val="21"/>
                <w:szCs w:val="21"/>
              </w:rPr>
            </w:pPr>
            <w:r>
              <w:rPr>
                <w:rFonts w:hint="eastAsia" w:ascii="宋体" w:hAnsi="宋体" w:eastAsia="宋体" w:cs="宋体"/>
                <w:sz w:val="21"/>
                <w:szCs w:val="21"/>
              </w:rPr>
              <w:t>五、工艺</w:t>
            </w:r>
          </w:p>
          <w:p>
            <w:pPr>
              <w:spacing w:line="380" w:lineRule="exact"/>
              <w:rPr>
                <w:rFonts w:ascii="宋体" w:hAnsi="宋体" w:eastAsia="宋体"/>
                <w:sz w:val="21"/>
                <w:szCs w:val="21"/>
              </w:rPr>
            </w:pPr>
            <w:r>
              <w:rPr>
                <w:rFonts w:hint="eastAsia" w:ascii="宋体" w:hAnsi="宋体" w:eastAsia="宋体" w:cs="宋体"/>
                <w:sz w:val="21"/>
                <w:szCs w:val="21"/>
              </w:rPr>
              <w:t>各钢件做防锈处理，采用聚脂环氧粉末喷塑等应符合国家标准。钢件表面及桌椅金属部分需经酸洗、磷化、表面除锈。除锈后采用高压静电喷涂，涂层厚度</w:t>
            </w:r>
            <w:r>
              <w:rPr>
                <w:rFonts w:ascii="宋体" w:hAnsi="宋体" w:eastAsia="宋体" w:cs="宋体"/>
                <w:sz w:val="21"/>
                <w:szCs w:val="21"/>
              </w:rPr>
              <w:t>70</w:t>
            </w:r>
            <w:r>
              <w:rPr>
                <w:rFonts w:hint="eastAsia" w:ascii="宋体" w:hAnsi="宋体" w:eastAsia="宋体" w:cs="宋体"/>
                <w:sz w:val="21"/>
                <w:szCs w:val="21"/>
              </w:rPr>
              <w:t>～</w:t>
            </w:r>
            <w:r>
              <w:rPr>
                <w:rFonts w:ascii="宋体" w:hAnsi="宋体" w:eastAsia="宋体" w:cs="宋体"/>
                <w:sz w:val="21"/>
                <w:szCs w:val="21"/>
              </w:rPr>
              <w:t>80um</w:t>
            </w:r>
            <w:r>
              <w:rPr>
                <w:rFonts w:hint="eastAsia" w:ascii="宋体" w:hAnsi="宋体" w:eastAsia="宋体" w:cs="宋体"/>
                <w:sz w:val="21"/>
                <w:szCs w:val="21"/>
              </w:rPr>
              <w:t>。</w:t>
            </w:r>
            <w:r>
              <w:rPr>
                <w:rFonts w:hint="eastAsia" w:ascii="宋体" w:hAnsi="宋体" w:eastAsia="宋体"/>
                <w:sz w:val="21"/>
                <w:szCs w:val="21"/>
              </w:rPr>
              <w:t>（灰白色）</w:t>
            </w:r>
          </w:p>
          <w:p>
            <w:pPr>
              <w:rPr>
                <w:rFonts w:ascii="宋体" w:hAnsi="宋体" w:eastAsia="宋体"/>
                <w:sz w:val="21"/>
                <w:szCs w:val="21"/>
              </w:rPr>
            </w:pPr>
            <w:r>
              <w:rPr>
                <w:rFonts w:hint="eastAsia" w:ascii="宋体" w:hAnsi="宋体" w:eastAsia="宋体" w:cs="宋体"/>
                <w:sz w:val="21"/>
                <w:szCs w:val="21"/>
              </w:rPr>
              <w:t>金属零、部件采取焊接连接。此外其他焊接件之间的连接部分均应焊接（结构不需要时除外），不允许漏焊。焊接件焊接时采用二氧化碳保护焊接。焊接件焊接处应无脱焊、虚焊、焊穿、错位；焊接处应无夹渣、气孔、焊瘤、焊丝头、咬边、飞溅；焊疤表面波纹应均匀、高低之差应不大于</w:t>
            </w:r>
            <w:r>
              <w:rPr>
                <w:rFonts w:ascii="宋体" w:hAnsi="宋体" w:eastAsia="宋体" w:cs="宋体"/>
                <w:sz w:val="21"/>
                <w:szCs w:val="21"/>
              </w:rPr>
              <w:t>1mm</w:t>
            </w:r>
            <w:r>
              <w:rPr>
                <w:rFonts w:hint="eastAsia" w:ascii="宋体" w:hAnsi="宋体" w:eastAsia="宋体" w:cs="宋体"/>
                <w:sz w:val="21"/>
                <w:szCs w:val="21"/>
              </w:rPr>
              <w:t>。焊接后要经打磨处理。所有五金件都采用防止退螺帽。</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bl>
    <w:p>
      <w:pPr>
        <w:pStyle w:val="63"/>
        <w:widowControl w:val="0"/>
        <w:tabs>
          <w:tab w:val="center" w:pos="4201"/>
          <w:tab w:val="right" w:leader="dot" w:pos="9298"/>
        </w:tabs>
        <w:spacing w:line="360" w:lineRule="auto"/>
        <w:ind w:left="480" w:hanging="480" w:hangingChars="200"/>
        <w:rPr>
          <w:rFonts w:hAnsi="宋体"/>
          <w:b w:val="0"/>
          <w:bCs w:val="0"/>
          <w:color w:val="auto"/>
          <w:sz w:val="24"/>
          <w:szCs w:val="24"/>
          <w:shd w:val="clear" w:color="auto" w:fill="FFFFFF"/>
        </w:rPr>
      </w:pPr>
      <w:r>
        <w:rPr>
          <w:rFonts w:hint="eastAsia" w:hAnsi="宋体" w:cs="宋体"/>
          <w:b w:val="0"/>
          <w:bCs w:val="0"/>
          <w:color w:val="000000"/>
          <w:sz w:val="24"/>
          <w:szCs w:val="24"/>
        </w:rPr>
        <w:t>注：以上参数由用户单位提供，属基本要求</w:t>
      </w:r>
      <w:r>
        <w:rPr>
          <w:rFonts w:hint="eastAsia" w:hAnsi="宋体" w:cs="宋体"/>
          <w:b w:val="0"/>
          <w:bCs w:val="0"/>
          <w:color w:val="auto"/>
          <w:sz w:val="24"/>
          <w:szCs w:val="24"/>
        </w:rPr>
        <w:t>，标★项为</w:t>
      </w:r>
      <w:r>
        <w:rPr>
          <w:rFonts w:hint="eastAsia" w:hAnsi="宋体" w:cs="宋体"/>
          <w:b w:val="0"/>
          <w:bCs w:val="0"/>
          <w:color w:val="auto"/>
          <w:sz w:val="24"/>
          <w:szCs w:val="24"/>
          <w:lang w:eastAsia="zh-CN"/>
        </w:rPr>
        <w:t>重要</w:t>
      </w:r>
      <w:r>
        <w:rPr>
          <w:rFonts w:hint="eastAsia" w:hAnsi="宋体" w:cs="宋体"/>
          <w:b w:val="0"/>
          <w:bCs w:val="0"/>
          <w:color w:val="auto"/>
          <w:sz w:val="24"/>
          <w:szCs w:val="24"/>
        </w:rPr>
        <w:t>参数</w:t>
      </w:r>
      <w:r>
        <w:rPr>
          <w:rFonts w:hint="eastAsia" w:hAnsi="宋体" w:cs="宋体"/>
          <w:b w:val="0"/>
          <w:bCs w:val="0"/>
          <w:color w:val="auto"/>
          <w:sz w:val="24"/>
          <w:szCs w:val="24"/>
          <w:lang w:eastAsia="zh-CN"/>
        </w:rPr>
        <w:t>项</w:t>
      </w:r>
      <w:r>
        <w:rPr>
          <w:rFonts w:hint="eastAsia" w:hAnsi="宋体" w:cs="宋体"/>
          <w:b w:val="0"/>
          <w:bCs w:val="0"/>
          <w:color w:val="auto"/>
          <w:sz w:val="24"/>
          <w:szCs w:val="24"/>
        </w:rPr>
        <w:t>，</w:t>
      </w:r>
      <w:r>
        <w:rPr>
          <w:rFonts w:hint="eastAsia" w:hAnsi="宋体"/>
          <w:b w:val="0"/>
          <w:bCs w:val="0"/>
          <w:color w:val="auto"/>
          <w:sz w:val="24"/>
          <w:szCs w:val="24"/>
          <w:highlight w:val="none"/>
        </w:rPr>
        <w:t>各响应供应商参与本次磋商的投</w:t>
      </w:r>
      <w:r>
        <w:rPr>
          <w:rFonts w:hint="eastAsia" w:hAnsi="宋体"/>
          <w:b w:val="0"/>
          <w:bCs w:val="0"/>
          <w:color w:val="auto"/>
          <w:sz w:val="24"/>
          <w:szCs w:val="24"/>
          <w:highlight w:val="none"/>
          <w:lang w:eastAsia="zh-CN"/>
        </w:rPr>
        <w:t>标产品须是满足</w:t>
      </w:r>
      <w:r>
        <w:rPr>
          <w:rFonts w:hint="eastAsia" w:hAnsi="宋体"/>
          <w:b w:val="0"/>
          <w:bCs w:val="0"/>
          <w:color w:val="auto"/>
          <w:sz w:val="24"/>
          <w:szCs w:val="24"/>
          <w:highlight w:val="none"/>
        </w:rPr>
        <w:t>或优于以上参数的产品</w:t>
      </w:r>
      <w:r>
        <w:rPr>
          <w:rFonts w:hint="eastAsia" w:hAnsi="宋体" w:cs="宋体"/>
          <w:b w:val="0"/>
          <w:bCs w:val="0"/>
          <w:color w:val="auto"/>
          <w:sz w:val="24"/>
          <w:szCs w:val="24"/>
          <w:lang w:val="zh-CN"/>
        </w:rPr>
        <w:t>。</w:t>
      </w:r>
    </w:p>
    <w:p>
      <w:pPr>
        <w:bidi w:val="0"/>
        <w:rPr>
          <w:rFonts w:hint="eastAsia"/>
          <w:sz w:val="24"/>
          <w:szCs w:val="24"/>
          <w:lang w:val="en-US" w:eastAsia="zh-CN"/>
        </w:rPr>
      </w:pPr>
    </w:p>
    <w:p>
      <w:pPr>
        <w:pStyle w:val="5"/>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五、商务要求</w:t>
      </w:r>
      <w:bookmarkEnd w:id="50"/>
      <w:bookmarkEnd w:id="51"/>
    </w:p>
    <w:p>
      <w:pPr>
        <w:pStyle w:val="200"/>
        <w:spacing w:line="360" w:lineRule="auto"/>
        <w:ind w:right="264"/>
        <w:rPr>
          <w:rFonts w:hint="eastAsia" w:ascii="宋体" w:hAnsi="宋体" w:eastAsia="宋体" w:cs="宋体"/>
          <w:b/>
          <w:bCs/>
          <w:kern w:val="2"/>
          <w:sz w:val="24"/>
          <w:szCs w:val="24"/>
        </w:rPr>
      </w:pPr>
      <w:r>
        <w:rPr>
          <w:rFonts w:hint="eastAsia" w:asciiTheme="minorEastAsia" w:hAnsiTheme="minorEastAsia" w:eastAsiaTheme="minorEastAsia" w:cstheme="minorEastAsia"/>
          <w:b/>
          <w:color w:val="auto"/>
          <w:sz w:val="24"/>
          <w:szCs w:val="24"/>
        </w:rPr>
        <w:t>说明：</w:t>
      </w:r>
      <w:r>
        <w:rPr>
          <w:rFonts w:hint="eastAsia" w:ascii="宋体" w:hAnsi="宋体" w:eastAsia="宋体" w:cs="宋体"/>
          <w:kern w:val="2"/>
          <w:sz w:val="24"/>
          <w:szCs w:val="24"/>
        </w:rPr>
        <w:t>投标人在投标文件《商务（合同草案条款）响应、偏离情况说明表》中未对</w:t>
      </w:r>
      <w:r>
        <w:rPr>
          <w:rFonts w:hint="eastAsia" w:ascii="宋体" w:hAnsi="宋体" w:eastAsia="宋体" w:cs="宋体"/>
          <w:kern w:val="2"/>
          <w:sz w:val="24"/>
          <w:szCs w:val="24"/>
          <w:lang w:eastAsia="zh-CN"/>
        </w:rPr>
        <w:t>以</w:t>
      </w:r>
      <w:r>
        <w:rPr>
          <w:rFonts w:hint="eastAsia" w:ascii="宋体" w:hAnsi="宋体" w:eastAsia="宋体" w:cs="宋体"/>
          <w:kern w:val="2"/>
          <w:sz w:val="24"/>
          <w:szCs w:val="24"/>
        </w:rPr>
        <w:t>下技术、</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服务要求逐条说明响应或偏离情况的，其投标按无效投标处理。</w:t>
      </w:r>
      <w:r>
        <w:rPr>
          <w:rFonts w:hint="eastAsia" w:ascii="宋体" w:hAnsi="宋体" w:eastAsia="宋体" w:cs="宋体"/>
          <w:b/>
          <w:bCs/>
          <w:kern w:val="2"/>
          <w:sz w:val="24"/>
          <w:szCs w:val="24"/>
        </w:rPr>
        <w:t>下表标注有“△”号的条款，为 “评审因素及评分标准”中的评分内容</w:t>
      </w:r>
      <w:r>
        <w:rPr>
          <w:rFonts w:hint="eastAsia" w:ascii="宋体" w:hAnsi="宋体" w:eastAsia="宋体" w:cs="宋体"/>
          <w:b/>
          <w:bCs/>
          <w:kern w:val="2"/>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.1  工期：自合同签订后</w:t>
      </w:r>
      <w:r>
        <w:rPr>
          <w:rFonts w:hint="eastAsia" w:ascii="宋体" w:hAnsi="宋体" w:eastAsia="宋体" w:cs="宋体"/>
          <w:kern w:val="2"/>
          <w:sz w:val="24"/>
          <w:szCs w:val="24"/>
          <w:lang w:val="en-US" w:eastAsia="zh-CN"/>
        </w:rPr>
        <w:t>30个日历天</w:t>
      </w:r>
      <w:r>
        <w:rPr>
          <w:rFonts w:hint="eastAsia" w:ascii="宋体" w:hAnsi="宋体" w:eastAsia="宋体" w:cs="宋体"/>
          <w:kern w:val="2"/>
          <w:sz w:val="24"/>
          <w:szCs w:val="24"/>
        </w:rPr>
        <w:t>内完成建设，并移交采购人使用。</w:t>
      </w:r>
    </w:p>
    <w:p>
      <w:pPr>
        <w:pStyle w:val="200"/>
        <w:spacing w:line="360" w:lineRule="auto"/>
        <w:ind w:right="264"/>
        <w:rPr>
          <w:rFonts w:hint="default" w:ascii="宋体" w:hAnsi="宋体" w:eastAsia="宋体" w:cs="宋体"/>
          <w:kern w:val="2"/>
          <w:sz w:val="24"/>
          <w:szCs w:val="24"/>
          <w:lang w:val="en-US" w:eastAsia="zh-CN"/>
        </w:rPr>
      </w:pPr>
      <w:r>
        <w:rPr>
          <w:rFonts w:hint="eastAsia" w:eastAsia="宋体" w:cs="宋体"/>
          <w:kern w:val="2"/>
          <w:sz w:val="24"/>
          <w:szCs w:val="24"/>
          <w:lang w:val="en-US" w:eastAsia="zh-CN"/>
        </w:rPr>
        <w:t>5.2  交付地点：采购人指定地点。</w:t>
      </w:r>
    </w:p>
    <w:p>
      <w:pPr>
        <w:pStyle w:val="200"/>
        <w:spacing w:line="360" w:lineRule="auto"/>
        <w:ind w:right="264"/>
        <w:rPr>
          <w:rFonts w:hint="eastAsia" w:eastAsia="宋体" w:cs="宋体"/>
          <w:sz w:val="24"/>
          <w:szCs w:val="24"/>
          <w:lang w:eastAsia="zh-CN"/>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5</w:t>
      </w:r>
      <w:r>
        <w:rPr>
          <w:rFonts w:hint="eastAsia" w:ascii="宋体" w:hAnsi="宋体" w:eastAsia="宋体" w:cs="宋体"/>
          <w:kern w:val="2"/>
          <w:sz w:val="24"/>
          <w:szCs w:val="24"/>
        </w:rPr>
        <w:t>.</w:t>
      </w:r>
      <w:r>
        <w:rPr>
          <w:rFonts w:hint="eastAsia" w:eastAsia="宋体" w:cs="宋体"/>
          <w:kern w:val="2"/>
          <w:sz w:val="24"/>
          <w:szCs w:val="24"/>
          <w:lang w:val="en-US" w:eastAsia="zh-CN"/>
        </w:rPr>
        <w:t>3</w:t>
      </w:r>
      <w:r>
        <w:rPr>
          <w:rFonts w:hint="eastAsia" w:ascii="宋体" w:hAnsi="宋体" w:eastAsia="宋体" w:cs="宋体"/>
          <w:kern w:val="2"/>
          <w:sz w:val="24"/>
          <w:szCs w:val="24"/>
        </w:rPr>
        <w:t xml:space="preserve"> 项目</w:t>
      </w:r>
      <w:r>
        <w:rPr>
          <w:rFonts w:hint="eastAsia" w:eastAsia="宋体" w:cs="宋体"/>
          <w:kern w:val="2"/>
          <w:sz w:val="24"/>
          <w:szCs w:val="24"/>
          <w:lang w:eastAsia="zh-CN"/>
        </w:rPr>
        <w:t>实施方案：</w:t>
      </w:r>
      <w:r>
        <w:rPr>
          <w:rFonts w:ascii="宋体" w:hAnsi="宋体" w:eastAsia="宋体" w:cs="宋体"/>
          <w:sz w:val="24"/>
          <w:szCs w:val="24"/>
        </w:rPr>
        <w:t>投标人</w:t>
      </w:r>
      <w:r>
        <w:rPr>
          <w:rFonts w:hint="eastAsia" w:eastAsia="宋体" w:cs="宋体"/>
          <w:sz w:val="24"/>
          <w:szCs w:val="24"/>
          <w:lang w:eastAsia="zh-CN"/>
        </w:rPr>
        <w:t>针对该项目制定合理的实施方案。</w:t>
      </w:r>
    </w:p>
    <w:p>
      <w:pPr>
        <w:pStyle w:val="200"/>
        <w:spacing w:line="360" w:lineRule="auto"/>
        <w:ind w:right="264"/>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5</w:t>
      </w:r>
      <w:r>
        <w:rPr>
          <w:rFonts w:hint="eastAsia" w:ascii="宋体" w:hAnsi="宋体" w:eastAsia="宋体" w:cs="宋体"/>
          <w:kern w:val="2"/>
          <w:sz w:val="24"/>
          <w:szCs w:val="24"/>
        </w:rPr>
        <w:t>.</w:t>
      </w:r>
      <w:r>
        <w:rPr>
          <w:rFonts w:hint="eastAsia" w:eastAsia="宋体" w:cs="宋体"/>
          <w:kern w:val="2"/>
          <w:sz w:val="24"/>
          <w:szCs w:val="24"/>
          <w:lang w:val="en-US" w:eastAsia="zh-CN"/>
        </w:rPr>
        <w:t>4</w:t>
      </w:r>
      <w:r>
        <w:rPr>
          <w:rFonts w:hint="eastAsia" w:ascii="宋体" w:hAnsi="宋体" w:eastAsia="宋体" w:cs="宋体"/>
          <w:kern w:val="2"/>
          <w:sz w:val="24"/>
          <w:szCs w:val="24"/>
        </w:rPr>
        <w:t xml:space="preserve">  售后服务要求:投标人提供完善售后服务方案及售后服务承诺函</w:t>
      </w:r>
      <w:r>
        <w:rPr>
          <w:rFonts w:hint="eastAsia" w:eastAsia="宋体" w:cs="宋体"/>
          <w:kern w:val="2"/>
          <w:sz w:val="24"/>
          <w:szCs w:val="24"/>
          <w:lang w:eastAsia="zh-CN"/>
        </w:rPr>
        <w:t>，</w:t>
      </w:r>
      <w:r>
        <w:rPr>
          <w:rFonts w:hint="eastAsia" w:ascii="宋体" w:hAnsi="宋体" w:eastAsia="宋体" w:cs="宋体"/>
          <w:kern w:val="2"/>
          <w:sz w:val="24"/>
          <w:szCs w:val="24"/>
        </w:rPr>
        <w:t>竣工验收合格后进入售后服务期。</w:t>
      </w:r>
    </w:p>
    <w:p>
      <w:pPr>
        <w:pStyle w:val="200"/>
        <w:spacing w:line="360" w:lineRule="auto"/>
        <w:ind w:right="264"/>
        <w:rPr>
          <w:rFonts w:hint="eastAsia" w:eastAsia="宋体" w:cs="宋体"/>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5.5 质保期：</w:t>
      </w:r>
      <w:r>
        <w:rPr>
          <w:rFonts w:hint="eastAsia" w:eastAsia="宋体" w:cs="宋体"/>
          <w:sz w:val="24"/>
          <w:szCs w:val="24"/>
          <w:lang w:eastAsia="zh-CN"/>
        </w:rPr>
        <w:t>采购人验收合格之日起 3 年</w:t>
      </w:r>
      <w:r>
        <w:rPr>
          <w:rFonts w:hint="eastAsia" w:eastAsia="宋体" w:cs="宋体"/>
          <w:sz w:val="24"/>
          <w:szCs w:val="24"/>
          <w:lang w:val="en-US" w:eastAsia="zh-CN"/>
        </w:rPr>
        <w:t>。</w:t>
      </w:r>
    </w:p>
    <w:p>
      <w:pPr>
        <w:pStyle w:val="200"/>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5.6</w:t>
      </w:r>
      <w:r>
        <w:rPr>
          <w:rFonts w:hint="eastAsia" w:ascii="宋体" w:hAnsi="宋体" w:eastAsia="宋体" w:cs="宋体"/>
          <w:kern w:val="2"/>
          <w:sz w:val="24"/>
          <w:szCs w:val="24"/>
        </w:rPr>
        <w:t xml:space="preserve"> </w:t>
      </w:r>
      <w:r>
        <w:rPr>
          <w:rFonts w:hint="eastAsia" w:eastAsia="宋体" w:cs="宋体"/>
          <w:kern w:val="2"/>
          <w:sz w:val="24"/>
          <w:szCs w:val="24"/>
          <w:lang w:val="en-US" w:eastAsia="zh-CN"/>
        </w:rPr>
        <w:t>报价要求：</w:t>
      </w:r>
    </w:p>
    <w:p>
      <w:pPr>
        <w:pStyle w:val="200"/>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1、投标人的报价应包含为完成本招标文件提出的货物或服务等全部相关工作所有可能发生的费用，即投标总报价为“交钥匙”价。对在合同实施过程中可能发生的其他费用，采购人概不负责。</w:t>
      </w:r>
    </w:p>
    <w:p>
      <w:pPr>
        <w:pStyle w:val="200"/>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2、对本文件未列明，而投标人认为必需的费用也需列入投标总报价。在合同实施时，采购人将不予支付中标人没有列入的项目费用，并认为此项目的费用已包含在投标总报价中。</w:t>
      </w:r>
    </w:p>
    <w:p>
      <w:pPr>
        <w:pStyle w:val="200"/>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5.7  付款方式：</w:t>
      </w:r>
    </w:p>
    <w:p>
      <w:pPr>
        <w:pStyle w:val="200"/>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1、合同款支付：按合同约定的付款方式付款。</w:t>
      </w:r>
    </w:p>
    <w:p>
      <w:pPr>
        <w:pStyle w:val="200"/>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2、中标人必须按国家有关财税规定开具发票。</w:t>
      </w:r>
    </w:p>
    <w:p>
      <w:pPr>
        <w:pStyle w:val="200"/>
        <w:spacing w:line="360" w:lineRule="auto"/>
        <w:ind w:right="264"/>
        <w:rPr>
          <w:rFonts w:hint="eastAsia" w:ascii="宋体" w:hAnsi="宋体" w:eastAsia="宋体" w:cs="宋体"/>
          <w:kern w:val="2"/>
          <w:sz w:val="24"/>
          <w:szCs w:val="24"/>
        </w:rPr>
      </w:pPr>
      <w:r>
        <w:rPr>
          <w:rFonts w:hint="eastAsia" w:eastAsia="宋体" w:cs="宋体"/>
          <w:kern w:val="2"/>
          <w:sz w:val="24"/>
          <w:szCs w:val="24"/>
          <w:lang w:val="en-US" w:eastAsia="zh-CN"/>
        </w:rPr>
        <w:t>5.8  验收要求：</w:t>
      </w:r>
      <w:r>
        <w:rPr>
          <w:rFonts w:hint="eastAsia" w:ascii="宋体" w:hAnsi="宋体" w:eastAsia="宋体" w:cs="宋体"/>
          <w:kern w:val="2"/>
          <w:sz w:val="24"/>
          <w:szCs w:val="24"/>
        </w:rPr>
        <w:t>中标人完成工作内容后向采购人提验收申请，由相关部门对产品进行检测，出具验收合格报告后，经采购人组织评审通过视为验收合格。</w:t>
      </w:r>
    </w:p>
    <w:p>
      <w:pPr>
        <w:pStyle w:val="200"/>
        <w:spacing w:line="360" w:lineRule="auto"/>
        <w:ind w:right="264"/>
        <w:rPr>
          <w:rFonts w:hint="eastAsia" w:ascii="宋体" w:hAnsi="宋体" w:eastAsia="仿宋" w:cs="宋体"/>
          <w:kern w:val="2"/>
          <w:sz w:val="24"/>
          <w:szCs w:val="24"/>
          <w:lang w:val="en-US" w:eastAsia="zh-CN"/>
        </w:rPr>
      </w:pPr>
      <w:r>
        <w:rPr>
          <w:rFonts w:hint="eastAsia" w:eastAsia="宋体" w:cs="宋体"/>
          <w:kern w:val="2"/>
          <w:sz w:val="24"/>
          <w:szCs w:val="24"/>
          <w:lang w:val="en-US" w:eastAsia="zh-CN"/>
        </w:rPr>
        <w:t xml:space="preserve">5.9  </w:t>
      </w:r>
      <w:r>
        <w:rPr>
          <w:rFonts w:hint="eastAsia" w:ascii="宋体" w:hAnsi="宋体" w:eastAsia="宋体" w:cs="宋体"/>
          <w:kern w:val="2"/>
          <w:sz w:val="24"/>
          <w:szCs w:val="24"/>
        </w:rPr>
        <w:t>合同条款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200"/>
        <w:keepNext w:val="0"/>
        <w:keepLines w:val="0"/>
        <w:pageBreakBefore w:val="0"/>
        <w:kinsoku/>
        <w:wordWrap/>
        <w:overflowPunct/>
        <w:topLinePunct w:val="0"/>
        <w:autoSpaceDE/>
        <w:autoSpaceDN/>
        <w:bidi w:val="0"/>
        <w:adjustRightInd/>
        <w:snapToGrid/>
        <w:spacing w:line="360" w:lineRule="auto"/>
        <w:ind w:right="264"/>
        <w:textAlignment w:val="auto"/>
        <w:rPr>
          <w:rFonts w:hint="eastAsia" w:eastAsia="宋体" w:cs="宋体"/>
          <w:kern w:val="2"/>
          <w:sz w:val="24"/>
          <w:szCs w:val="24"/>
          <w:lang w:eastAsia="zh-CN"/>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5</w:t>
      </w:r>
      <w:r>
        <w:rPr>
          <w:rFonts w:hint="eastAsia" w:ascii="宋体" w:hAnsi="宋体" w:eastAsia="宋体" w:cs="宋体"/>
          <w:kern w:val="2"/>
          <w:sz w:val="24"/>
          <w:szCs w:val="24"/>
        </w:rPr>
        <w:t>.</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w:t>
      </w:r>
      <w:r>
        <w:rPr>
          <w:rFonts w:hint="eastAsia" w:eastAsia="宋体" w:cs="宋体"/>
          <w:kern w:val="2"/>
          <w:sz w:val="24"/>
          <w:szCs w:val="24"/>
          <w:lang w:eastAsia="zh-CN"/>
        </w:rPr>
        <w:t>项目建设</w:t>
      </w:r>
      <w:r>
        <w:rPr>
          <w:rFonts w:hint="eastAsia" w:ascii="宋体" w:hAnsi="宋体" w:eastAsia="宋体" w:cs="宋体"/>
          <w:kern w:val="2"/>
          <w:sz w:val="24"/>
          <w:szCs w:val="24"/>
        </w:rPr>
        <w:t>经验</w:t>
      </w:r>
      <w:r>
        <w:rPr>
          <w:rFonts w:hint="eastAsia" w:eastAsia="宋体" w:cs="宋体"/>
          <w:kern w:val="2"/>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w:t>
      </w:r>
      <w:r>
        <w:rPr>
          <w:rFonts w:hint="eastAsia" w:ascii="宋体" w:hAnsi="宋体" w:eastAsia="宋体" w:cs="宋体"/>
          <w:kern w:val="2"/>
          <w:sz w:val="24"/>
          <w:szCs w:val="24"/>
          <w:lang w:val="en-US" w:eastAsia="zh-CN" w:bidi="ar-SA"/>
        </w:rPr>
        <w:t>5.11  制造商企业实力</w:t>
      </w:r>
    </w:p>
    <w:p>
      <w:pPr>
        <w:widowControl/>
        <w:numPr>
          <w:ilvl w:val="0"/>
          <w:numId w:val="13"/>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所投产品（交互智能平板）制造商通过诚信管理体系认证、信息安全管理体系认证、云服务信息安全管理体系认证和低碳体系认证。（提供证书复印件及官网查询截图并加盖制造商公章，不提供不得分）</w:t>
      </w:r>
    </w:p>
    <w:p>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交互智能平板整机采用专用钢化玻璃，通过第三方标准(GB 15763.2-2005、GB/T 18144-2008)测试，表面应力＞100MPa。</w:t>
      </w:r>
    </w:p>
    <w:p>
      <w:pPr>
        <w:pStyle w:val="2"/>
        <w:numPr>
          <w:ilvl w:val="0"/>
          <w:numId w:val="13"/>
        </w:numPr>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交互智能平板外层可触控钢化玻璃采用抗菌涂层，24小时总抗细菌率≧95%。</w:t>
      </w:r>
    </w:p>
    <w:p>
      <w:pPr>
        <w:pStyle w:val="200"/>
        <w:keepNext w:val="0"/>
        <w:keepLines w:val="0"/>
        <w:pageBreakBefore w:val="0"/>
        <w:kinsoku/>
        <w:wordWrap/>
        <w:overflowPunct/>
        <w:topLinePunct w:val="0"/>
        <w:autoSpaceDE/>
        <w:autoSpaceDN/>
        <w:bidi w:val="0"/>
        <w:adjustRightInd/>
        <w:snapToGrid/>
        <w:spacing w:line="360" w:lineRule="auto"/>
        <w:ind w:right="264"/>
        <w:textAlignment w:val="auto"/>
        <w:rPr>
          <w:rFonts w:hint="eastAsia" w:ascii="宋体" w:hAnsi="宋体" w:eastAsia="宋体" w:cs="宋体"/>
          <w:kern w:val="2"/>
          <w:sz w:val="24"/>
          <w:szCs w:val="24"/>
          <w:lang w:val="en-US" w:eastAsia="zh-CN" w:bidi="ar-SA"/>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Style w:val="200"/>
        <w:spacing w:line="360" w:lineRule="auto"/>
        <w:ind w:right="264"/>
        <w:rPr>
          <w:rFonts w:hint="eastAsia" w:eastAsia="宋体" w:cs="宋体"/>
          <w:kern w:val="2"/>
          <w:sz w:val="24"/>
          <w:szCs w:val="24"/>
          <w:lang w:eastAsia="zh-CN"/>
        </w:rPr>
      </w:pPr>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Style w:val="2"/>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7"/>
      <w:bookmarkEnd w:id="38"/>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2"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52"/>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28</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42</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3" w:name="_Toc25462"/>
      <w:r>
        <w:rPr>
          <w:rFonts w:hint="eastAsia" w:ascii="宋体" w:hAnsi="宋体" w:eastAsia="宋体" w:cstheme="minorEastAsia"/>
          <w:b/>
          <w:color w:val="auto"/>
          <w:sz w:val="28"/>
          <w:szCs w:val="28"/>
        </w:rPr>
        <w:t>二、评审步骤</w:t>
      </w:r>
      <w:bookmarkEnd w:id="53"/>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磋商小组按下表内容对供应商资格性和符合性及证明资料进行审查，响应文件审查不满足《资格性和符合性检查表》中要求的，应视为资格性和符合性审查不合格，按照无效响应处理，磋商小组有权拒绝该供应商参加磋商。资格性和符合性审查合格的投标人不足 3 家的，不进行综合比较和评价。提供的核心产品品牌相同的不同投标人按一家投标人计算。</w:t>
      </w:r>
    </w:p>
    <w:tbl>
      <w:tblPr>
        <w:tblStyle w:val="4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34"/>
        <w:gridCol w:w="2969"/>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right"/>
        </w:trPr>
        <w:tc>
          <w:tcPr>
            <w:tcW w:w="9462" w:type="dxa"/>
            <w:gridSpan w:val="4"/>
            <w:vAlign w:val="center"/>
          </w:tcPr>
          <w:p>
            <w:pPr>
              <w:pStyle w:val="24"/>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bCs/>
                <w:i w:val="0"/>
                <w:kern w:val="0"/>
                <w:sz w:val="28"/>
                <w:szCs w:val="28"/>
              </w:rPr>
              <w:t>供应商</w:t>
            </w:r>
            <w:r>
              <w:rPr>
                <w:rFonts w:hint="eastAsia" w:asciiTheme="minorEastAsia" w:hAnsiTheme="minorEastAsia" w:eastAsiaTheme="minorEastAsia" w:cstheme="minorEastAsia"/>
                <w:i w:val="0"/>
                <w:kern w:val="0"/>
                <w:sz w:val="28"/>
                <w:szCs w:val="28"/>
              </w:rPr>
              <w:t>资格性和符合性检查表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right"/>
        </w:trPr>
        <w:tc>
          <w:tcPr>
            <w:tcW w:w="616" w:type="dxa"/>
            <w:vAlign w:val="center"/>
          </w:tcPr>
          <w:p>
            <w:pPr>
              <w:pStyle w:val="24"/>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i w:val="0"/>
                <w:kern w:val="0"/>
                <w:sz w:val="24"/>
                <w:szCs w:val="24"/>
              </w:rPr>
              <w:t>序号</w:t>
            </w:r>
          </w:p>
        </w:tc>
        <w:tc>
          <w:tcPr>
            <w:tcW w:w="3603" w:type="dxa"/>
            <w:gridSpan w:val="2"/>
            <w:vAlign w:val="center"/>
          </w:tcPr>
          <w:p>
            <w:pPr>
              <w:pStyle w:val="24"/>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i w:val="0"/>
                <w:kern w:val="0"/>
                <w:sz w:val="24"/>
                <w:szCs w:val="24"/>
              </w:rPr>
              <w:t>资格</w:t>
            </w:r>
            <w:r>
              <w:rPr>
                <w:rFonts w:hint="eastAsia" w:asciiTheme="minorEastAsia" w:hAnsiTheme="minorEastAsia" w:eastAsiaTheme="minorEastAsia" w:cstheme="minorEastAsia"/>
                <w:i w:val="0"/>
                <w:kern w:val="0"/>
                <w:sz w:val="24"/>
                <w:szCs w:val="24"/>
                <w:lang w:eastAsia="zh-CN"/>
              </w:rPr>
              <w:t>及符合性</w:t>
            </w:r>
            <w:r>
              <w:rPr>
                <w:rFonts w:hint="eastAsia" w:asciiTheme="minorEastAsia" w:hAnsiTheme="minorEastAsia" w:eastAsiaTheme="minorEastAsia" w:cstheme="minorEastAsia"/>
                <w:i w:val="0"/>
                <w:kern w:val="0"/>
                <w:sz w:val="24"/>
                <w:szCs w:val="24"/>
              </w:rPr>
              <w:t>审查条款</w:t>
            </w:r>
          </w:p>
        </w:tc>
        <w:tc>
          <w:tcPr>
            <w:tcW w:w="5243" w:type="dxa"/>
            <w:vAlign w:val="center"/>
          </w:tcPr>
          <w:p>
            <w:pPr>
              <w:pStyle w:val="24"/>
              <w:ind w:left="0"/>
              <w:jc w:val="center"/>
              <w:rPr>
                <w:rFonts w:hint="eastAsia" w:asciiTheme="minorEastAsia" w:hAnsiTheme="minorEastAsia" w:eastAsiaTheme="minorEastAsia" w:cstheme="minorEastAsia"/>
                <w:i w:val="0"/>
                <w:kern w:val="0"/>
                <w:sz w:val="24"/>
                <w:szCs w:val="24"/>
              </w:rPr>
            </w:pPr>
            <w:r>
              <w:rPr>
                <w:rFonts w:hint="eastAsia" w:asciiTheme="minorEastAsia" w:hAnsiTheme="minorEastAsia" w:eastAsiaTheme="minorEastAsia" w:cstheme="minorEastAsia"/>
                <w:i w:val="0"/>
                <w:kern w:val="0"/>
                <w:sz w:val="24"/>
                <w:szCs w:val="24"/>
              </w:rPr>
              <w:t>审查要求和内容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Merge w:val="restart"/>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restart"/>
            <w:vAlign w:val="center"/>
          </w:tcPr>
          <w:p>
            <w:pPr>
              <w:suppressLineNumbers/>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00000"/>
                <w:kern w:val="0"/>
                <w:sz w:val="24"/>
                <w:szCs w:val="24"/>
              </w:rPr>
              <w:t>《政府采购法》第二十二条规定</w:t>
            </w:r>
          </w:p>
        </w:tc>
        <w:tc>
          <w:tcPr>
            <w:tcW w:w="2969" w:type="dxa"/>
            <w:vAlign w:val="center"/>
          </w:tcPr>
          <w:p>
            <w:pPr>
              <w:jc w:val="left"/>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具有独立承担民事责任的能力</w:t>
            </w:r>
          </w:p>
        </w:tc>
        <w:tc>
          <w:tcPr>
            <w:tcW w:w="5243" w:type="dxa"/>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法人：提供营业执照或事业单位法人证书，</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非企业专业服务机构：提供执业许可证等证明文件</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个体工商户：提供个体工商户营业执照</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自然人：提供有效的自然人身份证明（仅限中国公民）</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（银行、保险、石油石化、电力、电信等有行业特殊情况的，视为其总公司的分支机构具备独立承担民事责任的能力；其他行业总公司的分支机构不具备独立承担民事责任的能力）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2"/>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rPr>
                <w:rFonts w:hint="eastAsia" w:asciiTheme="minorEastAsia" w:hAnsiTheme="minorEastAsia" w:eastAsiaTheme="minorEastAsia" w:cstheme="minorEastAsia"/>
                <w:kern w:val="0"/>
                <w:sz w:val="24"/>
                <w:szCs w:val="24"/>
              </w:rPr>
            </w:pPr>
          </w:p>
        </w:tc>
        <w:tc>
          <w:tcPr>
            <w:tcW w:w="2969" w:type="dxa"/>
            <w:vAlign w:val="center"/>
          </w:tcPr>
          <w:p>
            <w:pPr>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 xml:space="preserve">具有良好的商业信誉和健全的财务会计制度； </w:t>
            </w:r>
          </w:p>
        </w:tc>
        <w:tc>
          <w:tcPr>
            <w:tcW w:w="5243" w:type="dxa"/>
            <w:vMerge w:val="restart"/>
            <w:vAlign w:val="center"/>
          </w:tcPr>
          <w:p>
            <w:pPr>
              <w:suppressLineNumber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按附件10的格式提供“财务状况报告，依法缴纳税收和社会保障资金的声明函或相关证明材料”。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2"/>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pStyle w:val="24"/>
              <w:ind w:left="0"/>
              <w:rPr>
                <w:rFonts w:hint="eastAsia" w:asciiTheme="minorEastAsia" w:hAnsiTheme="minorEastAsia" w:eastAsiaTheme="minorEastAsia" w:cstheme="minorEastAsia"/>
                <w:i w:val="0"/>
                <w:kern w:val="0"/>
                <w:sz w:val="24"/>
                <w:szCs w:val="24"/>
              </w:rPr>
            </w:pPr>
          </w:p>
        </w:tc>
        <w:tc>
          <w:tcPr>
            <w:tcW w:w="2969" w:type="dxa"/>
            <w:vAlign w:val="center"/>
          </w:tcPr>
          <w:p>
            <w:pPr>
              <w:pStyle w:val="24"/>
              <w:ind w:left="0"/>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有依法缴纳税收和社会保障资金的良好记录</w:t>
            </w:r>
          </w:p>
        </w:tc>
        <w:tc>
          <w:tcPr>
            <w:tcW w:w="5243" w:type="dxa"/>
            <w:vMerge w:val="continue"/>
            <w:vAlign w:val="center"/>
          </w:tcPr>
          <w:p>
            <w:pPr>
              <w:suppressLineNumbers/>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2"/>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rPr>
                <w:rFonts w:hint="eastAsia" w:asciiTheme="minorEastAsia" w:hAnsiTheme="minorEastAsia" w:eastAsiaTheme="minorEastAsia" w:cstheme="minorEastAsia"/>
                <w:kern w:val="0"/>
                <w:sz w:val="24"/>
                <w:szCs w:val="24"/>
              </w:rPr>
            </w:pPr>
          </w:p>
        </w:tc>
        <w:tc>
          <w:tcPr>
            <w:tcW w:w="2969" w:type="dxa"/>
            <w:vAlign w:val="center"/>
          </w:tcPr>
          <w:p>
            <w:pPr>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具备履行合同所必需的设备和专业技术能力的证明材料；</w:t>
            </w:r>
          </w:p>
        </w:tc>
        <w:tc>
          <w:tcPr>
            <w:tcW w:w="5243" w:type="dxa"/>
            <w:vAlign w:val="center"/>
          </w:tcPr>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提供具备履行合同所必需的足够数量的技术人员、设施设备的证明材料（供应商也可根据自身实际情况进行承诺满足本条）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616" w:type="dxa"/>
            <w:vMerge w:val="continue"/>
            <w:vAlign w:val="center"/>
          </w:tcPr>
          <w:p>
            <w:pPr>
              <w:pStyle w:val="162"/>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suppressLineNumbers/>
              <w:rPr>
                <w:rFonts w:hint="eastAsia" w:asciiTheme="minorEastAsia" w:hAnsiTheme="minorEastAsia" w:eastAsiaTheme="minorEastAsia" w:cstheme="minorEastAsia"/>
                <w:color w:val="000000"/>
                <w:kern w:val="0"/>
                <w:sz w:val="24"/>
                <w:szCs w:val="24"/>
              </w:rPr>
            </w:pPr>
          </w:p>
        </w:tc>
        <w:tc>
          <w:tcPr>
            <w:tcW w:w="2969" w:type="dxa"/>
            <w:vAlign w:val="center"/>
          </w:tcPr>
          <w:p>
            <w:pPr>
              <w:suppressLineNumbers/>
              <w:rPr>
                <w:rFonts w:hint="eastAsia" w:asciiTheme="minorEastAsia" w:hAnsiTheme="minorEastAsia" w:eastAsiaTheme="minorEastAsia" w:cstheme="minorEastAsia"/>
                <w:i w:val="0"/>
                <w:iCs w:val="0"/>
                <w:color w:val="000000"/>
                <w:kern w:val="0"/>
                <w:sz w:val="24"/>
                <w:szCs w:val="24"/>
              </w:rPr>
            </w:pPr>
            <w:r>
              <w:rPr>
                <w:rFonts w:hint="eastAsia" w:asciiTheme="minorEastAsia" w:hAnsiTheme="minorEastAsia" w:eastAsiaTheme="minorEastAsia" w:cstheme="minorEastAsia"/>
                <w:i w:val="0"/>
                <w:iCs w:val="0"/>
                <w:color w:val="000000"/>
                <w:kern w:val="0"/>
                <w:sz w:val="24"/>
                <w:szCs w:val="24"/>
              </w:rPr>
              <w:t>参加政府采购活动前3年内在经营活动中没有重大违法记录；</w:t>
            </w:r>
          </w:p>
        </w:tc>
        <w:tc>
          <w:tcPr>
            <w:tcW w:w="5243" w:type="dxa"/>
            <w:vAlign w:val="center"/>
          </w:tcPr>
          <w:p>
            <w:pPr>
              <w:suppressLineNumbers/>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按附件12格式提供“无重大违法记录声明函</w:t>
            </w:r>
            <w:r>
              <w:rPr>
                <w:rFonts w:hint="eastAsia" w:asciiTheme="minorEastAsia" w:hAnsiTheme="minorEastAsia" w:eastAsiaTheme="minorEastAsia" w:cstheme="minorEastAsia"/>
                <w:bCs/>
                <w:kern w:val="0"/>
                <w:sz w:val="24"/>
                <w:szCs w:val="24"/>
                <w:lang w:eastAsia="zh-CN"/>
              </w:rPr>
              <w:t>”</w:t>
            </w:r>
          </w:p>
          <w:p>
            <w:pPr>
              <w:pStyle w:val="2"/>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right"/>
        </w:trPr>
        <w:tc>
          <w:tcPr>
            <w:tcW w:w="616" w:type="dxa"/>
            <w:vMerge w:val="continue"/>
            <w:vAlign w:val="center"/>
          </w:tcPr>
          <w:p>
            <w:pPr>
              <w:pStyle w:val="162"/>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634" w:type="dxa"/>
            <w:vMerge w:val="continue"/>
            <w:vAlign w:val="center"/>
          </w:tcPr>
          <w:p>
            <w:pPr>
              <w:suppressLineNumbers/>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pPr>
          </w:p>
        </w:tc>
        <w:tc>
          <w:tcPr>
            <w:tcW w:w="2969" w:type="dxa"/>
            <w:vAlign w:val="center"/>
          </w:tcPr>
          <w:p>
            <w:pPr>
              <w:suppressLineNumbers/>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法律、行政法规规定的其他条件</w:t>
            </w:r>
          </w:p>
        </w:tc>
        <w:tc>
          <w:tcPr>
            <w:tcW w:w="5243" w:type="dxa"/>
            <w:vAlign w:val="center"/>
          </w:tcPr>
          <w:p>
            <w:pPr>
              <w:suppressLineNumbers/>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z w:val="24"/>
                <w:szCs w:val="24"/>
                <w14:textFill>
                  <w14:solidFill>
                    <w14:schemeClr w14:val="tx1">
                      <w14:lumMod w14:val="95000"/>
                      <w14:lumOff w14:val="5000"/>
                    </w14:schemeClr>
                  </w14:solidFill>
                </w14:textFill>
              </w:rPr>
              <w:t>提供相关材料（供应商也可根据自身实际情况进行承诺满足本条）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suppressLineNumbers/>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未被列入失信被执行人、重大税收违法案件当事人名单、政府采购严重违法失信行为记录名；</w:t>
            </w:r>
          </w:p>
        </w:tc>
        <w:tc>
          <w:tcPr>
            <w:tcW w:w="5243" w:type="dxa"/>
            <w:vAlign w:val="center"/>
          </w:tcPr>
          <w:p>
            <w:pPr>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提供“信用中国”网站(www.creditchina.gov.cn)和“中国政府采购”网站（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www.ccgp.gov.cn</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）查询结果截图（以首次递交响应文件截止当日查询结果为准）。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restart"/>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3.1</w:t>
            </w:r>
            <w:r>
              <w:rPr>
                <w:rFonts w:hint="eastAsia" w:asciiTheme="minorEastAsia" w:hAnsiTheme="minorEastAsia" w:eastAsiaTheme="minorEastAsia" w:cstheme="minorEastAsia"/>
                <w:color w:val="000000"/>
                <w:kern w:val="0"/>
                <w:sz w:val="24"/>
                <w:szCs w:val="24"/>
              </w:rPr>
              <w:t>单位负责人为同一人或者存在直接控股、管理关系的不同投标人，不得参加本项目同一合同项下的政府采购活动；</w:t>
            </w:r>
          </w:p>
        </w:tc>
        <w:tc>
          <w:tcPr>
            <w:tcW w:w="5243" w:type="dxa"/>
            <w:vMerge w:val="restart"/>
            <w:vAlign w:val="center"/>
          </w:tcPr>
          <w:p>
            <w:pPr>
              <w:pStyle w:val="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按附件14的格式提供“无政府采购回避事项的声明”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Merge w:val="continue"/>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3.2</w:t>
            </w:r>
            <w:r>
              <w:rPr>
                <w:rFonts w:hint="eastAsia" w:asciiTheme="minorEastAsia" w:hAnsiTheme="minorEastAsia" w:eastAsiaTheme="minorEastAsia" w:cstheme="minorEastAsia"/>
                <w:color w:val="000000"/>
                <w:kern w:val="0"/>
                <w:sz w:val="24"/>
                <w:szCs w:val="24"/>
              </w:rPr>
              <w:t>为本采购项目提供整体设计、规范编制或者项目管理、监理、检测等服务的，不得再参加本项目的其他招标采购活动；</w:t>
            </w:r>
          </w:p>
        </w:tc>
        <w:tc>
          <w:tcPr>
            <w:tcW w:w="5243" w:type="dxa"/>
            <w:vMerge w:val="continue"/>
            <w:vAlign w:val="top"/>
          </w:tcPr>
          <w:p>
            <w:pPr>
              <w:rPr>
                <w:rFonts w:hint="eastAsia" w:asciiTheme="minorEastAsia" w:hAnsiTheme="minorEastAsia" w:eastAsiaTheme="minorEastAsia" w:cstheme="minorEastAsia"/>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ind w:hanging="1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本项目特定资格要求</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pacing w:val="-5"/>
                <w:sz w:val="24"/>
                <w:szCs w:val="24"/>
              </w:rPr>
              <w:t>本项目无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采购预算或最高限价</w:t>
            </w:r>
          </w:p>
        </w:tc>
        <w:tc>
          <w:tcPr>
            <w:tcW w:w="5243" w:type="dxa"/>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投标总报价不能超过项目（分包）预算金额或最高限价；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eastAsia="zh-CN"/>
              </w:rPr>
              <w:t>磋商</w:t>
            </w:r>
            <w:r>
              <w:rPr>
                <w:rFonts w:hint="eastAsia" w:asciiTheme="minorEastAsia" w:hAnsiTheme="minorEastAsia" w:eastAsiaTheme="minorEastAsia" w:cstheme="minorEastAsia"/>
                <w:color w:val="000000"/>
                <w:kern w:val="0"/>
                <w:sz w:val="24"/>
                <w:szCs w:val="24"/>
              </w:rPr>
              <w:t>书》、《法定代表人授权书》、《响应报价表（含明细）》</w:t>
            </w:r>
          </w:p>
        </w:tc>
        <w:tc>
          <w:tcPr>
            <w:tcW w:w="5243" w:type="dxa"/>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按要求提供《</w:t>
            </w:r>
            <w:r>
              <w:rPr>
                <w:rFonts w:hint="eastAsia" w:asciiTheme="minorEastAsia" w:hAnsiTheme="minorEastAsia" w:eastAsiaTheme="minorEastAsia" w:cstheme="minorEastAsia"/>
                <w:color w:val="000000"/>
                <w:kern w:val="0"/>
                <w:sz w:val="24"/>
                <w:szCs w:val="24"/>
                <w:lang w:eastAsia="zh-CN"/>
              </w:rPr>
              <w:t>磋商</w:t>
            </w:r>
            <w:r>
              <w:rPr>
                <w:rFonts w:hint="eastAsia" w:asciiTheme="minorEastAsia" w:hAnsiTheme="minorEastAsia" w:eastAsiaTheme="minorEastAsia" w:cstheme="minorEastAsia"/>
                <w:color w:val="000000"/>
                <w:kern w:val="0"/>
                <w:sz w:val="24"/>
                <w:szCs w:val="24"/>
              </w:rPr>
              <w:t>书》、《法定代表人授权书》、数据文件《响应报价表（含明细）》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工期（服务期限）、质保期</w:t>
            </w:r>
          </w:p>
        </w:tc>
        <w:tc>
          <w:tcPr>
            <w:tcW w:w="5243" w:type="dxa"/>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工期（服务期限）、质保期满足磋商文件要求；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投标报价</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不能出现两个或两个以上不同报价；投标报价不能存在缺项、漏项；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投标方案</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不能出现两个或两个以上投标方案（磋商文件中要求提供备选方案的除外）；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磋商有效期</w:t>
            </w:r>
          </w:p>
        </w:tc>
        <w:tc>
          <w:tcPr>
            <w:tcW w:w="5243" w:type="dxa"/>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磋商有效期满足磋商文件要求</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磋商有效期不得少于 90 天。可参照供应商响应文件中《磋商书》或《报价组成情况表》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签字签章</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w:t>
            </w:r>
            <w:r>
              <w:rPr>
                <w:rFonts w:hint="eastAsia" w:asciiTheme="minorEastAsia" w:hAnsiTheme="minorEastAsia" w:eastAsiaTheme="minorEastAsia" w:cstheme="minorEastAsia"/>
                <w:color w:val="000000"/>
                <w:kern w:val="0"/>
                <w:sz w:val="24"/>
                <w:szCs w:val="24"/>
                <w:lang w:eastAsia="zh-CN"/>
              </w:rPr>
              <w:t>响应</w:t>
            </w:r>
            <w:r>
              <w:rPr>
                <w:rFonts w:hint="eastAsia" w:asciiTheme="minorEastAsia" w:hAnsiTheme="minorEastAsia" w:eastAsiaTheme="minorEastAsia" w:cstheme="minorEastAsia"/>
                <w:color w:val="000000"/>
                <w:kern w:val="0"/>
                <w:sz w:val="24"/>
                <w:szCs w:val="24"/>
              </w:rPr>
              <w:t>文件有法定代表人签字（签章）或签字人有法定代表人有效授权、按要求加盖电子公章及电子签名（签章）；以分公司形式参与投标的，法定代表人授权书由总公司法定代表人签字（签章）并加盖公章；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spacing w:line="240" w:lineRule="atLeast"/>
              <w:ind w:right="-88" w:rightChars="-42"/>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项目技术、服务和商务要求</w:t>
            </w:r>
          </w:p>
        </w:tc>
        <w:tc>
          <w:tcPr>
            <w:tcW w:w="5243" w:type="dxa"/>
            <w:vAlign w:val="center"/>
          </w:tcPr>
          <w:p>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满足</w:t>
            </w:r>
            <w:r>
              <w:rPr>
                <w:rFonts w:hint="eastAsia" w:asciiTheme="minorEastAsia" w:hAnsiTheme="minorEastAsia" w:eastAsiaTheme="minorEastAsia" w:cstheme="minorEastAsia"/>
                <w:color w:val="000000"/>
                <w:kern w:val="0"/>
                <w:sz w:val="24"/>
                <w:szCs w:val="24"/>
                <w:lang w:eastAsia="zh-CN"/>
              </w:rPr>
              <w:t>磋商</w:t>
            </w:r>
            <w:r>
              <w:rPr>
                <w:rFonts w:hint="eastAsia" w:asciiTheme="minorEastAsia" w:hAnsiTheme="minorEastAsia" w:eastAsiaTheme="minorEastAsia" w:cstheme="minorEastAsia"/>
                <w:color w:val="000000"/>
                <w:kern w:val="0"/>
                <w:sz w:val="24"/>
                <w:szCs w:val="24"/>
              </w:rPr>
              <w:t>文件第三章“</w:t>
            </w:r>
            <w:r>
              <w:rPr>
                <w:rFonts w:hint="eastAsia" w:asciiTheme="minorEastAsia" w:hAnsiTheme="minorEastAsia" w:eastAsiaTheme="minorEastAsia" w:cstheme="minorEastAsia"/>
                <w:color w:val="000000"/>
                <w:kern w:val="0"/>
                <w:sz w:val="24"/>
                <w:szCs w:val="24"/>
                <w:lang w:eastAsia="zh-CN"/>
              </w:rPr>
              <w:t>采购需求</w:t>
            </w:r>
            <w:r>
              <w:rPr>
                <w:rFonts w:hint="eastAsia" w:asciiTheme="minorEastAsia" w:hAnsiTheme="minorEastAsia" w:eastAsiaTheme="minorEastAsia" w:cstheme="minorEastAsia"/>
                <w:color w:val="000000"/>
                <w:kern w:val="0"/>
                <w:sz w:val="24"/>
                <w:szCs w:val="24"/>
              </w:rPr>
              <w:t>”中“★”号条款要求</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标注“★”号条款的技术、服务及商务要求，应满足或优于</w:t>
            </w:r>
            <w:r>
              <w:rPr>
                <w:rFonts w:hint="eastAsia" w:asciiTheme="minorEastAsia" w:hAnsiTheme="minorEastAsia" w:eastAsiaTheme="minorEastAsia" w:cstheme="minorEastAsia"/>
                <w:color w:val="000000"/>
                <w:kern w:val="0"/>
                <w:sz w:val="24"/>
                <w:szCs w:val="24"/>
                <w:lang w:eastAsia="zh-CN"/>
              </w:rPr>
              <w:t>，不能</w:t>
            </w:r>
            <w:r>
              <w:rPr>
                <w:rFonts w:hint="eastAsia" w:asciiTheme="minorEastAsia" w:hAnsiTheme="minorEastAsia" w:eastAsiaTheme="minorEastAsia" w:cstheme="minorEastAsia"/>
                <w:color w:val="000000"/>
                <w:kern w:val="0"/>
                <w:sz w:val="24"/>
                <w:szCs w:val="24"/>
              </w:rPr>
              <w:t>能出现</w:t>
            </w:r>
            <w:r>
              <w:rPr>
                <w:rFonts w:hint="eastAsia" w:asciiTheme="minorEastAsia" w:hAnsiTheme="minorEastAsia" w:eastAsiaTheme="minorEastAsia" w:cstheme="minorEastAsia"/>
                <w:color w:val="000000"/>
                <w:kern w:val="0"/>
                <w:sz w:val="24"/>
                <w:szCs w:val="24"/>
                <w:lang w:eastAsia="zh-CN"/>
              </w:rPr>
              <w:t>负</w:t>
            </w:r>
            <w:r>
              <w:rPr>
                <w:rFonts w:hint="eastAsia" w:asciiTheme="minorEastAsia" w:hAnsiTheme="minorEastAsia" w:eastAsiaTheme="minorEastAsia" w:cstheme="minorEastAsia"/>
                <w:color w:val="000000"/>
                <w:kern w:val="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spacing w:line="240" w:lineRule="atLeast"/>
              <w:ind w:right="-88" w:rightChars="-42"/>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color w:val="000000"/>
                <w:kern w:val="0"/>
                <w:sz w:val="24"/>
                <w:szCs w:val="24"/>
              </w:rPr>
              <w:t>《资格符合性审查对照表》、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“★”号条款响应、偏离情况说明表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《商务响应、偏离情况说明表》、《技术、服务响应、偏离情况说明表》</w:t>
            </w:r>
          </w:p>
        </w:tc>
        <w:tc>
          <w:tcPr>
            <w:tcW w:w="5243" w:type="dxa"/>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按要求提供《资格符合性审查对照表》、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“★”号条款响应、偏离情况说明表</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《商务响应、偏离情况说明表》、《技术、服务响应、偏离情况说明表》。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16" w:type="dxa"/>
            <w:vAlign w:val="center"/>
          </w:tcPr>
          <w:p>
            <w:pPr>
              <w:pStyle w:val="162"/>
              <w:numPr>
                <w:ilvl w:val="0"/>
                <w:numId w:val="14"/>
              </w:numPr>
              <w:spacing w:line="240" w:lineRule="atLeast"/>
              <w:ind w:right="-88" w:rightChars="-42" w:firstLineChars="0"/>
              <w:jc w:val="center"/>
              <w:rPr>
                <w:rFonts w:hint="eastAsia" w:asciiTheme="minorEastAsia" w:hAnsiTheme="minorEastAsia" w:eastAsiaTheme="minorEastAsia" w:cstheme="minorEastAsia"/>
                <w:bCs/>
                <w:kern w:val="0"/>
                <w:sz w:val="24"/>
                <w:szCs w:val="24"/>
              </w:rPr>
            </w:pPr>
          </w:p>
        </w:tc>
        <w:tc>
          <w:tcPr>
            <w:tcW w:w="3603" w:type="dxa"/>
            <w:gridSpan w:val="2"/>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附加条件</w:t>
            </w:r>
            <w:r>
              <w:rPr>
                <w:rFonts w:hint="eastAsia" w:asciiTheme="minorEastAsia" w:hAnsiTheme="minorEastAsia" w:eastAsiaTheme="minorEastAsia" w:cstheme="minorEastAsia"/>
                <w:color w:val="000000"/>
                <w:kern w:val="0"/>
                <w:sz w:val="24"/>
                <w:szCs w:val="24"/>
                <w:lang w:val="en-US" w:eastAsia="zh-CN"/>
              </w:rPr>
              <w:t>的</w:t>
            </w:r>
          </w:p>
        </w:tc>
        <w:tc>
          <w:tcPr>
            <w:tcW w:w="5243" w:type="dxa"/>
            <w:vAlign w:val="center"/>
          </w:tcPr>
          <w:p>
            <w:pPr>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不能含有采购人不能接受的附加条件。</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r>
        <w:rPr>
          <w:rFonts w:hint="eastAsia" w:asciiTheme="minorEastAsia" w:hAnsiTheme="minorEastAsia" w:eastAsiaTheme="minorEastAsia" w:cstheme="minorEastAsia"/>
          <w:b/>
          <w:sz w:val="24"/>
          <w:szCs w:val="24"/>
        </w:rPr>
        <w:t>说明：</w:t>
      </w:r>
      <w:r>
        <w:rPr>
          <w:rFonts w:hint="eastAsia" w:asciiTheme="minorEastAsia" w:hAnsiTheme="minorEastAsia" w:eastAsiaTheme="minorEastAsia" w:cstheme="minorEastAsia"/>
          <w:spacing w:val="-9"/>
          <w:sz w:val="24"/>
          <w:szCs w:val="24"/>
        </w:rPr>
        <w:t>1、所有证书、证明文件包括按要求提供的官网截图必须是真实可查证的，须注明</w:t>
      </w:r>
      <w:r>
        <w:rPr>
          <w:rFonts w:hint="eastAsia" w:asciiTheme="minorEastAsia" w:hAnsiTheme="minorEastAsia" w:eastAsiaTheme="minorEastAsia" w:cstheme="minorEastAsia"/>
          <w:spacing w:val="-4"/>
          <w:sz w:val="24"/>
          <w:szCs w:val="24"/>
        </w:rPr>
        <w:t>资料来源。资格证明文件应为原件的扫描件。如因证明材料模糊无法辨认，缺页、漏页导致无法进行评审认定的责任由供应商自负。如发现弄虚作假将按照有关规定严肃处理。</w:t>
      </w:r>
      <w:r>
        <w:rPr>
          <w:rFonts w:hint="eastAsia" w:asciiTheme="minorEastAsia" w:hAnsiTheme="minorEastAsia" w:eastAsiaTheme="minorEastAsia" w:cstheme="minorEastAsia"/>
          <w:sz w:val="24"/>
          <w:szCs w:val="24"/>
        </w:rPr>
        <w:t>证明材料仅限于供应商本身，参股或控股单位及独立法人子公司的材料不能作为证明材料，但供应商兼并的企业的材料可作为证明材料。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28</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42</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w:t>
      </w:r>
      <w:r>
        <w:rPr>
          <w:rFonts w:hint="eastAsia" w:ascii="宋体" w:hAnsi="宋体" w:eastAsia="宋体" w:cstheme="minorEastAsia"/>
          <w:color w:val="auto"/>
          <w:sz w:val="24"/>
          <w:szCs w:val="24"/>
          <w:lang w:eastAsia="zh-CN"/>
        </w:rPr>
        <w:t>、服务</w:t>
      </w:r>
      <w:r>
        <w:rPr>
          <w:rFonts w:hint="eastAsia" w:ascii="宋体" w:hAnsi="宋体" w:eastAsia="宋体" w:cstheme="minorEastAsia"/>
          <w:color w:val="auto"/>
          <w:sz w:val="24"/>
          <w:szCs w:val="24"/>
        </w:rPr>
        <w:t>类采购项目，按磋商文件中采购清单确定的货物，对小型和微型企业制造的货物价格给予</w:t>
      </w:r>
      <w:r>
        <w:rPr>
          <w:rFonts w:hint="eastAsia" w:ascii="宋体" w:hAnsi="宋体" w:eastAsia="宋体" w:cstheme="minorEastAsia"/>
          <w:color w:val="auto"/>
          <w:sz w:val="24"/>
          <w:szCs w:val="24"/>
          <w:lang w:val="en-US" w:eastAsia="zh-CN"/>
        </w:rPr>
        <w:t>10</w:t>
      </w:r>
      <w:r>
        <w:rPr>
          <w:rFonts w:hint="eastAsia" w:ascii="宋体" w:hAnsi="宋体" w:eastAsia="宋体" w:cstheme="minorEastAsia"/>
          <w:color w:val="auto"/>
          <w:sz w:val="24"/>
          <w:szCs w:val="24"/>
        </w:rPr>
        <w:t>%的扣除，用扣除后的价格参与评审。</w:t>
      </w:r>
      <w:r>
        <w:rPr>
          <w:rFonts w:hint="eastAsia" w:ascii="宋体" w:hAnsi="宋体" w:eastAsia="宋体" w:cstheme="minorEastAsia"/>
          <w:b/>
          <w:bCs/>
          <w:color w:val="auto"/>
          <w:sz w:val="24"/>
          <w:szCs w:val="24"/>
        </w:rPr>
        <w:t>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2.2非专门面向中小企业的工程类采购项目，供应商是小型和微型企业的价格给予</w:t>
      </w:r>
      <w:r>
        <w:rPr>
          <w:rFonts w:hint="eastAsia" w:ascii="宋体" w:hAnsi="宋体" w:eastAsia="宋体" w:cstheme="minorEastAsia"/>
          <w:color w:val="auto"/>
          <w:sz w:val="24"/>
          <w:szCs w:val="24"/>
          <w:lang w:val="en-US" w:eastAsia="zh-CN"/>
        </w:rPr>
        <w:t>3</w:t>
      </w:r>
      <w:r>
        <w:rPr>
          <w:rFonts w:hint="eastAsia" w:ascii="宋体" w:hAnsi="宋体" w:eastAsia="宋体" w:cstheme="minorEastAsia"/>
          <w:color w:val="auto"/>
          <w:sz w:val="24"/>
          <w:szCs w:val="24"/>
        </w:rPr>
        <w:t>%的扣除，用扣除后的价格参与评审。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eastAsia="宋体" w:cstheme="minorEastAsia"/>
          <w:color w:val="auto"/>
          <w:sz w:val="24"/>
          <w:szCs w:val="24"/>
          <w:lang w:val="en-US" w:eastAsia="zh-CN"/>
        </w:rPr>
        <w:t>6</w:t>
      </w:r>
      <w:r>
        <w:rPr>
          <w:rFonts w:hint="eastAsia" w:ascii="宋体" w:hAnsi="宋体" w:eastAsia="宋体" w:cstheme="minorEastAsia"/>
          <w:color w:val="auto"/>
          <w:sz w:val="24"/>
          <w:szCs w:val="24"/>
        </w:rPr>
        <w:t>%</w:t>
      </w:r>
      <w:r>
        <w:rPr>
          <w:rFonts w:hint="eastAsia" w:ascii="宋体" w:hAnsi="宋体" w:eastAsia="宋体" w:cstheme="minorEastAsia"/>
          <w:color w:val="auto"/>
          <w:sz w:val="24"/>
          <w:szCs w:val="24"/>
          <w:lang w:eastAsia="zh-CN"/>
        </w:rPr>
        <w:t>（工程项目为</w:t>
      </w:r>
      <w:r>
        <w:rPr>
          <w:rFonts w:hint="eastAsia" w:ascii="宋体" w:hAnsi="宋体" w:eastAsia="宋体" w:cstheme="minorEastAsia"/>
          <w:color w:val="auto"/>
          <w:sz w:val="24"/>
          <w:szCs w:val="24"/>
          <w:lang w:val="en-US" w:eastAsia="zh-CN"/>
        </w:rPr>
        <w:t>2%</w:t>
      </w:r>
      <w:r>
        <w:rPr>
          <w:rFonts w:hint="eastAsia" w:ascii="宋体" w:hAnsi="宋体" w:eastAsia="宋体" w:cstheme="minorEastAsia"/>
          <w:color w:val="auto"/>
          <w:sz w:val="24"/>
          <w:szCs w:val="24"/>
          <w:lang w:eastAsia="zh-CN"/>
        </w:rPr>
        <w:t>）</w:t>
      </w:r>
      <w:r>
        <w:rPr>
          <w:rFonts w:hint="eastAsia" w:ascii="宋体" w:hAnsi="宋体" w:eastAsia="宋体" w:cstheme="minorEastAsia"/>
          <w:color w:val="auto"/>
          <w:sz w:val="24"/>
          <w:szCs w:val="24"/>
        </w:rPr>
        <w:t>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54" w:name="_Toc75007959"/>
      <w:bookmarkStart w:id="55" w:name="_Toc1458939"/>
    </w:p>
    <w:p>
      <w:pPr>
        <w:spacing w:line="440" w:lineRule="exact"/>
        <w:ind w:left="0" w:leftChars="0" w:firstLine="422" w:firstLineChars="150"/>
        <w:outlineLvl w:val="1"/>
        <w:rPr>
          <w:rFonts w:ascii="宋体" w:hAnsi="宋体" w:eastAsia="宋体" w:cstheme="minorEastAsia"/>
          <w:b/>
          <w:color w:val="auto"/>
          <w:sz w:val="28"/>
          <w:szCs w:val="28"/>
        </w:rPr>
      </w:pPr>
      <w:bookmarkStart w:id="56" w:name="_Toc19196"/>
      <w:r>
        <w:rPr>
          <w:rFonts w:hint="eastAsia" w:ascii="宋体" w:hAnsi="宋体" w:eastAsia="宋体" w:cstheme="minorEastAsia"/>
          <w:b/>
          <w:color w:val="auto"/>
          <w:sz w:val="28"/>
          <w:szCs w:val="28"/>
        </w:rPr>
        <w:t>三、</w:t>
      </w:r>
      <w:bookmarkStart w:id="57" w:name="_Toc509997296"/>
      <w:bookmarkStart w:id="58" w:name="_Toc1421491"/>
      <w:bookmarkStart w:id="59" w:name="_Toc494799112"/>
      <w:r>
        <w:rPr>
          <w:rFonts w:hint="eastAsia" w:ascii="宋体" w:hAnsi="宋体" w:eastAsia="宋体" w:cstheme="minorEastAsia"/>
          <w:b/>
          <w:color w:val="auto"/>
          <w:sz w:val="28"/>
          <w:szCs w:val="28"/>
        </w:rPr>
        <w:t>评审因素及评分标准</w:t>
      </w:r>
      <w:bookmarkEnd w:id="54"/>
      <w:bookmarkEnd w:id="55"/>
      <w:bookmarkEnd w:id="56"/>
      <w:bookmarkEnd w:id="57"/>
      <w:bookmarkEnd w:id="58"/>
      <w:bookmarkEnd w:id="59"/>
      <w:bookmarkStart w:id="60" w:name="_Toc75007960"/>
      <w:bookmarkStart w:id="61" w:name="_Toc145894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olor w:val="auto"/>
          <w:sz w:val="24"/>
          <w:szCs w:val="24"/>
          <w:lang w:val="en-US" w:eastAsia="zh-CN"/>
        </w:rPr>
        <w:t>28</w:t>
      </w:r>
      <w:r>
        <w:rPr>
          <w:rFonts w:hint="eastAsia" w:ascii="宋体" w:hAnsi="宋体"/>
          <w:color w:val="auto"/>
          <w:sz w:val="24"/>
          <w:szCs w:val="24"/>
        </w:rPr>
        <w:t>分）</w:t>
      </w:r>
      <w:bookmarkEnd w:id="60"/>
      <w:bookmarkEnd w:id="61"/>
    </w:p>
    <w:tbl>
      <w:tblPr>
        <w:tblStyle w:val="42"/>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46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250"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00" w:type="dxa"/>
            <w:noWrap w:val="0"/>
            <w:vAlign w:val="center"/>
          </w:tcPr>
          <w:p>
            <w:pPr>
              <w:widowControl/>
              <w:numPr>
                <w:ilvl w:val="0"/>
                <w:numId w:val="15"/>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项目实施方案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6</w:t>
            </w:r>
          </w:p>
        </w:tc>
        <w:tc>
          <w:tcPr>
            <w:tcW w:w="4615" w:type="dxa"/>
            <w:noWrap w:val="0"/>
            <w:vAlign w:val="center"/>
          </w:tcPr>
          <w:p>
            <w:pPr>
              <w:pStyle w:val="50"/>
              <w:rPr>
                <w:rFonts w:hint="default"/>
                <w:sz w:val="24"/>
                <w:szCs w:val="24"/>
                <w:lang w:val="en-US" w:eastAsia="zh-CN"/>
              </w:rPr>
            </w:pPr>
            <w:r>
              <w:rPr>
                <w:rFonts w:hint="eastAsia" w:ascii="宋体" w:hAnsi="宋体" w:eastAsia="宋体" w:cs="宋体"/>
                <w:b w:val="0"/>
                <w:bCs w:val="0"/>
                <w:caps w:val="0"/>
                <w:kern w:val="2"/>
                <w:sz w:val="24"/>
                <w:szCs w:val="24"/>
                <w:lang w:val="en-US" w:eastAsia="zh-CN" w:bidi="ar-SA"/>
              </w:rPr>
              <w:t>依据投标人制定的项目实施方案（如项目管理、交货时间、物流配送、质量保证、进度安排等）的完整性和可行性进行评判：方案制定科学合理完善、可操作性强得6分，方案制定一般的得4分，提供相关方案基本满足项目实施需求的得2分，未提供或方案不能满足实施需求得0分。</w:t>
            </w:r>
          </w:p>
        </w:tc>
        <w:tc>
          <w:tcPr>
            <w:tcW w:w="1080" w:type="dxa"/>
            <w:noWrap w:val="0"/>
            <w:vAlign w:val="center"/>
          </w:tcPr>
          <w:p>
            <w:pPr>
              <w:widowControl/>
              <w:spacing w:line="60" w:lineRule="auto"/>
              <w:ind w:left="-65" w:leftChars="-31" w:right="-36" w:rightChars="-17"/>
              <w:jc w:val="center"/>
              <w:rPr>
                <w:rFonts w:hint="default" w:eastAsiaTheme="minorEastAsia"/>
                <w:lang w:val="en-US"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5"/>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right="-78" w:rightChars="-37"/>
              <w:jc w:val="both"/>
              <w:rPr>
                <w:rFonts w:ascii="宋体" w:hAnsi="宋体" w:eastAsia="宋体" w:cs="仿宋_GB2312"/>
                <w:color w:val="auto"/>
                <w:sz w:val="24"/>
                <w:szCs w:val="24"/>
              </w:rPr>
            </w:pPr>
            <w:r>
              <w:rPr>
                <w:rFonts w:hint="eastAsia" w:ascii="宋体" w:hAnsi="宋体" w:eastAsia="宋体" w:cs="仿宋_GB2312"/>
                <w:color w:val="auto"/>
                <w:sz w:val="24"/>
                <w:szCs w:val="24"/>
                <w:lang w:eastAsia="zh-CN"/>
              </w:rPr>
              <w:t>质保期</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2</w:t>
            </w:r>
          </w:p>
        </w:tc>
        <w:tc>
          <w:tcPr>
            <w:tcW w:w="4615" w:type="dxa"/>
            <w:noWrap w:val="0"/>
            <w:vAlign w:val="center"/>
          </w:tcPr>
          <w:p>
            <w:pPr>
              <w:widowControl/>
              <w:tabs>
                <w:tab w:val="left" w:pos="690"/>
              </w:tabs>
              <w:spacing w:line="60" w:lineRule="auto"/>
              <w:ind w:right="-50" w:rightChars="-24"/>
              <w:jc w:val="left"/>
              <w:rPr>
                <w:rFonts w:ascii="宋体" w:hAnsi="宋体" w:eastAsia="宋体" w:cs="仿宋_GB2312"/>
                <w:color w:val="auto"/>
                <w:sz w:val="24"/>
                <w:szCs w:val="24"/>
              </w:rPr>
            </w:pPr>
            <w:r>
              <w:rPr>
                <w:rFonts w:hint="eastAsia" w:ascii="宋体" w:hAnsi="宋体" w:eastAsia="宋体" w:cstheme="minorEastAsia"/>
                <w:bCs/>
                <w:sz w:val="21"/>
                <w:szCs w:val="21"/>
              </w:rPr>
              <w:t>供应商提供</w:t>
            </w:r>
            <w:r>
              <w:rPr>
                <w:rFonts w:hint="eastAsia" w:ascii="宋体" w:hAnsi="宋体" w:eastAsia="宋体"/>
                <w:sz w:val="21"/>
                <w:szCs w:val="21"/>
              </w:rPr>
              <w:t>交互智能平板供</w:t>
            </w:r>
            <w:r>
              <w:rPr>
                <w:rFonts w:hint="eastAsia" w:ascii="宋体" w:hAnsi="宋体" w:eastAsia="宋体" w:cstheme="minorEastAsia"/>
                <w:bCs/>
                <w:sz w:val="21"/>
                <w:szCs w:val="21"/>
              </w:rPr>
              <w:t>应商针对本项目出具的原厂三年免费质保承诺函的得2分。（以提供证明材料加盖供应商公章为准）；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5"/>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类似项目业绩</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4</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供应商提供20</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年1月1日至投标截止日</w:t>
            </w:r>
            <w:r>
              <w:rPr>
                <w:rFonts w:hint="eastAsia" w:ascii="宋体" w:hAnsi="宋体" w:eastAsia="宋体" w:cs="Times New Roman"/>
                <w:color w:val="auto"/>
                <w:sz w:val="24"/>
                <w:szCs w:val="24"/>
                <w:lang w:val="en-US" w:eastAsia="zh-CN"/>
              </w:rPr>
              <w:t>承担过</w:t>
            </w:r>
            <w:r>
              <w:rPr>
                <w:rFonts w:hint="eastAsia" w:ascii="宋体" w:hAnsi="宋体" w:eastAsia="宋体" w:cs="Times New Roman"/>
                <w:color w:val="auto"/>
                <w:sz w:val="24"/>
                <w:szCs w:val="24"/>
                <w:lang w:eastAsia="zh-CN"/>
              </w:rPr>
              <w:t>同类</w:t>
            </w:r>
            <w:r>
              <w:rPr>
                <w:rFonts w:hint="eastAsia" w:ascii="宋体" w:hAnsi="宋体" w:eastAsia="宋体" w:cs="Times New Roman"/>
                <w:color w:val="auto"/>
                <w:sz w:val="24"/>
                <w:szCs w:val="24"/>
              </w:rPr>
              <w:t>项目业绩的，每提供1个合同业绩得</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分，最多</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 xml:space="preserve">分。 </w:t>
            </w:r>
          </w:p>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（以合同签订时间为准，需提供项目合同及客户盖章验收单和项目联络人及联系电话）</w:t>
            </w:r>
          </w:p>
        </w:tc>
        <w:tc>
          <w:tcPr>
            <w:tcW w:w="1080" w:type="dxa"/>
            <w:noWrap w:val="0"/>
            <w:vAlign w:val="center"/>
          </w:tcPr>
          <w:p>
            <w:pPr>
              <w:widowControl/>
              <w:spacing w:line="60" w:lineRule="auto"/>
              <w:ind w:left="-65" w:leftChars="-31" w:right="-36" w:rightChars="-17"/>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eastAsia="zh-CN"/>
              </w:rPr>
              <w:t>商务要求</w:t>
            </w:r>
            <w:r>
              <w:rPr>
                <w:rFonts w:hint="eastAsia" w:ascii="宋体" w:hAnsi="宋体" w:eastAsia="宋体" w:cs="Times New Roman"/>
                <w:color w:val="auto"/>
                <w:sz w:val="24"/>
                <w:szCs w:val="24"/>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5"/>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rPr>
            </w:pPr>
            <w:r>
              <w:rPr>
                <w:rFonts w:hint="eastAsia" w:ascii="宋体" w:hAnsi="宋体" w:eastAsia="宋体" w:cs="仿宋_GB2312"/>
                <w:color w:val="auto"/>
                <w:sz w:val="24"/>
                <w:szCs w:val="24"/>
              </w:rPr>
              <w:t>制造商企业实力</w:t>
            </w:r>
          </w:p>
        </w:tc>
        <w:tc>
          <w:tcPr>
            <w:tcW w:w="776" w:type="dxa"/>
            <w:noWrap w:val="0"/>
            <w:vAlign w:val="center"/>
          </w:tcPr>
          <w:p>
            <w:pPr>
              <w:widowControl/>
              <w:spacing w:line="60" w:lineRule="auto"/>
              <w:ind w:left="-57" w:leftChars="-27" w:right="-78" w:rightChars="-37"/>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000000" w:themeColor="text1"/>
                <w:sz w:val="24"/>
                <w:szCs w:val="24"/>
                <w:lang w:val="en-US" w:eastAsia="zh-CN"/>
                <w14:textFill>
                  <w14:solidFill>
                    <w14:schemeClr w14:val="tx1"/>
                  </w14:solidFill>
                </w14:textFill>
              </w:rPr>
              <w:t>16</w:t>
            </w:r>
          </w:p>
        </w:tc>
        <w:tc>
          <w:tcPr>
            <w:tcW w:w="4615" w:type="dxa"/>
            <w:noWrap w:val="0"/>
            <w:vAlign w:val="center"/>
          </w:tcPr>
          <w:p>
            <w:pPr>
              <w:widowControl/>
              <w:numPr>
                <w:ilvl w:val="0"/>
                <w:numId w:val="16"/>
              </w:numPr>
              <w:spacing w:line="360" w:lineRule="auto"/>
              <w:rPr>
                <w:rFonts w:hint="eastAsia" w:ascii="宋体" w:hAnsi="宋体"/>
                <w:szCs w:val="21"/>
              </w:rPr>
            </w:pPr>
            <w:r>
              <w:rPr>
                <w:rFonts w:hint="eastAsia" w:ascii="宋体" w:hAnsi="宋体"/>
                <w:szCs w:val="21"/>
              </w:rPr>
              <w:t>交互智能平板制造商通过GB/T 31950-2015诚信管理体系认证，得</w:t>
            </w:r>
            <w:r>
              <w:rPr>
                <w:rFonts w:hint="eastAsia" w:ascii="宋体" w:hAnsi="宋体"/>
                <w:szCs w:val="21"/>
                <w:lang w:val="en-US" w:eastAsia="zh-CN"/>
              </w:rPr>
              <w:t>3</w:t>
            </w:r>
            <w:r>
              <w:rPr>
                <w:rFonts w:hint="eastAsia" w:ascii="宋体" w:hAnsi="宋体"/>
                <w:szCs w:val="21"/>
              </w:rPr>
              <w:t>分。（提供证书复印件并加盖制造商鲜章，不提供不得分）</w:t>
            </w:r>
          </w:p>
          <w:p>
            <w:pPr>
              <w:widowControl/>
              <w:spacing w:line="360" w:lineRule="auto"/>
              <w:rPr>
                <w:rFonts w:ascii="宋体" w:hAnsi="宋体"/>
                <w:szCs w:val="21"/>
              </w:rPr>
            </w:pPr>
            <w:r>
              <w:rPr>
                <w:rFonts w:hint="eastAsia" w:ascii="宋体" w:hAnsi="宋体"/>
                <w:szCs w:val="21"/>
                <w:lang w:val="en-US" w:eastAsia="zh-CN"/>
              </w:rPr>
              <w:t>2、</w:t>
            </w:r>
            <w:r>
              <w:rPr>
                <w:rFonts w:hint="eastAsia" w:ascii="宋体" w:hAnsi="宋体"/>
                <w:szCs w:val="21"/>
              </w:rPr>
              <w:t>交互智能平板制造商通过信息安全管理体系认证和云服务信息安全管理体系认证的得</w:t>
            </w:r>
            <w:r>
              <w:rPr>
                <w:rFonts w:hint="eastAsia" w:ascii="宋体" w:hAnsi="宋体"/>
                <w:szCs w:val="21"/>
                <w:lang w:val="en-US" w:eastAsia="zh-CN"/>
              </w:rPr>
              <w:t>3</w:t>
            </w:r>
            <w:r>
              <w:rPr>
                <w:rFonts w:hint="eastAsia" w:ascii="宋体" w:hAnsi="宋体"/>
                <w:szCs w:val="21"/>
              </w:rPr>
              <w:t>分，提供I</w:t>
            </w:r>
            <w:r>
              <w:rPr>
                <w:rFonts w:ascii="宋体" w:hAnsi="宋体"/>
                <w:szCs w:val="21"/>
              </w:rPr>
              <w:t>SO 27001</w:t>
            </w:r>
            <w:r>
              <w:rPr>
                <w:rFonts w:hint="eastAsia" w:ascii="宋体" w:hAnsi="宋体"/>
                <w:szCs w:val="21"/>
              </w:rPr>
              <w:t>及I</w:t>
            </w:r>
            <w:r>
              <w:rPr>
                <w:rFonts w:ascii="宋体" w:hAnsi="宋体"/>
                <w:szCs w:val="21"/>
              </w:rPr>
              <w:t>SO 27017</w:t>
            </w:r>
            <w:r>
              <w:rPr>
                <w:rFonts w:hint="eastAsia" w:ascii="宋体" w:hAnsi="宋体"/>
                <w:szCs w:val="21"/>
              </w:rPr>
              <w:t>认证证书证明，保护网络信息安全。缺少1个证书或未提供的不得分；（提供证书复印件并加盖制造商公章，不提供不得分）</w:t>
            </w:r>
          </w:p>
          <w:p>
            <w:pPr>
              <w:widowControl/>
              <w:spacing w:line="360" w:lineRule="auto"/>
              <w:rPr>
                <w:rFonts w:hint="eastAsia" w:ascii="宋体" w:hAnsi="宋体"/>
                <w:szCs w:val="21"/>
                <w:lang w:val="en-US" w:eastAsia="zh-CN"/>
              </w:rPr>
            </w:pPr>
            <w:r>
              <w:rPr>
                <w:rFonts w:hint="eastAsia"/>
                <w:lang w:val="en-US" w:eastAsia="zh-CN"/>
              </w:rPr>
              <w:t>3、</w:t>
            </w:r>
            <w:r>
              <w:rPr>
                <w:rFonts w:hint="eastAsia" w:ascii="宋体" w:hAnsi="宋体"/>
                <w:szCs w:val="21"/>
              </w:rPr>
              <w:t>为响应国家低碳排放政策，所投交互智能平板制造商获得低碳体系认证（</w:t>
            </w:r>
            <w:r>
              <w:rPr>
                <w:rFonts w:ascii="宋体" w:hAnsi="宋体"/>
                <w:szCs w:val="21"/>
              </w:rPr>
              <w:t>ISO14064</w:t>
            </w:r>
            <w:r>
              <w:rPr>
                <w:rFonts w:hint="eastAsia" w:ascii="宋体" w:hAnsi="宋体"/>
                <w:szCs w:val="21"/>
              </w:rPr>
              <w:t>），得</w:t>
            </w:r>
            <w:r>
              <w:rPr>
                <w:rFonts w:hint="eastAsia" w:ascii="宋体" w:hAnsi="宋体"/>
                <w:szCs w:val="21"/>
                <w:lang w:val="en-US" w:eastAsia="zh-CN"/>
              </w:rPr>
              <w:t>2分。（提供证书复印件及官网查询截图并加盖制造商公章，不提供不得分）</w:t>
            </w:r>
          </w:p>
          <w:p>
            <w:pPr>
              <w:widowControl/>
              <w:spacing w:line="360" w:lineRule="auto"/>
              <w:rPr>
                <w:rFonts w:hint="eastAsia" w:ascii="宋体" w:hAnsi="宋体"/>
                <w:szCs w:val="21"/>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szCs w:val="21"/>
              </w:rPr>
              <w:t>、交互智能平板拥有先进的人机交互技术，制造商获得过省级科学技术进步奖的，得1分。获得过国家级科学技术进步奖的，得2分。（提供证书复印件并加盖制造商公章，不提供不得分）</w:t>
            </w:r>
          </w:p>
          <w:p>
            <w:pPr>
              <w:widowControl/>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、交互智能平板整机采用专用钢化玻璃，通过第三方标准(GB 15763.2-2005、GB/T 18144-2008)测试，表面应力＞100MPa，得2分。（提供检测报告或证书复印件并加盖制造商公章，不提供不得分）</w:t>
            </w:r>
          </w:p>
          <w:p>
            <w:pPr>
              <w:widowControl/>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、交互智能平板外层可触控钢化玻璃采用抗菌涂层，24小时总抗细菌率≧95%，得2分。（提供证书复印件并加盖制造商公章，不提供不得分）</w:t>
            </w:r>
          </w:p>
          <w:p>
            <w:pPr>
              <w:widowControl/>
              <w:spacing w:line="360" w:lineRule="auto"/>
              <w:rPr>
                <w:rFonts w:hint="eastAsia" w:ascii="宋体" w:hAnsi="宋体"/>
                <w:szCs w:val="21"/>
                <w:lang w:val="en-US" w:eastAsia="zh-CN"/>
              </w:rPr>
            </w:pPr>
            <w:r>
              <w:rPr>
                <w:rFonts w:hint="eastAsia" w:ascii="宋体" w:hAnsi="宋体"/>
                <w:szCs w:val="21"/>
                <w:lang w:val="en-US" w:eastAsia="zh-CN"/>
              </w:rPr>
              <w:t>7、所投实物展台产品必须具备很好的稳定性，具备100000小时以上稳定运行的能力，提供MTBF证书得2分，不提供不得分。</w:t>
            </w:r>
          </w:p>
          <w:p>
            <w:pPr>
              <w:pStyle w:val="2"/>
            </w:pPr>
          </w:p>
          <w:p>
            <w:pPr>
              <w:pStyle w:val="2"/>
              <w:rPr>
                <w:rFonts w:hint="eastAsia"/>
                <w:lang w:val="en-US" w:eastAsia="zh-CN"/>
              </w:rPr>
            </w:pPr>
          </w:p>
          <w:p>
            <w:pPr>
              <w:widowControl/>
              <w:spacing w:line="60" w:lineRule="auto"/>
              <w:ind w:left="-57" w:leftChars="-27" w:right="-78" w:rightChars="-37"/>
              <w:jc w:val="center"/>
              <w:rPr>
                <w:rFonts w:hint="eastAsia" w:ascii="宋体" w:hAnsi="宋体" w:eastAsia="宋体" w:cs="仿宋_GB2312"/>
                <w:color w:val="auto"/>
                <w:sz w:val="24"/>
                <w:szCs w:val="24"/>
                <w:lang w:val="en-US" w:eastAsia="zh-CN"/>
              </w:rPr>
            </w:pPr>
          </w:p>
        </w:tc>
        <w:tc>
          <w:tcPr>
            <w:tcW w:w="1080" w:type="dxa"/>
            <w:noWrap w:val="0"/>
            <w:vAlign w:val="center"/>
          </w:tcPr>
          <w:p>
            <w:pPr>
              <w:widowControl/>
              <w:spacing w:line="60" w:lineRule="auto"/>
              <w:ind w:left="-57" w:leftChars="-27" w:right="-78" w:rightChars="-37"/>
              <w:jc w:val="center"/>
              <w:rPr>
                <w:rFonts w:hint="default" w:ascii="宋体" w:hAnsi="宋体" w:eastAsia="宋体" w:cs="仿宋_GB2312"/>
                <w:color w:val="auto"/>
                <w:sz w:val="24"/>
                <w:szCs w:val="24"/>
                <w:lang w:val="en-US" w:eastAsia="zh-CN"/>
              </w:rPr>
            </w:pPr>
            <w:r>
              <w:rPr>
                <w:rFonts w:hint="eastAsia" w:ascii="宋体" w:hAnsi="宋体" w:eastAsia="宋体" w:cs="Times New Roman"/>
                <w:color w:val="auto"/>
                <w:sz w:val="24"/>
                <w:szCs w:val="24"/>
                <w:lang w:eastAsia="zh-CN"/>
              </w:rPr>
              <w:t>商务要求</w:t>
            </w:r>
            <w:r>
              <w:rPr>
                <w:rFonts w:hint="eastAsia" w:ascii="宋体" w:hAnsi="宋体" w:eastAsia="宋体" w:cs="Times New Roman"/>
                <w:color w:val="auto"/>
                <w:sz w:val="24"/>
                <w:szCs w:val="24"/>
                <w:lang w:val="en-US" w:eastAsia="zh-CN"/>
              </w:rPr>
              <w:t>5.11</w:t>
            </w:r>
          </w:p>
        </w:tc>
      </w:tr>
    </w:tbl>
    <w:p>
      <w:pPr>
        <w:pStyle w:val="24"/>
        <w:rPr>
          <w:color w:val="auto"/>
        </w:rPr>
      </w:pPr>
    </w:p>
    <w:p>
      <w:pPr>
        <w:numPr>
          <w:ilvl w:val="0"/>
          <w:numId w:val="17"/>
        </w:numPr>
        <w:spacing w:line="440" w:lineRule="exact"/>
        <w:ind w:left="0" w:leftChars="0" w:firstLine="480" w:firstLineChars="200"/>
        <w:outlineLvl w:val="2"/>
        <w:rPr>
          <w:rFonts w:hint="eastAsia" w:ascii="宋体" w:hAnsi="宋体"/>
          <w:color w:val="auto"/>
          <w:sz w:val="24"/>
          <w:szCs w:val="24"/>
        </w:rPr>
      </w:pPr>
      <w:bookmarkStart w:id="62" w:name="_Toc1458941"/>
      <w:bookmarkStart w:id="63" w:name="_Toc7500796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szCs w:val="21"/>
          <w:lang w:val="en-US" w:eastAsia="zh-CN"/>
        </w:rPr>
        <w:t>（42分）</w:t>
      </w:r>
      <w:bookmarkEnd w:id="62"/>
      <w:bookmarkEnd w:id="63"/>
    </w:p>
    <w:tbl>
      <w:tblPr>
        <w:tblStyle w:val="42"/>
        <w:tblW w:w="4497" w:type="pc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13"/>
        <w:gridCol w:w="854"/>
        <w:gridCol w:w="467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64" w:name="_Toc385992359"/>
            <w:bookmarkStart w:id="65" w:name="_Toc389620198"/>
            <w:r>
              <w:rPr>
                <w:rFonts w:hint="eastAsia" w:ascii="宋体" w:hAnsi="宋体" w:eastAsia="宋体" w:cs="Times New Roman"/>
                <w:b/>
                <w:color w:val="000000"/>
                <w:sz w:val="24"/>
                <w:szCs w:val="24"/>
              </w:rPr>
              <w:t>序号</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512"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808"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63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78"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lang w:eastAsia="zh-CN"/>
              </w:rPr>
            </w:pPr>
            <w:r>
              <w:rPr>
                <w:rFonts w:hint="eastAsia" w:ascii="宋体" w:hAnsi="宋体" w:eastAsia="宋体" w:cs="仿宋_GB2312"/>
                <w:color w:val="auto"/>
                <w:sz w:val="24"/>
                <w:szCs w:val="24"/>
                <w:lang w:eastAsia="zh-CN"/>
              </w:rPr>
              <w:t>产品技术要求</w:t>
            </w:r>
          </w:p>
        </w:tc>
        <w:tc>
          <w:tcPr>
            <w:tcW w:w="51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sz w:val="24"/>
                <w:szCs w:val="24"/>
                <w:lang w:val="en-US" w:eastAsia="zh-CN"/>
              </w:rPr>
            </w:pPr>
            <w:r>
              <w:rPr>
                <w:rFonts w:hint="eastAsia" w:ascii="宋体" w:hAnsi="宋体" w:eastAsia="宋体" w:cs="Times New Roman"/>
                <w:color w:val="000000" w:themeColor="text1"/>
                <w:sz w:val="24"/>
                <w:szCs w:val="24"/>
                <w:lang w:val="en-US" w:eastAsia="zh-CN"/>
                <w14:textFill>
                  <w14:solidFill>
                    <w14:schemeClr w14:val="tx1"/>
                  </w14:solidFill>
                </w14:textFill>
              </w:rPr>
              <w:t>42</w:t>
            </w:r>
          </w:p>
        </w:tc>
        <w:tc>
          <w:tcPr>
            <w:tcW w:w="280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hint="eastAsia" w:ascii="宋体" w:hAnsi="宋体"/>
                <w:szCs w:val="21"/>
                <w:lang w:eastAsia="zh-CN"/>
              </w:rPr>
            </w:pPr>
            <w:r>
              <w:rPr>
                <w:rFonts w:hint="eastAsia" w:ascii="宋体" w:hAnsi="宋体"/>
                <w:szCs w:val="21"/>
              </w:rPr>
              <w:t>招标文件清单中项目技术规格、参数及要求带★部分的技术参数、功能为重要指标，</w:t>
            </w:r>
            <w:r>
              <w:rPr>
                <w:rFonts w:hint="eastAsia" w:ascii="宋体" w:hAnsi="宋体"/>
                <w:szCs w:val="21"/>
                <w:lang w:eastAsia="zh-CN"/>
              </w:rPr>
              <w:t>完全满足的得</w:t>
            </w:r>
            <w:r>
              <w:rPr>
                <w:rFonts w:hint="eastAsia" w:ascii="宋体" w:hAnsi="宋体"/>
                <w:szCs w:val="21"/>
                <w:lang w:val="en-US" w:eastAsia="zh-CN"/>
              </w:rPr>
              <w:t>42分</w:t>
            </w:r>
            <w:r>
              <w:rPr>
                <w:rFonts w:hint="eastAsia" w:ascii="宋体" w:hAnsi="宋体"/>
                <w:szCs w:val="21"/>
              </w:rPr>
              <w:t>（以招标文件要求提供的证明为评价依据），每一项不满足的扣</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，扣完为止。</w:t>
            </w:r>
          </w:p>
          <w:p>
            <w:pPr>
              <w:widowControl/>
              <w:spacing w:line="360" w:lineRule="auto"/>
              <w:ind w:firstLine="420" w:firstLineChars="200"/>
              <w:rPr>
                <w:rFonts w:hint="eastAsia" w:ascii="宋体" w:hAnsi="宋体" w:eastAsia="宋体" w:cs="Times New Roman"/>
                <w:sz w:val="24"/>
                <w:szCs w:val="24"/>
              </w:rPr>
            </w:pPr>
            <w:r>
              <w:rPr>
                <w:rFonts w:hint="eastAsia" w:ascii="宋体" w:hAnsi="宋体"/>
                <w:szCs w:val="21"/>
              </w:rPr>
              <w:t>招标文件清单中项目技术规格、参数及要求非带★的技术参数、功能，以产品生产厂家出具的产品技术参数证明文件或招标文件要求出具的证明为评价依据，每一项不满足的扣1分</w:t>
            </w:r>
            <w:r>
              <w:rPr>
                <w:rFonts w:hint="eastAsia" w:ascii="宋体" w:hAnsi="宋体"/>
                <w:szCs w:val="21"/>
                <w:lang w:eastAsia="zh-CN"/>
              </w:rPr>
              <w:t>，扣完为止。</w:t>
            </w:r>
          </w:p>
        </w:tc>
        <w:tc>
          <w:tcPr>
            <w:tcW w:w="631"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cs="仿宋"/>
                <w:sz w:val="28"/>
                <w:szCs w:val="28"/>
              </w:rPr>
            </w:pPr>
            <w:r>
              <w:rPr>
                <w:rFonts w:hint="eastAsia" w:ascii="仿宋" w:hAnsi="仿宋" w:eastAsia="仿宋" w:cs="仿宋"/>
                <w:sz w:val="28"/>
                <w:szCs w:val="28"/>
              </w:rPr>
              <w:t>技术服务要求</w:t>
            </w:r>
          </w:p>
        </w:tc>
      </w:tr>
      <w:bookmarkEnd w:id="64"/>
      <w:bookmarkEnd w:id="65"/>
    </w:tbl>
    <w:p/>
    <w:p>
      <w:pPr>
        <w:spacing w:line="440" w:lineRule="exact"/>
        <w:ind w:left="0" w:leftChars="0" w:firstLine="480" w:firstLineChars="200"/>
        <w:jc w:val="left"/>
        <w:outlineLvl w:val="2"/>
        <w:rPr>
          <w:rFonts w:ascii="宋体" w:hAnsi="宋体"/>
          <w:color w:val="auto"/>
          <w:sz w:val="24"/>
          <w:szCs w:val="24"/>
        </w:rPr>
      </w:pPr>
      <w:bookmarkStart w:id="66" w:name="_Toc1458942"/>
      <w:bookmarkStart w:id="67"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66"/>
      <w:bookmarkEnd w:id="67"/>
    </w:p>
    <w:tbl>
      <w:tblPr>
        <w:tblStyle w:val="42"/>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63"/>
        <w:gridCol w:w="78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4"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bookmarkStart w:id="68" w:name="_Toc29258"/>
            <w:bookmarkStart w:id="69" w:name="_Toc1145"/>
            <w:r>
              <w:rPr>
                <w:rFonts w:hint="eastAsia" w:ascii="宋体" w:hAnsi="宋体" w:eastAsia="宋体" w:cs="Times New Roman"/>
                <w:b/>
                <w:color w:val="000000"/>
                <w:sz w:val="24"/>
                <w:szCs w:val="24"/>
              </w:rPr>
              <w:t>序号</w:t>
            </w:r>
          </w:p>
        </w:tc>
        <w:tc>
          <w:tcPr>
            <w:tcW w:w="1263"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5531"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34"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ascii="宋体" w:hAnsi="宋体" w:eastAsia="宋体" w:cs="Times New Roman"/>
                <w:color w:val="000000"/>
                <w:sz w:val="24"/>
                <w:szCs w:val="24"/>
              </w:rPr>
            </w:pPr>
            <w:r>
              <w:rPr>
                <w:rFonts w:ascii="宋体" w:hAnsi="宋体" w:eastAsia="宋体" w:cs="Times New Roman"/>
                <w:color w:val="000000"/>
                <w:sz w:val="24"/>
                <w:szCs w:val="24"/>
              </w:rPr>
              <w:t xml:space="preserve"> 30</w:t>
            </w:r>
          </w:p>
        </w:tc>
        <w:tc>
          <w:tcPr>
            <w:tcW w:w="5531"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30分</w:t>
            </w:r>
          </w:p>
        </w:tc>
      </w:tr>
    </w:tbl>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pStyle w:val="24"/>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8"/>
      <w:bookmarkEnd w:id="69"/>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70" w:name="_Toc4455"/>
      <w:bookmarkStart w:id="71" w:name="_Toc15277"/>
      <w:r>
        <w:rPr>
          <w:rFonts w:hint="eastAsia" w:ascii="Times New Roman" w:hAnsi="Times New Roman" w:cs="Times New Roman"/>
          <w:b/>
          <w:color w:val="auto"/>
          <w:sz w:val="44"/>
          <w:szCs w:val="44"/>
        </w:rPr>
        <w:t>第六章响应文件格式</w:t>
      </w:r>
      <w:bookmarkEnd w:id="70"/>
      <w:bookmarkEnd w:id="71"/>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72" w:name="_Toc30715"/>
      <w:bookmarkStart w:id="73" w:name="_Toc22224"/>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72"/>
      <w:bookmarkEnd w:id="73"/>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hint="eastAsia" w:ascii="黑体" w:hAnsi="黑体" w:eastAsia="黑体" w:cs="黑体"/>
          <w:b/>
          <w:bCs w:val="0"/>
          <w:color w:val="auto"/>
          <w:spacing w:val="100"/>
          <w:w w:val="110"/>
          <w:sz w:val="72"/>
          <w:szCs w:val="72"/>
        </w:rPr>
      </w:pPr>
      <w:r>
        <w:rPr>
          <w:rFonts w:hint="eastAsia" w:ascii="黑体" w:hAnsi="黑体" w:eastAsia="黑体" w:cs="黑体"/>
          <w:b/>
          <w:bCs w:val="0"/>
          <w:color w:val="auto"/>
          <w:spacing w:val="100"/>
          <w:w w:val="110"/>
          <w:sz w:val="72"/>
          <w:szCs w:val="72"/>
          <w:lang w:eastAsia="zh-CN"/>
        </w:rPr>
        <w:t>随县县</w:t>
      </w:r>
      <w:r>
        <w:rPr>
          <w:rFonts w:hint="eastAsia" w:ascii="黑体" w:hAnsi="黑体" w:eastAsia="黑体" w:cs="黑体"/>
          <w:b/>
          <w:bCs w:val="0"/>
          <w:color w:val="auto"/>
          <w:spacing w:val="100"/>
          <w:w w:val="110"/>
          <w:sz w:val="72"/>
          <w:szCs w:val="72"/>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hint="eastAsia" w:ascii="黑体" w:hAnsi="黑体" w:eastAsia="黑体" w:cs="黑体"/>
          <w:b/>
          <w:bCs w:val="0"/>
          <w:color w:val="auto"/>
          <w:spacing w:val="100"/>
          <w:w w:val="110"/>
          <w:sz w:val="72"/>
          <w:szCs w:val="72"/>
        </w:rPr>
      </w:pPr>
    </w:p>
    <w:p>
      <w:pPr>
        <w:keepNext w:val="0"/>
        <w:keepLines w:val="0"/>
        <w:pageBreakBefore w:val="0"/>
        <w:widowControl w:val="0"/>
        <w:kinsoku/>
        <w:wordWrap/>
        <w:overflowPunct/>
        <w:topLinePunct w:val="0"/>
        <w:bidi w:val="0"/>
        <w:adjustRightInd/>
        <w:ind w:right="0" w:rightChars="0"/>
        <w:jc w:val="center"/>
        <w:textAlignment w:val="auto"/>
        <w:rPr>
          <w:rFonts w:hint="eastAsia" w:ascii="黑体" w:hAnsi="黑体" w:eastAsia="黑体" w:cs="黑体"/>
          <w:b/>
          <w:bCs w:val="0"/>
          <w:color w:val="auto"/>
          <w:sz w:val="72"/>
          <w:szCs w:val="72"/>
          <w:lang w:eastAsia="zh-CN"/>
        </w:rPr>
      </w:pPr>
      <w:r>
        <w:rPr>
          <w:rFonts w:hint="eastAsia" w:ascii="黑体" w:hAnsi="黑体" w:eastAsia="黑体" w:cs="黑体"/>
          <w:b/>
          <w:bCs w:val="0"/>
          <w:color w:val="auto"/>
          <w:spacing w:val="100"/>
          <w:w w:val="110"/>
          <w:sz w:val="56"/>
          <w:szCs w:val="56"/>
          <w:lang w:eastAsia="zh-CN"/>
        </w:rPr>
        <w:t>竞争性磋商文件</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74" w:name="_Toc16366"/>
      <w:bookmarkStart w:id="75" w:name="_Toc24534"/>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74"/>
      <w:bookmarkEnd w:id="75"/>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6" w:name="_Toc15319"/>
      <w:bookmarkStart w:id="77" w:name="_Toc13229"/>
      <w:r>
        <w:rPr>
          <w:rFonts w:hint="eastAsia" w:ascii="Times New Roman" w:hAnsi="Times New Roman" w:cs="Times New Roman"/>
          <w:b/>
          <w:color w:val="auto"/>
          <w:sz w:val="24"/>
          <w:szCs w:val="24"/>
          <w:lang w:val="en-US" w:eastAsia="zh-CN"/>
        </w:rPr>
        <w:t>目录</w:t>
      </w:r>
      <w:bookmarkEnd w:id="76"/>
      <w:bookmarkEnd w:id="77"/>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8" w:name="_Toc19053"/>
      <w:bookmarkStart w:id="79"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8"/>
      <w:bookmarkEnd w:id="79"/>
      <w:r>
        <w:rPr>
          <w:rFonts w:hint="eastAsia" w:ascii="Times New Roman" w:hAnsi="Times New Roman" w:cs="Times New Roman"/>
          <w:color w:val="auto"/>
          <w:sz w:val="24"/>
          <w:szCs w:val="24"/>
        </w:rPr>
        <w:t>磋商书</w:t>
      </w:r>
    </w:p>
    <w:p>
      <w:pPr>
        <w:pStyle w:val="2"/>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5.技术响应、偏离情况说明表(附件5)；</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响应、偏离情况说明表(附件6)；</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rPr>
        <w:t>“★”号条款响应、偏离说明表(附件7)</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.法人（负责人）代表授权书(附件</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.法人或者其他组织的营业执照等证明文件，自然人的身份证明(附件</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.财务状况报告，依法缴纳税收和社会保障资金的相关材料(附件</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.具备履行合同所必需的设备和专业技术能力的证明材料(附件1</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.参加政府采购活动前3年内在经营活动中没有重大违法记录的书面声明(附件1</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rPr>
        <w:t>.未被列入“信用中国”、“中国政府采购网”失信被执行人、重大税收违法案件当事人名单、政府采购严重违法失信行为记录名单的网页打印件(附件1</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4.无政府采购回避事项的声明</w:t>
      </w:r>
      <w:r>
        <w:rPr>
          <w:rFonts w:hint="eastAsia" w:ascii="Times New Roman" w:hAnsi="Times New Roman" w:cs="Times New Roman"/>
          <w:color w:val="auto"/>
          <w:sz w:val="24"/>
          <w:szCs w:val="24"/>
        </w:rPr>
        <w:t>(附件1</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政府采购政策情况表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《中小企业声明函》、《残疾人福利性单位声明函》、属于监狱企业的证明文件等（如果有的话）(附件1</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rPr>
        <w:t>.本文件要求提供的其他资格证明文件及资料。</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1. 将按响应文件的规定履行合同责任和义务；</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2. 响应文件中提供的证照、证书、资料等复印件均为原件复印，并对真实性、合法性承担法律责任；</w:t>
      </w:r>
    </w:p>
    <w:p>
      <w:pPr>
        <w:pStyle w:val="25"/>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5"/>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5"/>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5"/>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5"/>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5"/>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5"/>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5"/>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80"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80"/>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5"/>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2"/>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953"/>
        <w:gridCol w:w="1360"/>
        <w:gridCol w:w="859"/>
        <w:gridCol w:w="1762"/>
        <w:gridCol w:w="973"/>
        <w:gridCol w:w="12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3" w:type="dxa"/>
            <w:tcBorders>
              <w:top w:val="single" w:color="auto" w:sz="4"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货物（服务）名称</w:t>
            </w:r>
          </w:p>
        </w:tc>
        <w:tc>
          <w:tcPr>
            <w:tcW w:w="1360"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859"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762"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制造商名称</w:t>
            </w:r>
          </w:p>
        </w:tc>
        <w:tc>
          <w:tcPr>
            <w:tcW w:w="973" w:type="dxa"/>
            <w:tcBorders>
              <w:top w:val="single" w:color="auto" w:sz="4"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211" w:type="dxa"/>
            <w:tcBorders>
              <w:top w:val="single" w:color="auto" w:sz="4"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4"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4"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698" w:type="dxa"/>
            <w:tcBorders>
              <w:top w:val="single" w:color="auto" w:sz="6" w:space="0"/>
              <w:left w:val="single" w:color="auto" w:sz="4"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53" w:type="dxa"/>
            <w:tcBorders>
              <w:top w:val="single" w:color="auto" w:sz="6" w:space="0"/>
              <w:left w:val="single" w:color="auto" w:sz="6" w:space="0"/>
              <w:bottom w:val="single" w:color="auto" w:sz="6" w:space="0"/>
              <w:right w:val="single" w:color="auto" w:sz="6" w:space="0"/>
            </w:tcBorders>
            <w:vAlign w:val="center"/>
          </w:tcPr>
          <w:p>
            <w:pPr>
              <w:snapToGrid w:val="0"/>
              <w:ind w:left="-88" w:leftChars="-42" w:right="-88" w:rightChars="-4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60"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859"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762"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973" w:type="dxa"/>
            <w:tcBorders>
              <w:top w:val="single" w:color="auto" w:sz="6" w:space="0"/>
              <w:left w:val="single" w:color="auto" w:sz="6" w:space="0"/>
              <w:bottom w:val="single" w:color="auto" w:sz="6" w:space="0"/>
              <w:right w:val="single" w:color="auto" w:sz="6"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1211"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651" w:type="dxa"/>
            <w:gridSpan w:val="2"/>
            <w:tcBorders>
              <w:top w:val="single" w:color="auto" w:sz="6" w:space="0"/>
              <w:left w:val="single" w:color="auto" w:sz="4" w:space="0"/>
              <w:bottom w:val="single" w:color="auto" w:sz="6"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1360" w:type="dxa"/>
            <w:tcBorders>
              <w:top w:val="single" w:color="auto" w:sz="6" w:space="0"/>
              <w:left w:val="single" w:color="auto" w:sz="6" w:space="0"/>
              <w:bottom w:val="single" w:color="auto" w:sz="6"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c>
          <w:tcPr>
            <w:tcW w:w="4805" w:type="dxa"/>
            <w:gridSpan w:val="4"/>
            <w:tcBorders>
              <w:top w:val="single" w:color="auto" w:sz="6" w:space="0"/>
              <w:left w:val="single" w:color="auto" w:sz="6" w:space="0"/>
              <w:bottom w:val="single" w:color="auto" w:sz="6" w:space="0"/>
              <w:right w:val="single" w:color="auto" w:sz="4"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合同履行期限（交货期）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2651" w:type="dxa"/>
            <w:gridSpan w:val="2"/>
            <w:tcBorders>
              <w:top w:val="single" w:color="auto" w:sz="6" w:space="0"/>
              <w:left w:val="single" w:color="auto" w:sz="4" w:space="0"/>
              <w:bottom w:val="single" w:color="auto" w:sz="4" w:space="0"/>
              <w:right w:val="single" w:color="auto" w:sz="6" w:space="0"/>
            </w:tcBorders>
            <w:vAlign w:val="center"/>
          </w:tcPr>
          <w:p>
            <w:pPr>
              <w:snapToGrid w:val="0"/>
              <w:ind w:right="-88" w:rightChars="-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响应有效期</w:t>
            </w:r>
          </w:p>
        </w:tc>
        <w:tc>
          <w:tcPr>
            <w:tcW w:w="6165" w:type="dxa"/>
            <w:gridSpan w:val="5"/>
            <w:tcBorders>
              <w:top w:val="single" w:color="auto" w:sz="6" w:space="0"/>
              <w:left w:val="single" w:color="auto" w:sz="6" w:space="0"/>
              <w:bottom w:val="single" w:color="auto" w:sz="4" w:space="0"/>
              <w:right w:val="single" w:color="auto" w:sz="4" w:space="0"/>
            </w:tcBorders>
            <w:vAlign w:val="center"/>
          </w:tcPr>
          <w:p>
            <w:pPr>
              <w:snapToGrid w:val="0"/>
              <w:ind w:right="-88" w:rightChars="-42"/>
              <w:jc w:val="center"/>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5"/>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5"/>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5"/>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5"/>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81"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81"/>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2"/>
        <w:tblW w:w="98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gridCol w:w="1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18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货物（服务）名称</w:t>
            </w:r>
          </w:p>
        </w:tc>
        <w:tc>
          <w:tcPr>
            <w:tcW w:w="1558"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制造商名称</w:t>
            </w:r>
          </w:p>
        </w:tc>
        <w:tc>
          <w:tcPr>
            <w:tcW w:w="1559"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生产地</w:t>
            </w:r>
          </w:p>
        </w:tc>
        <w:tc>
          <w:tcPr>
            <w:tcW w:w="1700"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规格型号</w:t>
            </w:r>
          </w:p>
        </w:tc>
        <w:tc>
          <w:tcPr>
            <w:tcW w:w="1133"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240"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hint="eastAsia" w:asciiTheme="minorEastAsia" w:hAnsiTheme="minorEastAsia" w:eastAsiaTheme="minorEastAsia" w:cstheme="minorEastAsia"/>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tbl>
            <w:tblPr>
              <w:tblStyle w:val="42"/>
              <w:tblW w:w="1377" w:type="dxa"/>
              <w:tblInd w:w="-10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377" w:type="dxa"/>
                  <w:tcBorders>
                    <w:top w:val="single" w:color="auto" w:sz="6" w:space="0"/>
                    <w:left w:val="single" w:color="auto" w:sz="6" w:space="0"/>
                    <w:bottom w:val="single" w:color="auto" w:sz="6" w:space="0"/>
                    <w:right w:val="single" w:color="auto" w:sz="4" w:space="0"/>
                  </w:tcBorders>
                  <w:vAlign w:val="center"/>
                </w:tcPr>
                <w:p>
                  <w:pPr>
                    <w:pStyle w:val="90"/>
                    <w:ind w:right="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大/中/小</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rPr>
                    <w:t>微型企业</w:t>
                  </w:r>
                </w:p>
              </w:tc>
            </w:tr>
          </w:tbl>
          <w:p>
            <w:pPr>
              <w:keepNext w:val="0"/>
              <w:keepLines w:val="0"/>
              <w:pageBreakBefore w:val="0"/>
              <w:kinsoku/>
              <w:wordWrap/>
              <w:overflowPunct/>
              <w:topLinePunct w:val="0"/>
              <w:bidi w:val="0"/>
              <w:adjustRightInd/>
              <w:snapToGrid w:val="0"/>
              <w:ind w:right="0" w:right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5"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8"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3"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240"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hint="eastAsia"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说明：</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提供详细的货物和服务范围，包括货物和服务类别及制造（开发）商、备品备件等。</w:t>
      </w:r>
    </w:p>
    <w:p>
      <w:pPr>
        <w:pStyle w:val="2"/>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eastAsiaTheme="minorEastAsia"/>
          <w:color w:val="auto"/>
          <w:kern w:val="2"/>
          <w:sz w:val="24"/>
          <w:szCs w:val="24"/>
          <w:lang w:val="en-US" w:eastAsia="zh-CN" w:bidi="ar-SA"/>
        </w:rPr>
        <w:t xml:space="preserve"> 2、各项货物详细技术规格、参数及要求性能，应另页描述。</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Times New Roman" w:hAnsi="Times New Roman" w:cs="Times New Roman" w:eastAsiaTheme="minorEastAsia"/>
          <w:color w:val="auto"/>
          <w:kern w:val="2"/>
          <w:sz w:val="24"/>
          <w:szCs w:val="24"/>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5"/>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2"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82"/>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83"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83"/>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5"/>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5"/>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84"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84"/>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9"/>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5"/>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5"/>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85" w:name="_Toc18943"/>
    </w:p>
    <w:p>
      <w:pPr>
        <w:ind w:right="-88" w:rightChars="-42"/>
        <w:outlineLvl w:val="0"/>
        <w:rPr>
          <w:rFonts w:hint="eastAsia" w:asciiTheme="minorEastAsia" w:hAnsiTheme="minorEastAsia" w:eastAsiaTheme="minorEastAsia" w:cstheme="minorEastAsia"/>
          <w:bCs/>
          <w:sz w:val="24"/>
          <w:szCs w:val="24"/>
        </w:rPr>
      </w:pPr>
      <w:bookmarkStart w:id="86" w:name="_Toc29807"/>
      <w:r>
        <w:rPr>
          <w:rFonts w:hint="eastAsia" w:asciiTheme="minorEastAsia" w:hAnsiTheme="minorEastAsia" w:eastAsiaTheme="minorEastAsia" w:cstheme="minorEastAsia"/>
          <w:bCs/>
          <w:sz w:val="24"/>
          <w:szCs w:val="24"/>
        </w:rPr>
        <w:t>附件7：“★”号条款响应、偏离情况说明表</w:t>
      </w:r>
      <w:bookmarkEnd w:id="86"/>
    </w:p>
    <w:p>
      <w:pPr>
        <w:pStyle w:val="24"/>
        <w:ind w:right="-88" w:rightChars="-42"/>
        <w:rPr>
          <w:rFonts w:ascii="仿宋" w:hAnsi="仿宋" w:eastAsia="仿宋"/>
          <w:i w:val="0"/>
        </w:rPr>
      </w:pPr>
    </w:p>
    <w:p>
      <w:pPr>
        <w:ind w:right="-88" w:rightChars="-42"/>
        <w:jc w:val="center"/>
        <w:rPr>
          <w:rFonts w:ascii="仿宋" w:hAnsi="仿宋" w:eastAsia="仿宋" w:cs="Times New Roman"/>
          <w:b/>
          <w:bCs/>
          <w:sz w:val="28"/>
          <w:szCs w:val="28"/>
        </w:rPr>
      </w:pPr>
      <w:r>
        <w:rPr>
          <w:rFonts w:ascii="仿宋" w:hAnsi="仿宋" w:eastAsia="仿宋" w:cs="Times New Roman"/>
          <w:b/>
          <w:bCs/>
          <w:sz w:val="28"/>
          <w:szCs w:val="28"/>
        </w:rPr>
        <w:t>“★”号条款响应、偏离情况说明表</w:t>
      </w:r>
    </w:p>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项目编号（包号）：</w:t>
      </w:r>
    </w:p>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tbl>
      <w:tblPr>
        <w:tblStyle w:val="4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40"/>
        <w:gridCol w:w="2464"/>
        <w:gridCol w:w="138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磋商文件要求部分</w:t>
            </w:r>
          </w:p>
        </w:tc>
        <w:tc>
          <w:tcPr>
            <w:tcW w:w="2464" w:type="dxa"/>
            <w:tcBorders>
              <w:top w:val="single" w:color="auto" w:sz="4" w:space="0"/>
              <w:left w:val="single" w:color="auto" w:sz="4" w:space="0"/>
              <w:bottom w:val="single" w:color="auto" w:sz="4" w:space="0"/>
              <w:right w:val="single" w:color="auto" w:sz="4" w:space="0"/>
            </w:tcBorders>
            <w:vAlign w:val="center"/>
          </w:tcPr>
          <w:p>
            <w:pPr>
              <w:ind w:left="28" w:leftChars="-38" w:right="-88" w:rightChars="-42" w:hanging="108" w:hangingChars="45"/>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响应文件的响应部分</w:t>
            </w: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偏离说明</w:t>
            </w: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95"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rPr>
              <w:t>…</w:t>
            </w:r>
          </w:p>
        </w:tc>
        <w:tc>
          <w:tcPr>
            <w:tcW w:w="2240"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1387" w:type="dxa"/>
            <w:tcBorders>
              <w:top w:val="single" w:color="auto" w:sz="4" w:space="0"/>
              <w:left w:val="single" w:color="auto" w:sz="4" w:space="0"/>
              <w:bottom w:val="single" w:color="auto" w:sz="4" w:space="0"/>
              <w:right w:val="single" w:color="auto" w:sz="4" w:space="0"/>
            </w:tcBorders>
            <w:vAlign w:val="center"/>
          </w:tcPr>
          <w:p>
            <w:pPr>
              <w:ind w:right="-88" w:rightChars="-42"/>
              <w:rPr>
                <w:rFonts w:hint="eastAsia" w:asciiTheme="minorEastAsia" w:hAnsiTheme="minorEastAsia" w:eastAsiaTheme="minorEastAsia" w:cstheme="minorEastAsia"/>
                <w:bCs/>
                <w:sz w:val="24"/>
                <w:szCs w:val="24"/>
              </w:rPr>
            </w:pPr>
          </w:p>
        </w:tc>
        <w:tc>
          <w:tcPr>
            <w:tcW w:w="2671" w:type="dxa"/>
            <w:tcBorders>
              <w:top w:val="single" w:color="auto" w:sz="4" w:space="0"/>
              <w:left w:val="single" w:color="auto" w:sz="4" w:space="0"/>
              <w:bottom w:val="single" w:color="auto" w:sz="4" w:space="0"/>
              <w:right w:val="single" w:color="auto" w:sz="4" w:space="0"/>
            </w:tcBorders>
            <w:vAlign w:val="center"/>
          </w:tcPr>
          <w:p>
            <w:pPr>
              <w:ind w:right="-88" w:rightChars="-42"/>
              <w:jc w:val="center"/>
              <w:rPr>
                <w:rFonts w:hint="eastAsia" w:asciiTheme="minorEastAsia" w:hAnsiTheme="minorEastAsia" w:eastAsiaTheme="minorEastAsia" w:cstheme="minorEastAsia"/>
                <w:bCs/>
                <w:sz w:val="24"/>
                <w:szCs w:val="24"/>
              </w:rPr>
            </w:pPr>
          </w:p>
        </w:tc>
      </w:tr>
    </w:tbl>
    <w:p>
      <w:pPr>
        <w:pStyle w:val="18"/>
        <w:spacing w:before="40" w:after="0" w:line="365" w:lineRule="auto"/>
        <w:ind w:righ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w:t>
      </w:r>
      <w:r>
        <w:rPr>
          <w:rFonts w:hint="eastAsia" w:asciiTheme="minorEastAsia" w:hAnsiTheme="minorEastAsia" w:eastAsiaTheme="minorEastAsia" w:cstheme="minorEastAsia"/>
          <w:spacing w:val="-1"/>
          <w:sz w:val="24"/>
          <w:szCs w:val="24"/>
        </w:rPr>
        <w:t>供应商应按招标文件第三章“技术（服务）要求”及“商务要求”中 “★”号条款进行逐项说明是</w:t>
      </w:r>
      <w:r>
        <w:rPr>
          <w:rFonts w:hint="eastAsia" w:asciiTheme="minorEastAsia" w:hAnsiTheme="minorEastAsia" w:eastAsiaTheme="minorEastAsia" w:cstheme="minorEastAsia"/>
          <w:spacing w:val="-3"/>
          <w:sz w:val="24"/>
          <w:szCs w:val="24"/>
        </w:rPr>
        <w:t>否满足要求，如有偏离,供应商应详细说明并提供证明文件；偏离说明与详细说</w:t>
      </w:r>
      <w:r>
        <w:rPr>
          <w:rFonts w:hint="eastAsia" w:asciiTheme="minorEastAsia" w:hAnsiTheme="minorEastAsia" w:eastAsiaTheme="minorEastAsia" w:cstheme="minorEastAsia"/>
          <w:sz w:val="24"/>
          <w:szCs w:val="24"/>
        </w:rPr>
        <w:t>明不一致的以详细说明为准。</w:t>
      </w:r>
    </w:p>
    <w:p>
      <w:pPr>
        <w:pStyle w:val="25"/>
        <w:spacing w:line="500" w:lineRule="exact"/>
        <w:ind w:right="-88" w:rightChars="-42"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2.如全部满足</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★号条款”全部内容，可在首行填写“全部满足”；如</w:t>
      </w:r>
      <w:r>
        <w:rPr>
          <w:rFonts w:hint="eastAsia" w:asciiTheme="minorEastAsia" w:hAnsiTheme="minorEastAsia" w:eastAsiaTheme="minorEastAsia" w:cstheme="minorEastAsia"/>
          <w:b/>
          <w:sz w:val="24"/>
          <w:szCs w:val="24"/>
        </w:rPr>
        <w:t>本表仅加盖公章未填写内容，则视为全部满足</w:t>
      </w:r>
      <w:r>
        <w:rPr>
          <w:rFonts w:hint="eastAsia" w:asciiTheme="minorEastAsia" w:hAnsiTheme="minorEastAsia" w:eastAsiaTheme="minorEastAsia" w:cstheme="minorEastAsia"/>
          <w:sz w:val="24"/>
          <w:szCs w:val="24"/>
        </w:rPr>
        <w:t>，相应责任由供应商自行承担。</w:t>
      </w:r>
    </w:p>
    <w:p>
      <w:pPr>
        <w:pStyle w:val="25"/>
        <w:spacing w:line="500" w:lineRule="exact"/>
        <w:ind w:right="-88" w:rightChars="-42"/>
        <w:rPr>
          <w:rFonts w:hint="eastAsia" w:asciiTheme="minorEastAsia" w:hAnsiTheme="minorEastAsia" w:eastAsiaTheme="minorEastAsia" w:cstheme="minorEastAsia"/>
          <w:sz w:val="24"/>
          <w:szCs w:val="24"/>
        </w:rPr>
      </w:pPr>
    </w:p>
    <w:p>
      <w:pPr>
        <w:pStyle w:val="25"/>
        <w:spacing w:line="500" w:lineRule="exact"/>
        <w:ind w:right="-88" w:rightChars="-42"/>
        <w:rPr>
          <w:rFonts w:hint="eastAsia" w:asciiTheme="minorEastAsia" w:hAnsiTheme="minorEastAsia" w:eastAsiaTheme="minorEastAsia" w:cstheme="minorEastAsia"/>
          <w:sz w:val="24"/>
          <w:szCs w:val="24"/>
        </w:rPr>
      </w:pPr>
    </w:p>
    <w:p>
      <w:pPr>
        <w:spacing w:line="440" w:lineRule="exact"/>
        <w:ind w:right="-88" w:rightChars="-42"/>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pPr>
        <w:spacing w:line="440" w:lineRule="exact"/>
        <w:ind w:right="-88" w:rightChars="-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法人（授权代表）或自然人（签字）：</w:t>
      </w:r>
    </w:p>
    <w:p>
      <w:pPr>
        <w:spacing w:line="440" w:lineRule="exact"/>
        <w:ind w:right="-88" w:rightChars="-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25"/>
        <w:spacing w:line="500" w:lineRule="exact"/>
        <w:ind w:right="-88" w:rightChars="-42"/>
        <w:rPr>
          <w:rFonts w:ascii="仿宋" w:hAnsi="仿宋" w:eastAsia="仿宋" w:cs="Times New Roman"/>
          <w:sz w:val="24"/>
          <w:szCs w:val="24"/>
        </w:rPr>
      </w:pPr>
    </w:p>
    <w:p>
      <w:pPr>
        <w:pStyle w:val="25"/>
        <w:spacing w:line="500" w:lineRule="exact"/>
        <w:ind w:right="-88" w:rightChars="-42"/>
        <w:rPr>
          <w:rFonts w:ascii="仿宋" w:hAnsi="仿宋" w:eastAsia="仿宋" w:cs="Times New Roman"/>
          <w:sz w:val="24"/>
          <w:szCs w:val="24"/>
        </w:rPr>
      </w:pPr>
    </w:p>
    <w:p>
      <w:pPr>
        <w:pStyle w:val="25"/>
        <w:spacing w:line="500" w:lineRule="exact"/>
        <w:ind w:right="-88" w:rightChars="-42"/>
        <w:rPr>
          <w:rFonts w:ascii="仿宋" w:hAnsi="仿宋" w:eastAsia="仿宋" w:cs="Times New Roman"/>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bookmarkEnd w:id="85"/>
      <w:r>
        <w:rPr>
          <w:rFonts w:hint="eastAsia" w:ascii="Times New Roman" w:hAnsi="Times New Roman" w:cs="Times New Roman"/>
          <w:bCs/>
          <w:color w:val="auto"/>
          <w:sz w:val="24"/>
          <w:szCs w:val="24"/>
          <w:lang w:val="en-US" w:eastAsia="zh-CN"/>
        </w:rPr>
        <w:t>8</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7" w:name="_Toc3324"/>
      <w:r>
        <w:rPr>
          <w:rFonts w:hint="eastAsia" w:ascii="Times New Roman" w:hAnsi="Times New Roman" w:cs="Times New Roman"/>
          <w:bCs/>
          <w:color w:val="auto"/>
          <w:sz w:val="24"/>
          <w:szCs w:val="24"/>
        </w:rPr>
        <w:t>附件</w:t>
      </w:r>
      <w:bookmarkEnd w:id="87"/>
      <w:r>
        <w:rPr>
          <w:rFonts w:hint="eastAsia" w:ascii="Times New Roman" w:hAnsi="Times New Roman" w:cs="Times New Roman"/>
          <w:bCs/>
          <w:color w:val="auto"/>
          <w:sz w:val="24"/>
          <w:szCs w:val="24"/>
          <w:lang w:val="en-US" w:eastAsia="zh-CN"/>
        </w:rPr>
        <w:t>9</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8" w:name="_Toc10537"/>
      <w:r>
        <w:rPr>
          <w:rFonts w:hint="eastAsia" w:ascii="Times New Roman" w:hAnsi="Times New Roman" w:cs="Times New Roman"/>
          <w:bCs/>
          <w:color w:val="auto"/>
          <w:sz w:val="24"/>
          <w:szCs w:val="24"/>
        </w:rPr>
        <w:t>附件</w:t>
      </w:r>
      <w:bookmarkEnd w:id="88"/>
      <w:r>
        <w:rPr>
          <w:rFonts w:hint="eastAsia" w:ascii="Times New Roman" w:hAnsi="Times New Roman" w:cs="Times New Roman"/>
          <w:bCs/>
          <w:color w:val="auto"/>
          <w:sz w:val="24"/>
          <w:szCs w:val="24"/>
          <w:lang w:val="en-US" w:eastAsia="zh-CN"/>
        </w:rPr>
        <w:t>10</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9"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bookmarkEnd w:id="89"/>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0" w:name="_Toc28100"/>
      <w:r>
        <w:rPr>
          <w:rFonts w:hint="eastAsia" w:ascii="Times New Roman" w:hAnsi="Times New Roman" w:cs="Times New Roman"/>
          <w:bCs/>
          <w:color w:val="auto"/>
          <w:sz w:val="24"/>
          <w:szCs w:val="24"/>
        </w:rPr>
        <w:t>附件</w:t>
      </w:r>
      <w:bookmarkEnd w:id="90"/>
      <w:r>
        <w:rPr>
          <w:rFonts w:hint="eastAsia" w:ascii="Times New Roman" w:hAnsi="Times New Roman" w:cs="Times New Roman"/>
          <w:bCs/>
          <w:color w:val="auto"/>
          <w:sz w:val="24"/>
          <w:szCs w:val="24"/>
          <w:lang w:val="en-US" w:eastAsia="zh-CN"/>
        </w:rPr>
        <w:t>13</w:t>
      </w:r>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br w:type="page"/>
      </w:r>
      <w:bookmarkStart w:id="91" w:name="_Toc11030"/>
    </w:p>
    <w:p>
      <w:pPr>
        <w:widowControl/>
        <w:ind w:right="-88" w:rightChars="-42"/>
        <w:jc w:val="left"/>
        <w:outlineLvl w:val="0"/>
        <w:rPr>
          <w:rFonts w:hint="eastAsia" w:asciiTheme="minorEastAsia" w:hAnsiTheme="minorEastAsia" w:eastAsiaTheme="minorEastAsia" w:cstheme="minorEastAsia"/>
          <w:bCs/>
          <w:sz w:val="24"/>
          <w:szCs w:val="24"/>
        </w:rPr>
      </w:pPr>
      <w:bookmarkStart w:id="92" w:name="_Toc21792"/>
      <w:r>
        <w:rPr>
          <w:rFonts w:hint="eastAsia" w:asciiTheme="minorEastAsia" w:hAnsiTheme="minorEastAsia" w:eastAsiaTheme="minorEastAsia" w:cstheme="minorEastAsia"/>
          <w:bCs/>
          <w:sz w:val="24"/>
          <w:szCs w:val="24"/>
        </w:rPr>
        <w:t>附件14：无政府采购回避事项的声明</w:t>
      </w:r>
      <w:bookmarkEnd w:id="92"/>
    </w:p>
    <w:p>
      <w:pPr>
        <w:ind w:right="-88" w:rightChars="-42"/>
        <w:jc w:val="left"/>
        <w:rPr>
          <w:rFonts w:ascii="仿宋" w:hAnsi="仿宋" w:eastAsia="仿宋" w:cs="Times New Roman"/>
          <w:sz w:val="24"/>
          <w:szCs w:val="24"/>
        </w:rPr>
      </w:pPr>
    </w:p>
    <w:p>
      <w:pPr>
        <w:ind w:right="-88" w:rightChars="-42" w:firstLine="632" w:firstLineChars="300"/>
        <w:jc w:val="left"/>
        <w:rPr>
          <w:rFonts w:ascii="仿宋" w:hAnsi="仿宋" w:eastAsia="仿宋" w:cs="Times New Roman"/>
          <w:b/>
        </w:rPr>
      </w:pPr>
    </w:p>
    <w:p>
      <w:pPr>
        <w:ind w:right="-88" w:rightChars="-42"/>
        <w:jc w:val="center"/>
        <w:outlineLvl w:val="0"/>
        <w:rPr>
          <w:rFonts w:hint="eastAsia" w:asciiTheme="minorEastAsia" w:hAnsiTheme="minorEastAsia" w:eastAsiaTheme="minorEastAsia" w:cstheme="minorEastAsia"/>
          <w:sz w:val="24"/>
          <w:szCs w:val="24"/>
        </w:rPr>
      </w:pPr>
      <w:bookmarkStart w:id="93" w:name="_Toc97735209"/>
      <w:bookmarkStart w:id="94" w:name="_Toc10672"/>
      <w:bookmarkStart w:id="95" w:name="_Toc97300140"/>
      <w:bookmarkStart w:id="96" w:name="_Toc16463"/>
      <w:bookmarkStart w:id="97" w:name="_Toc97734667"/>
      <w:bookmarkStart w:id="98" w:name="_Toc10716"/>
      <w:bookmarkStart w:id="99" w:name="_Toc14362"/>
      <w:bookmarkStart w:id="100" w:name="_Toc1258"/>
      <w:bookmarkStart w:id="101" w:name="_Toc25871"/>
      <w:bookmarkStart w:id="102" w:name="_Toc6615"/>
      <w:bookmarkStart w:id="103" w:name="_Toc19984"/>
      <w:r>
        <w:rPr>
          <w:rFonts w:hint="eastAsia" w:asciiTheme="minorEastAsia" w:hAnsiTheme="minorEastAsia" w:eastAsiaTheme="minorEastAsia" w:cstheme="minorEastAsia"/>
          <w:b/>
          <w:sz w:val="24"/>
          <w:szCs w:val="24"/>
        </w:rPr>
        <w:t>无政府采购回避事项的声明</w:t>
      </w:r>
      <w:bookmarkEnd w:id="93"/>
      <w:bookmarkEnd w:id="94"/>
      <w:bookmarkEnd w:id="95"/>
      <w:bookmarkEnd w:id="96"/>
      <w:bookmarkEnd w:id="97"/>
      <w:bookmarkEnd w:id="98"/>
      <w:bookmarkEnd w:id="99"/>
      <w:bookmarkEnd w:id="100"/>
      <w:bookmarkEnd w:id="101"/>
      <w:bookmarkEnd w:id="102"/>
      <w:bookmarkEnd w:id="103"/>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cstheme="minorEastAsia"/>
          <w:b/>
          <w:bCs/>
          <w:sz w:val="24"/>
          <w:szCs w:val="24"/>
          <w:lang w:eastAsia="zh-CN"/>
        </w:rPr>
        <w:t>随县</w:t>
      </w:r>
      <w:r>
        <w:rPr>
          <w:rFonts w:hint="eastAsia" w:asciiTheme="minorEastAsia" w:hAnsiTheme="minorEastAsia" w:eastAsiaTheme="minorEastAsia" w:cstheme="minorEastAsia"/>
          <w:b/>
          <w:bCs/>
          <w:sz w:val="24"/>
          <w:szCs w:val="24"/>
        </w:rPr>
        <w:t>政府采购中心</w:t>
      </w:r>
      <w:r>
        <w:rPr>
          <w:rFonts w:hint="eastAsia" w:asciiTheme="minorEastAsia" w:hAnsiTheme="minorEastAsia" w:eastAsiaTheme="minorEastAsia" w:cstheme="minorEastAsia"/>
          <w:bCs/>
          <w:sz w:val="24"/>
          <w:szCs w:val="24"/>
        </w:rPr>
        <w:t>：</w:t>
      </w:r>
    </w:p>
    <w:p>
      <w:pPr>
        <w:spacing w:line="360" w:lineRule="auto"/>
        <w:ind w:right="6"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(投标人全称) </w:t>
      </w:r>
      <w:r>
        <w:rPr>
          <w:rFonts w:hint="eastAsia" w:asciiTheme="minorEastAsia" w:hAnsiTheme="minorEastAsia" w:eastAsiaTheme="minorEastAsia" w:cstheme="minorEastAsia"/>
          <w:bCs/>
          <w:sz w:val="24"/>
          <w:szCs w:val="24"/>
        </w:rPr>
        <w:t>参加贵中心组织的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u w:val="single"/>
        </w:rPr>
        <w:t xml:space="preserve"> (项目编号) </w:t>
      </w:r>
      <w:r>
        <w:rPr>
          <w:rFonts w:hint="eastAsia" w:asciiTheme="minorEastAsia" w:hAnsiTheme="minorEastAsia" w:eastAsiaTheme="minorEastAsia" w:cstheme="minorEastAsia"/>
          <w:bCs/>
          <w:sz w:val="24"/>
          <w:szCs w:val="24"/>
        </w:rPr>
        <w:t>的政府采购活动，根据招标文件的规定提交相关资格证明文件。并郑重声明如下：</w:t>
      </w:r>
    </w:p>
    <w:p>
      <w:pPr>
        <w:numPr>
          <w:ilvl w:val="0"/>
          <w:numId w:val="18"/>
        </w:numPr>
        <w:tabs>
          <w:tab w:val="left" w:pos="0"/>
        </w:tabs>
        <w:spacing w:line="360" w:lineRule="auto"/>
        <w:ind w:righ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未与单位负责人为同一人或者存在直接控股、管理关系的其它投标人，参加本项</w:t>
      </w:r>
    </w:p>
    <w:p>
      <w:pPr>
        <w:tabs>
          <w:tab w:val="left" w:pos="0"/>
        </w:tabs>
        <w:spacing w:line="360" w:lineRule="auto"/>
        <w:ind w:righ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目同一合同项下的政府采购活动；</w:t>
      </w:r>
    </w:p>
    <w:p>
      <w:pPr>
        <w:numPr>
          <w:ilvl w:val="0"/>
          <w:numId w:val="18"/>
        </w:numPr>
        <w:tabs>
          <w:tab w:val="left" w:pos="0"/>
        </w:tabs>
        <w:spacing w:line="360" w:lineRule="auto"/>
        <w:ind w:right="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未为本</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项目提供整体设计、规范编制或者项目管理、监理、检测等服务；</w:t>
      </w:r>
    </w:p>
    <w:p>
      <w:pPr>
        <w:numPr>
          <w:ilvl w:val="0"/>
          <w:numId w:val="18"/>
        </w:numPr>
        <w:tabs>
          <w:tab w:val="left" w:pos="0"/>
        </w:tabs>
        <w:spacing w:line="360" w:lineRule="auto"/>
        <w:ind w:right="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对上述声明内容的真实性负责。如有虚假，将依法承担相应责任。</w:t>
      </w:r>
    </w:p>
    <w:p>
      <w:pPr>
        <w:pStyle w:val="24"/>
        <w:rPr>
          <w:rFonts w:hint="eastAsia" w:asciiTheme="minorEastAsia" w:hAnsiTheme="minorEastAsia" w:eastAsiaTheme="minorEastAsia" w:cstheme="minorEastAsia"/>
          <w:i w:val="0"/>
          <w:sz w:val="24"/>
          <w:szCs w:val="24"/>
        </w:rPr>
      </w:pPr>
    </w:p>
    <w:p>
      <w:pPr>
        <w:ind w:right="-88" w:rightChars="-42"/>
        <w:jc w:val="left"/>
        <w:rPr>
          <w:rFonts w:hint="eastAsia" w:asciiTheme="minorEastAsia" w:hAnsiTheme="minorEastAsia" w:eastAsiaTheme="minorEastAsia" w:cstheme="minorEastAsia"/>
          <w:sz w:val="24"/>
          <w:szCs w:val="24"/>
        </w:rPr>
      </w:pPr>
    </w:p>
    <w:p>
      <w:pPr>
        <w:ind w:right="-88" w:rightChars="-42"/>
        <w:jc w:val="left"/>
        <w:rPr>
          <w:rFonts w:hint="eastAsia" w:asciiTheme="minorEastAsia" w:hAnsiTheme="minorEastAsia" w:eastAsiaTheme="minorEastAsia" w:cstheme="minorEastAsia"/>
          <w:sz w:val="24"/>
          <w:szCs w:val="24"/>
        </w:rPr>
      </w:pPr>
    </w:p>
    <w:p>
      <w:pPr>
        <w:spacing w:line="440" w:lineRule="exact"/>
        <w:ind w:right="-88" w:rightChars="-42" w:firstLine="5460" w:firstLineChars="227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pPr>
        <w:spacing w:line="440" w:lineRule="exact"/>
        <w:ind w:right="-88" w:rightChars="-42" w:firstLine="5460" w:firstLineChars="2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法人（授权代表）签字：</w:t>
      </w:r>
    </w:p>
    <w:p>
      <w:pPr>
        <w:spacing w:line="440" w:lineRule="exact"/>
        <w:ind w:right="-88" w:rightChars="-42" w:firstLine="5460" w:firstLineChars="2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ind w:right="-88" w:rightChars="-42"/>
        <w:jc w:val="left"/>
        <w:rPr>
          <w:rFonts w:ascii="仿宋" w:hAnsi="仿宋" w:eastAsia="仿宋" w:cs="Times New Roman"/>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bookmarkEnd w:id="91"/>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104"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bookmarkEnd w:id="104"/>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　　本公司对上述声明的真实性负责。如有虚假，将依法承担相应责任。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cs="Times New Roman" w:eastAsiaTheme="majorEastAsia"/>
          <w:color w:val="auto"/>
          <w:sz w:val="24"/>
          <w:szCs w:val="24"/>
          <w:lang w:eastAsia="zh-CN"/>
        </w:rPr>
      </w:pPr>
      <w:r>
        <w:rPr>
          <w:rFonts w:hint="eastAsia" w:ascii="Times New Roman" w:hAnsi="Times New Roman" w:cs="Times New Roman" w:eastAsiaTheme="majorEastAsia"/>
          <w:color w:val="auto"/>
          <w:sz w:val="24"/>
          <w:szCs w:val="24"/>
        </w:rPr>
        <w:t>企业法人（负责人）签字（签章）：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2"/>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105"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bookmarkEnd w:id="105"/>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4"/>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106" w:name="OLE_LINK13"/>
      <w:bookmarkStart w:id="107" w:name="OLE_LINK14"/>
      <w:r>
        <w:rPr>
          <w:rFonts w:hint="eastAsia" w:ascii="Times New Roman" w:hAnsi="Times New Roman" w:cs="Times New Roman" w:eastAsiaTheme="majorEastAsia"/>
          <w:b/>
          <w:color w:val="auto"/>
          <w:spacing w:val="6"/>
          <w:sz w:val="24"/>
          <w:szCs w:val="24"/>
        </w:rPr>
        <w:t>残疾人福利性单位声明函</w:t>
      </w:r>
    </w:p>
    <w:bookmarkEnd w:id="106"/>
    <w:bookmarkEnd w:id="107"/>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108"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bookmarkEnd w:id="108"/>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hint="eastAsia" w:ascii="Times New Roman" w:hAnsi="Times New Roman" w:cs="Times New Roman" w:eastAsiaTheme="minorEastAsia"/>
          <w:bCs/>
          <w:color w:val="auto"/>
          <w:sz w:val="24"/>
          <w:szCs w:val="24"/>
          <w:lang w:eastAsia="zh-CN"/>
        </w:rPr>
      </w:pPr>
      <w:bookmarkStart w:id="109" w:name="_Toc15768"/>
      <w:r>
        <w:rPr>
          <w:rFonts w:hint="eastAsia" w:ascii="Times New Roman" w:hAnsi="Times New Roman" w:cs="Times New Roman"/>
          <w:bCs/>
          <w:color w:val="auto"/>
          <w:sz w:val="24"/>
          <w:szCs w:val="24"/>
        </w:rPr>
        <w:t>省级以上监狱管理局、戒毒管理局（含新疆生产建设兵团）出具的属于监狱企业的证明文件</w:t>
      </w:r>
      <w:bookmarkEnd w:id="109"/>
    </w:p>
    <w:p>
      <w:pPr>
        <w:pStyle w:val="2"/>
        <w:rPr>
          <w:rFonts w:hint="eastAsia"/>
          <w:lang w:eastAsia="zh-CN"/>
        </w:rPr>
      </w:pP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附件</w:t>
      </w:r>
      <w:r>
        <w:rPr>
          <w:rFonts w:hint="eastAsia" w:ascii="Times New Roman" w:hAnsi="Times New Roman" w:cs="Times New Roman"/>
          <w:color w:val="auto"/>
          <w:sz w:val="24"/>
          <w:szCs w:val="24"/>
          <w:lang w:val="en-US" w:eastAsia="zh-CN"/>
        </w:rPr>
        <w:t xml:space="preserve">16                  </w:t>
      </w: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8" w:type="default"/>
      <w:footerReference r:id="rId9"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姚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pPr>
                          <w: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t>随县政府采购中心编制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3pt;margin-top:771.05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pPr>
                    <w:r>
                      <w:rPr>
                        <w:rFonts w:hint="eastAsia" w:asciiTheme="minorEastAsia" w:hAnsiTheme="minorEastAsia" w:eastAsiaTheme="minorEastAsia" w:cstheme="minorEastAsia"/>
                        <w:color w:val="808080" w:themeColor="text1" w:themeTint="80"/>
                        <w:sz w:val="18"/>
                        <w:szCs w:val="18"/>
                        <w:lang w:val="en-US" w:eastAsia="zh-CN"/>
                        <w14:textFill>
                          <w14:solidFill>
                            <w14:schemeClr w14:val="tx1">
                              <w14:lumMod w14:val="50000"/>
                              <w14:lumOff w14:val="50000"/>
                            </w14:schemeClr>
                          </w14:solidFill>
                        </w14:textFill>
                      </w:rPr>
                      <w:t>随县政府采购中心编制</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1" name="直接连接符 1"/>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69.3pt;margin-top:771.05pt;height:0pt;width:418.35pt;mso-position-horizontal-relative:page;mso-position-vertical-relative:page;z-index:251659264;mso-width-relative:margin;mso-height-relative:page;mso-width-percent:1000;" filled="f" stroked="t" coordsize="21600,21600" o:gfxdata="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kQzDPAAAAAgEAAA8A&#10;AAAAAAAAAQAgAAAAIgAAAGRycy9kb3ducmV2LnhtbFBLAQIUABQAAAAIAIdO4kC6Kka+5wEAAKcD&#10;AAAOAAAAAAAAAAEAIAAAAB4BAABkcnMvZTJvRG9jLnhtbFBLBQYAAAAABgAGAFkBAAB3BQAAAAA=&#10;">
              <v:fill on="f" focussize="0,0"/>
              <v:stroke weight="1pt" color="#000000 [3213]"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eastAsiaTheme="minorEastAsia"/>
        <w:lang w:eastAsia="zh-CN"/>
      </w:rPr>
    </w:pPr>
    <w:r>
      <w:rPr>
        <w:rFonts w:hint="eastAsia"/>
        <w:lang w:eastAsia="zh-CN"/>
      </w:rPr>
      <w:t>随县电教站教学设备、学生课桌椅项目采购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u w:val="single"/>
        <w:lang w:eastAsia="zh-CN"/>
      </w:rPr>
    </w:pPr>
    <w:r>
      <w:rPr>
        <w:rFonts w:hint="eastAsia"/>
        <w:lang w:val="en-US" w:eastAsia="zh-CN"/>
      </w:rPr>
      <w:t xml:space="preserve"> </w:t>
    </w:r>
    <w:r>
      <w:rPr>
        <w:rFonts w:hint="eastAsia"/>
        <w:u w:val="single"/>
        <w:lang w:val="en-US" w:eastAsia="zh-CN"/>
      </w:rPr>
      <w:t xml:space="preserve">                                                                                </w:t>
    </w:r>
    <w:r>
      <w:rPr>
        <w:rFonts w:hint="eastAsia"/>
        <w:u w:val="single"/>
        <w:lang w:eastAsia="zh-CN"/>
      </w:rPr>
      <w:t>随县县级政府采购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12F"/>
    <w:multiLevelType w:val="singleLevel"/>
    <w:tmpl w:val="918E912F"/>
    <w:lvl w:ilvl="0" w:tentative="0">
      <w:start w:val="1"/>
      <w:numFmt w:val="decimal"/>
      <w:suff w:val="nothing"/>
      <w:lvlText w:val="%1、"/>
      <w:lvlJc w:val="left"/>
    </w:lvl>
  </w:abstractNum>
  <w:abstractNum w:abstractNumId="1">
    <w:nsid w:val="C5C293A3"/>
    <w:multiLevelType w:val="singleLevel"/>
    <w:tmpl w:val="C5C293A3"/>
    <w:lvl w:ilvl="0" w:tentative="0">
      <w:start w:val="1"/>
      <w:numFmt w:val="decimal"/>
      <w:suff w:val="nothing"/>
      <w:lvlText w:val="（%1）"/>
      <w:lvlJc w:val="left"/>
    </w:lvl>
  </w:abstractNum>
  <w:abstractNum w:abstractNumId="2">
    <w:nsid w:val="D0B61B0C"/>
    <w:multiLevelType w:val="singleLevel"/>
    <w:tmpl w:val="D0B61B0C"/>
    <w:lvl w:ilvl="0" w:tentative="0">
      <w:start w:val="1"/>
      <w:numFmt w:val="decimal"/>
      <w:suff w:val="nothing"/>
      <w:lvlText w:val="%1、"/>
      <w:lvlJc w:val="left"/>
    </w:lvl>
  </w:abstractNum>
  <w:abstractNum w:abstractNumId="3">
    <w:nsid w:val="D40E07F9"/>
    <w:multiLevelType w:val="singleLevel"/>
    <w:tmpl w:val="D40E07F9"/>
    <w:lvl w:ilvl="0" w:tentative="0">
      <w:start w:val="7"/>
      <w:numFmt w:val="chineseCounting"/>
      <w:suff w:val="nothing"/>
      <w:lvlText w:val="%1、"/>
      <w:lvlJc w:val="left"/>
      <w:rPr>
        <w:rFonts w:hint="eastAsia"/>
      </w:rPr>
    </w:lvl>
  </w:abstractNum>
  <w:abstractNum w:abstractNumId="4">
    <w:nsid w:val="DA8447DE"/>
    <w:multiLevelType w:val="singleLevel"/>
    <w:tmpl w:val="DA8447DE"/>
    <w:lvl w:ilvl="0" w:tentative="0">
      <w:start w:val="1"/>
      <w:numFmt w:val="chineseCounting"/>
      <w:suff w:val="nothing"/>
      <w:lvlText w:val="%1、"/>
      <w:lvlJc w:val="left"/>
      <w:rPr>
        <w:rFonts w:hint="eastAsia"/>
      </w:rPr>
    </w:lvl>
  </w:abstractNum>
  <w:abstractNum w:abstractNumId="5">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6">
    <w:nsid w:val="EEC284E0"/>
    <w:multiLevelType w:val="singleLevel"/>
    <w:tmpl w:val="EEC284E0"/>
    <w:lvl w:ilvl="0" w:tentative="0">
      <w:start w:val="5"/>
      <w:numFmt w:val="chineseCounting"/>
      <w:suff w:val="nothing"/>
      <w:lvlText w:val="%1、"/>
      <w:lvlJc w:val="left"/>
      <w:rPr>
        <w:rFonts w:hint="eastAsia"/>
      </w:rPr>
    </w:lvl>
  </w:abstractNum>
  <w:abstractNum w:abstractNumId="7">
    <w:nsid w:val="00000059"/>
    <w:multiLevelType w:val="multilevel"/>
    <w:tmpl w:val="00000059"/>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1DFE11"/>
    <w:multiLevelType w:val="singleLevel"/>
    <w:tmpl w:val="141DFE11"/>
    <w:lvl w:ilvl="0" w:tentative="0">
      <w:start w:val="1"/>
      <w:numFmt w:val="decimal"/>
      <w:suff w:val="nothing"/>
      <w:lvlText w:val="%1、"/>
      <w:lvlJc w:val="left"/>
    </w:lvl>
  </w:abstractNum>
  <w:abstractNum w:abstractNumId="10">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7"/>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3C123903"/>
    <w:multiLevelType w:val="multilevel"/>
    <w:tmpl w:val="3C123903"/>
    <w:lvl w:ilvl="0" w:tentative="0">
      <w:start w:val="1"/>
      <w:numFmt w:val="decimal"/>
      <w:suff w:val="nothing"/>
      <w:lvlText w:val="%1."/>
      <w:lvlJc w:val="left"/>
      <w:pPr>
        <w:ind w:left="420" w:hanging="420"/>
      </w:pPr>
      <w:rPr>
        <w:rFonts w:hint="default" w:ascii="仿宋" w:hAnsi="仿宋" w:eastAsia="仿宋" w:cs="仿宋"/>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45C42C9A"/>
    <w:multiLevelType w:val="multilevel"/>
    <w:tmpl w:val="45C42C9A"/>
    <w:lvl w:ilvl="0" w:tentative="0">
      <w:start w:val="1"/>
      <w:numFmt w:val="decimal"/>
      <w:pStyle w:val="4"/>
      <w:lvlText w:val="%1"/>
      <w:lvlJc w:val="left"/>
      <w:pPr>
        <w:tabs>
          <w:tab w:val="left" w:pos="432"/>
        </w:tabs>
        <w:ind w:left="432" w:hanging="432"/>
      </w:pPr>
      <w:rPr>
        <w:rFonts w:cs="Times New Roman"/>
      </w:rPr>
    </w:lvl>
    <w:lvl w:ilvl="1" w:tentative="0">
      <w:start w:val="1"/>
      <w:numFmt w:val="decimal"/>
      <w:pStyle w:val="5"/>
      <w:lvlText w:val="%1.%2"/>
      <w:lvlJc w:val="left"/>
      <w:pPr>
        <w:tabs>
          <w:tab w:val="left" w:pos="576"/>
        </w:tabs>
        <w:ind w:left="576" w:hanging="576"/>
      </w:pPr>
      <w:rPr>
        <w:rFonts w:cs="Times New Roman"/>
      </w:rPr>
    </w:lvl>
    <w:lvl w:ilvl="2" w:tentative="0">
      <w:start w:val="1"/>
      <w:numFmt w:val="decimal"/>
      <w:pStyle w:val="6"/>
      <w:lvlText w:val="%1.%2.%3"/>
      <w:lvlJc w:val="left"/>
      <w:pPr>
        <w:tabs>
          <w:tab w:val="left" w:pos="1260"/>
        </w:tabs>
        <w:ind w:left="1260" w:hanging="720"/>
      </w:pPr>
      <w:rPr>
        <w:rFonts w:cs="Times New Roman"/>
      </w:rPr>
    </w:lvl>
    <w:lvl w:ilvl="3" w:tentative="0">
      <w:start w:val="1"/>
      <w:numFmt w:val="decimal"/>
      <w:pStyle w:val="7"/>
      <w:lvlText w:val="%1.%2.%3.%4"/>
      <w:lvlJc w:val="left"/>
      <w:pPr>
        <w:tabs>
          <w:tab w:val="left" w:pos="864"/>
        </w:tabs>
        <w:ind w:left="864" w:hanging="864"/>
      </w:pPr>
      <w:rPr>
        <w:rFonts w:cs="Times New Roman"/>
      </w:rPr>
    </w:lvl>
    <w:lvl w:ilvl="4" w:tentative="0">
      <w:start w:val="1"/>
      <w:numFmt w:val="decimal"/>
      <w:pStyle w:val="8"/>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abstractNum w:abstractNumId="13">
    <w:nsid w:val="57002C8A"/>
    <w:multiLevelType w:val="singleLevel"/>
    <w:tmpl w:val="57002C8A"/>
    <w:lvl w:ilvl="0" w:tentative="0">
      <w:start w:val="1"/>
      <w:numFmt w:val="chineseCounting"/>
      <w:suff w:val="space"/>
      <w:lvlText w:val="第%1章"/>
      <w:lvlJc w:val="left"/>
      <w:rPr>
        <w:rFonts w:hint="eastAsia"/>
      </w:rPr>
    </w:lvl>
  </w:abstractNum>
  <w:abstractNum w:abstractNumId="14">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AC0F4D"/>
    <w:multiLevelType w:val="multilevel"/>
    <w:tmpl w:val="5BAC0F4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7">
    <w:nsid w:val="7E54280B"/>
    <w:multiLevelType w:val="singleLevel"/>
    <w:tmpl w:val="7E54280B"/>
    <w:lvl w:ilvl="0" w:tentative="0">
      <w:start w:val="2"/>
      <w:numFmt w:val="decimal"/>
      <w:suff w:val="nothing"/>
      <w:lvlText w:val="%1、"/>
      <w:lvlJc w:val="left"/>
    </w:lvl>
  </w:abstractNum>
  <w:num w:numId="1">
    <w:abstractNumId w:val="12"/>
  </w:num>
  <w:num w:numId="2">
    <w:abstractNumId w:val="8"/>
  </w:num>
  <w:num w:numId="3">
    <w:abstractNumId w:val="10"/>
  </w:num>
  <w:num w:numId="4">
    <w:abstractNumId w:val="13"/>
  </w:num>
  <w:num w:numId="5">
    <w:abstractNumId w:val="6"/>
  </w:num>
  <w:num w:numId="6">
    <w:abstractNumId w:val="9"/>
  </w:num>
  <w:num w:numId="7">
    <w:abstractNumId w:val="3"/>
  </w:num>
  <w:num w:numId="8">
    <w:abstractNumId w:val="14"/>
  </w:num>
  <w:num w:numId="9">
    <w:abstractNumId w:val="1"/>
  </w:num>
  <w:num w:numId="10">
    <w:abstractNumId w:val="5"/>
  </w:num>
  <w:num w:numId="11">
    <w:abstractNumId w:val="4"/>
  </w:num>
  <w:num w:numId="12">
    <w:abstractNumId w:val="15"/>
  </w:num>
  <w:num w:numId="13">
    <w:abstractNumId w:val="2"/>
  </w:num>
  <w:num w:numId="14">
    <w:abstractNumId w:val="11"/>
  </w:num>
  <w:num w:numId="15">
    <w:abstractNumId w:val="16"/>
  </w:num>
  <w:num w:numId="16">
    <w:abstractNumId w:val="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M2UwM2Y4YTQ2ZmM1OGFmNjMyYzk0YTBiYTg5ZDgifQ=="/>
  </w:docVars>
  <w:rsids>
    <w:rsidRoot w:val="009640B3"/>
    <w:rsid w:val="00002D19"/>
    <w:rsid w:val="00006938"/>
    <w:rsid w:val="00007EF9"/>
    <w:rsid w:val="0002117A"/>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30D0F"/>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BC1FE7"/>
    <w:rsid w:val="00C7308F"/>
    <w:rsid w:val="00C767D5"/>
    <w:rsid w:val="00C95C1C"/>
    <w:rsid w:val="00CD65F2"/>
    <w:rsid w:val="00CD7ECE"/>
    <w:rsid w:val="00D240EF"/>
    <w:rsid w:val="00D678AE"/>
    <w:rsid w:val="00DA4B47"/>
    <w:rsid w:val="00DC3AFD"/>
    <w:rsid w:val="00DF553F"/>
    <w:rsid w:val="00E92D4B"/>
    <w:rsid w:val="00EB7035"/>
    <w:rsid w:val="00EE2653"/>
    <w:rsid w:val="00EF4BD0"/>
    <w:rsid w:val="00EF7446"/>
    <w:rsid w:val="00F27D19"/>
    <w:rsid w:val="00FD1DF5"/>
    <w:rsid w:val="00FF47AE"/>
    <w:rsid w:val="00FF65CD"/>
    <w:rsid w:val="0135138A"/>
    <w:rsid w:val="01430E5C"/>
    <w:rsid w:val="01605D29"/>
    <w:rsid w:val="018330AD"/>
    <w:rsid w:val="01BB614C"/>
    <w:rsid w:val="01E8526A"/>
    <w:rsid w:val="02000B1F"/>
    <w:rsid w:val="02101428"/>
    <w:rsid w:val="023221B6"/>
    <w:rsid w:val="023817D2"/>
    <w:rsid w:val="02395177"/>
    <w:rsid w:val="023C209A"/>
    <w:rsid w:val="02432067"/>
    <w:rsid w:val="02491FE5"/>
    <w:rsid w:val="024E5007"/>
    <w:rsid w:val="02736BB0"/>
    <w:rsid w:val="028D5720"/>
    <w:rsid w:val="02A6660D"/>
    <w:rsid w:val="02BF3353"/>
    <w:rsid w:val="02E132C9"/>
    <w:rsid w:val="02E139D5"/>
    <w:rsid w:val="02F4335E"/>
    <w:rsid w:val="03451AAA"/>
    <w:rsid w:val="03595C54"/>
    <w:rsid w:val="035961B6"/>
    <w:rsid w:val="03644D55"/>
    <w:rsid w:val="03697B0E"/>
    <w:rsid w:val="036A37B8"/>
    <w:rsid w:val="036D700C"/>
    <w:rsid w:val="037E4FBC"/>
    <w:rsid w:val="03A77468"/>
    <w:rsid w:val="03BC7892"/>
    <w:rsid w:val="03C20A9D"/>
    <w:rsid w:val="03CC3F79"/>
    <w:rsid w:val="03D64AAD"/>
    <w:rsid w:val="03ED6979"/>
    <w:rsid w:val="03FE7EAB"/>
    <w:rsid w:val="042F7047"/>
    <w:rsid w:val="0434199F"/>
    <w:rsid w:val="043D1622"/>
    <w:rsid w:val="043E3628"/>
    <w:rsid w:val="04441D61"/>
    <w:rsid w:val="04484106"/>
    <w:rsid w:val="04691461"/>
    <w:rsid w:val="046928C3"/>
    <w:rsid w:val="04703638"/>
    <w:rsid w:val="04932CE9"/>
    <w:rsid w:val="049E5539"/>
    <w:rsid w:val="04A722F0"/>
    <w:rsid w:val="04D035F5"/>
    <w:rsid w:val="04F6588B"/>
    <w:rsid w:val="053864EC"/>
    <w:rsid w:val="05725496"/>
    <w:rsid w:val="05757AA3"/>
    <w:rsid w:val="058F650A"/>
    <w:rsid w:val="05BF16A5"/>
    <w:rsid w:val="05C07B0D"/>
    <w:rsid w:val="05D4645E"/>
    <w:rsid w:val="06036992"/>
    <w:rsid w:val="060914B4"/>
    <w:rsid w:val="060F6259"/>
    <w:rsid w:val="061A2672"/>
    <w:rsid w:val="062E158F"/>
    <w:rsid w:val="0653526C"/>
    <w:rsid w:val="06B64A6C"/>
    <w:rsid w:val="070F21DB"/>
    <w:rsid w:val="0716104E"/>
    <w:rsid w:val="071E7B37"/>
    <w:rsid w:val="076A29AB"/>
    <w:rsid w:val="076B2DCE"/>
    <w:rsid w:val="076C036C"/>
    <w:rsid w:val="077855B9"/>
    <w:rsid w:val="07CD77C3"/>
    <w:rsid w:val="07D11074"/>
    <w:rsid w:val="07F910B5"/>
    <w:rsid w:val="0815085B"/>
    <w:rsid w:val="08316113"/>
    <w:rsid w:val="083B2C3D"/>
    <w:rsid w:val="084F56FF"/>
    <w:rsid w:val="08555F5A"/>
    <w:rsid w:val="085E716A"/>
    <w:rsid w:val="08774FC2"/>
    <w:rsid w:val="089808CE"/>
    <w:rsid w:val="08B41029"/>
    <w:rsid w:val="08B84966"/>
    <w:rsid w:val="08C5351E"/>
    <w:rsid w:val="08D86F1C"/>
    <w:rsid w:val="08E65ADD"/>
    <w:rsid w:val="08EA090B"/>
    <w:rsid w:val="08F73EBE"/>
    <w:rsid w:val="09041F95"/>
    <w:rsid w:val="091C0FD9"/>
    <w:rsid w:val="09315048"/>
    <w:rsid w:val="09324BC4"/>
    <w:rsid w:val="093D33C9"/>
    <w:rsid w:val="095B60E4"/>
    <w:rsid w:val="0960462C"/>
    <w:rsid w:val="098334BD"/>
    <w:rsid w:val="099248CD"/>
    <w:rsid w:val="09A57586"/>
    <w:rsid w:val="09B85CD7"/>
    <w:rsid w:val="09D23506"/>
    <w:rsid w:val="09E63157"/>
    <w:rsid w:val="09F4422A"/>
    <w:rsid w:val="0A430D0D"/>
    <w:rsid w:val="0A696B93"/>
    <w:rsid w:val="0A9D2FE2"/>
    <w:rsid w:val="0A9F1F5E"/>
    <w:rsid w:val="0AB66287"/>
    <w:rsid w:val="0ABB6AF5"/>
    <w:rsid w:val="0ACA3C4C"/>
    <w:rsid w:val="0AEB67F9"/>
    <w:rsid w:val="0AF33DF9"/>
    <w:rsid w:val="0B1F6B95"/>
    <w:rsid w:val="0B352368"/>
    <w:rsid w:val="0B412C61"/>
    <w:rsid w:val="0B46799B"/>
    <w:rsid w:val="0B752C93"/>
    <w:rsid w:val="0B787395"/>
    <w:rsid w:val="0B823F50"/>
    <w:rsid w:val="0BA63302"/>
    <w:rsid w:val="0BBD6225"/>
    <w:rsid w:val="0BC114DF"/>
    <w:rsid w:val="0BFB07D3"/>
    <w:rsid w:val="0C1D18AA"/>
    <w:rsid w:val="0C25691C"/>
    <w:rsid w:val="0C4C0933"/>
    <w:rsid w:val="0C5E2022"/>
    <w:rsid w:val="0C670CE3"/>
    <w:rsid w:val="0C7A2AF4"/>
    <w:rsid w:val="0C7B29E0"/>
    <w:rsid w:val="0C86214C"/>
    <w:rsid w:val="0C9D23BE"/>
    <w:rsid w:val="0D004C93"/>
    <w:rsid w:val="0D163BC6"/>
    <w:rsid w:val="0D6B569C"/>
    <w:rsid w:val="0D935461"/>
    <w:rsid w:val="0DBC24DA"/>
    <w:rsid w:val="0DD76FED"/>
    <w:rsid w:val="0DE53D8F"/>
    <w:rsid w:val="0DEB51E0"/>
    <w:rsid w:val="0DF2383E"/>
    <w:rsid w:val="0DF857C7"/>
    <w:rsid w:val="0E084F77"/>
    <w:rsid w:val="0E2B5527"/>
    <w:rsid w:val="0E4130EA"/>
    <w:rsid w:val="0E59397E"/>
    <w:rsid w:val="0E5F4312"/>
    <w:rsid w:val="0E6446C4"/>
    <w:rsid w:val="0E6E7902"/>
    <w:rsid w:val="0E9D6C3E"/>
    <w:rsid w:val="0EA43A70"/>
    <w:rsid w:val="0EE02FCE"/>
    <w:rsid w:val="0EE7423B"/>
    <w:rsid w:val="0F29227F"/>
    <w:rsid w:val="0F687ABB"/>
    <w:rsid w:val="0FCE2E27"/>
    <w:rsid w:val="100D6038"/>
    <w:rsid w:val="10262C63"/>
    <w:rsid w:val="102B6385"/>
    <w:rsid w:val="102D5D9F"/>
    <w:rsid w:val="10321608"/>
    <w:rsid w:val="10931917"/>
    <w:rsid w:val="10AF77E1"/>
    <w:rsid w:val="10CB4356"/>
    <w:rsid w:val="10E20CEC"/>
    <w:rsid w:val="10F44B0F"/>
    <w:rsid w:val="113B4BC4"/>
    <w:rsid w:val="11566C8C"/>
    <w:rsid w:val="119836EC"/>
    <w:rsid w:val="119A0012"/>
    <w:rsid w:val="11A77DD3"/>
    <w:rsid w:val="11C572CA"/>
    <w:rsid w:val="11D113C2"/>
    <w:rsid w:val="12026E01"/>
    <w:rsid w:val="12051714"/>
    <w:rsid w:val="12333415"/>
    <w:rsid w:val="123C7C16"/>
    <w:rsid w:val="12704DB3"/>
    <w:rsid w:val="12794E06"/>
    <w:rsid w:val="12A3059B"/>
    <w:rsid w:val="12A32349"/>
    <w:rsid w:val="12AF2BFA"/>
    <w:rsid w:val="12C64289"/>
    <w:rsid w:val="12D22C2E"/>
    <w:rsid w:val="12D74756"/>
    <w:rsid w:val="12DC585B"/>
    <w:rsid w:val="12E46094"/>
    <w:rsid w:val="12EB23CA"/>
    <w:rsid w:val="130C4392"/>
    <w:rsid w:val="130C4532"/>
    <w:rsid w:val="131A07DA"/>
    <w:rsid w:val="134D74D4"/>
    <w:rsid w:val="1356388C"/>
    <w:rsid w:val="135B74B8"/>
    <w:rsid w:val="135E3B2E"/>
    <w:rsid w:val="13645F7C"/>
    <w:rsid w:val="136A43C7"/>
    <w:rsid w:val="137B3E80"/>
    <w:rsid w:val="13DF3855"/>
    <w:rsid w:val="140C1889"/>
    <w:rsid w:val="140F36CB"/>
    <w:rsid w:val="141917F8"/>
    <w:rsid w:val="142422AF"/>
    <w:rsid w:val="147C3C8C"/>
    <w:rsid w:val="14A66120"/>
    <w:rsid w:val="14FB20E7"/>
    <w:rsid w:val="150427B3"/>
    <w:rsid w:val="15107A3E"/>
    <w:rsid w:val="1541506E"/>
    <w:rsid w:val="15712BD2"/>
    <w:rsid w:val="159248FD"/>
    <w:rsid w:val="159F02AC"/>
    <w:rsid w:val="15A9411A"/>
    <w:rsid w:val="15D40158"/>
    <w:rsid w:val="15E86C3B"/>
    <w:rsid w:val="15F00805"/>
    <w:rsid w:val="16041175"/>
    <w:rsid w:val="16112C30"/>
    <w:rsid w:val="1623156A"/>
    <w:rsid w:val="164B5385"/>
    <w:rsid w:val="165C044D"/>
    <w:rsid w:val="167665C6"/>
    <w:rsid w:val="16810BF3"/>
    <w:rsid w:val="16CC017F"/>
    <w:rsid w:val="16E97C3C"/>
    <w:rsid w:val="16EA6177"/>
    <w:rsid w:val="171730AB"/>
    <w:rsid w:val="172A2C1F"/>
    <w:rsid w:val="174006E6"/>
    <w:rsid w:val="177B1AE6"/>
    <w:rsid w:val="17866D45"/>
    <w:rsid w:val="17B32E54"/>
    <w:rsid w:val="17C567B6"/>
    <w:rsid w:val="17DD43C5"/>
    <w:rsid w:val="17E42573"/>
    <w:rsid w:val="17E663C6"/>
    <w:rsid w:val="183345EB"/>
    <w:rsid w:val="183F12A7"/>
    <w:rsid w:val="18455C50"/>
    <w:rsid w:val="18531E50"/>
    <w:rsid w:val="18541E1E"/>
    <w:rsid w:val="185A5BA0"/>
    <w:rsid w:val="187E5752"/>
    <w:rsid w:val="188620D2"/>
    <w:rsid w:val="18C174DB"/>
    <w:rsid w:val="18C249F0"/>
    <w:rsid w:val="18D214EE"/>
    <w:rsid w:val="18D30E8D"/>
    <w:rsid w:val="191707C1"/>
    <w:rsid w:val="191B18F5"/>
    <w:rsid w:val="19223474"/>
    <w:rsid w:val="194B373A"/>
    <w:rsid w:val="196A7C74"/>
    <w:rsid w:val="198266B8"/>
    <w:rsid w:val="19946A53"/>
    <w:rsid w:val="199C1137"/>
    <w:rsid w:val="19A846E9"/>
    <w:rsid w:val="19B00734"/>
    <w:rsid w:val="19B77438"/>
    <w:rsid w:val="19B968F6"/>
    <w:rsid w:val="19E1107D"/>
    <w:rsid w:val="19EC6A88"/>
    <w:rsid w:val="19F31A57"/>
    <w:rsid w:val="1A0F4768"/>
    <w:rsid w:val="1A1E24A2"/>
    <w:rsid w:val="1A3C68B4"/>
    <w:rsid w:val="1A424778"/>
    <w:rsid w:val="1A492BF8"/>
    <w:rsid w:val="1A4E34E2"/>
    <w:rsid w:val="1A534FE3"/>
    <w:rsid w:val="1A756552"/>
    <w:rsid w:val="1AAB3704"/>
    <w:rsid w:val="1ACD6B6C"/>
    <w:rsid w:val="1AE9320B"/>
    <w:rsid w:val="1B593EEC"/>
    <w:rsid w:val="1B5F527B"/>
    <w:rsid w:val="1B701236"/>
    <w:rsid w:val="1B7747E1"/>
    <w:rsid w:val="1BA30B26"/>
    <w:rsid w:val="1BE42BC4"/>
    <w:rsid w:val="1C0735C5"/>
    <w:rsid w:val="1C085913"/>
    <w:rsid w:val="1C170D74"/>
    <w:rsid w:val="1C3425B4"/>
    <w:rsid w:val="1C4650FC"/>
    <w:rsid w:val="1C6C3216"/>
    <w:rsid w:val="1C8B27CB"/>
    <w:rsid w:val="1C935AE2"/>
    <w:rsid w:val="1CA3397A"/>
    <w:rsid w:val="1CAE3253"/>
    <w:rsid w:val="1CAE6F40"/>
    <w:rsid w:val="1CB339A6"/>
    <w:rsid w:val="1CB403CA"/>
    <w:rsid w:val="1CBF0ABE"/>
    <w:rsid w:val="1CE57F1E"/>
    <w:rsid w:val="1CEE350A"/>
    <w:rsid w:val="1D273327"/>
    <w:rsid w:val="1D4946BC"/>
    <w:rsid w:val="1D5030CD"/>
    <w:rsid w:val="1D567639"/>
    <w:rsid w:val="1D764B31"/>
    <w:rsid w:val="1D8F1A5E"/>
    <w:rsid w:val="1D9A07EC"/>
    <w:rsid w:val="1DAD49C3"/>
    <w:rsid w:val="1DC32E09"/>
    <w:rsid w:val="1DEE3330"/>
    <w:rsid w:val="1DFC05C7"/>
    <w:rsid w:val="1E2C2CAA"/>
    <w:rsid w:val="1E3302F5"/>
    <w:rsid w:val="1E38656C"/>
    <w:rsid w:val="1E4179CF"/>
    <w:rsid w:val="1E426EBA"/>
    <w:rsid w:val="1E577D0A"/>
    <w:rsid w:val="1E68061C"/>
    <w:rsid w:val="1E76001E"/>
    <w:rsid w:val="1E7A7539"/>
    <w:rsid w:val="1E886F79"/>
    <w:rsid w:val="1E8A7CBA"/>
    <w:rsid w:val="1EA45E3E"/>
    <w:rsid w:val="1EB660B9"/>
    <w:rsid w:val="1EDA29DE"/>
    <w:rsid w:val="1F1338DC"/>
    <w:rsid w:val="1F470500"/>
    <w:rsid w:val="1F4D16E9"/>
    <w:rsid w:val="1F4E065F"/>
    <w:rsid w:val="1F5275D0"/>
    <w:rsid w:val="1F59095F"/>
    <w:rsid w:val="1F7667D5"/>
    <w:rsid w:val="1F9078D7"/>
    <w:rsid w:val="1F95570F"/>
    <w:rsid w:val="1F990FFA"/>
    <w:rsid w:val="20230F6D"/>
    <w:rsid w:val="20410142"/>
    <w:rsid w:val="20BD525B"/>
    <w:rsid w:val="20D94C8E"/>
    <w:rsid w:val="20EC48AF"/>
    <w:rsid w:val="20FC3C98"/>
    <w:rsid w:val="212B632B"/>
    <w:rsid w:val="212D2EAE"/>
    <w:rsid w:val="21633C8B"/>
    <w:rsid w:val="2169631B"/>
    <w:rsid w:val="21AF20A4"/>
    <w:rsid w:val="21BD0297"/>
    <w:rsid w:val="21C94B35"/>
    <w:rsid w:val="21D06ED2"/>
    <w:rsid w:val="21E76A79"/>
    <w:rsid w:val="21F24981"/>
    <w:rsid w:val="222D5EBE"/>
    <w:rsid w:val="225C3FC7"/>
    <w:rsid w:val="22836C12"/>
    <w:rsid w:val="228569AB"/>
    <w:rsid w:val="228D26CE"/>
    <w:rsid w:val="22945315"/>
    <w:rsid w:val="22963F54"/>
    <w:rsid w:val="229C12E2"/>
    <w:rsid w:val="229F06DD"/>
    <w:rsid w:val="22CD0355"/>
    <w:rsid w:val="22D85D40"/>
    <w:rsid w:val="22EA62C1"/>
    <w:rsid w:val="23027641"/>
    <w:rsid w:val="230C4AB2"/>
    <w:rsid w:val="23150761"/>
    <w:rsid w:val="232C09A6"/>
    <w:rsid w:val="2390167A"/>
    <w:rsid w:val="239E204B"/>
    <w:rsid w:val="23EB3B50"/>
    <w:rsid w:val="245E4322"/>
    <w:rsid w:val="248A7123"/>
    <w:rsid w:val="24E64B69"/>
    <w:rsid w:val="24FC1D1C"/>
    <w:rsid w:val="250A069B"/>
    <w:rsid w:val="250D7B86"/>
    <w:rsid w:val="25632E71"/>
    <w:rsid w:val="257E2E5B"/>
    <w:rsid w:val="25D02FFD"/>
    <w:rsid w:val="25E47B7D"/>
    <w:rsid w:val="26021802"/>
    <w:rsid w:val="262325D7"/>
    <w:rsid w:val="263A4999"/>
    <w:rsid w:val="26425255"/>
    <w:rsid w:val="26797EDA"/>
    <w:rsid w:val="26B2554F"/>
    <w:rsid w:val="26DB7EAB"/>
    <w:rsid w:val="270A70EA"/>
    <w:rsid w:val="270D4AD8"/>
    <w:rsid w:val="272A0FBB"/>
    <w:rsid w:val="27476DD9"/>
    <w:rsid w:val="279664FC"/>
    <w:rsid w:val="27C94F39"/>
    <w:rsid w:val="27CE1102"/>
    <w:rsid w:val="27CE42CA"/>
    <w:rsid w:val="27D36DD5"/>
    <w:rsid w:val="27E2755C"/>
    <w:rsid w:val="27E56B08"/>
    <w:rsid w:val="27E97193"/>
    <w:rsid w:val="27EC34A4"/>
    <w:rsid w:val="28171939"/>
    <w:rsid w:val="285B795B"/>
    <w:rsid w:val="28687E65"/>
    <w:rsid w:val="28782890"/>
    <w:rsid w:val="287B307B"/>
    <w:rsid w:val="28860263"/>
    <w:rsid w:val="28A349F9"/>
    <w:rsid w:val="28B22F7D"/>
    <w:rsid w:val="28C42EEB"/>
    <w:rsid w:val="28D83258"/>
    <w:rsid w:val="28FB2A3F"/>
    <w:rsid w:val="29170468"/>
    <w:rsid w:val="29212E8D"/>
    <w:rsid w:val="296042FF"/>
    <w:rsid w:val="296E07D8"/>
    <w:rsid w:val="296F69EA"/>
    <w:rsid w:val="297E0DAB"/>
    <w:rsid w:val="2993139B"/>
    <w:rsid w:val="299376BB"/>
    <w:rsid w:val="299B5F04"/>
    <w:rsid w:val="29A155D7"/>
    <w:rsid w:val="29BF51B1"/>
    <w:rsid w:val="29DA78A5"/>
    <w:rsid w:val="29F924A3"/>
    <w:rsid w:val="2A151926"/>
    <w:rsid w:val="2A2E2D26"/>
    <w:rsid w:val="2A2E35A5"/>
    <w:rsid w:val="2A507C7F"/>
    <w:rsid w:val="2A5138A5"/>
    <w:rsid w:val="2AA34D9A"/>
    <w:rsid w:val="2AB26AF0"/>
    <w:rsid w:val="2AC84ACB"/>
    <w:rsid w:val="2ACB66B1"/>
    <w:rsid w:val="2ADB491E"/>
    <w:rsid w:val="2B144892"/>
    <w:rsid w:val="2B4E756B"/>
    <w:rsid w:val="2B711930"/>
    <w:rsid w:val="2B8054C5"/>
    <w:rsid w:val="2B8F3953"/>
    <w:rsid w:val="2B986D03"/>
    <w:rsid w:val="2BA60E1F"/>
    <w:rsid w:val="2BBC67D4"/>
    <w:rsid w:val="2BCB25F8"/>
    <w:rsid w:val="2BDB3D96"/>
    <w:rsid w:val="2BFA3B3E"/>
    <w:rsid w:val="2C1969DA"/>
    <w:rsid w:val="2C3607CC"/>
    <w:rsid w:val="2C4C53A8"/>
    <w:rsid w:val="2C6765D4"/>
    <w:rsid w:val="2C714E0E"/>
    <w:rsid w:val="2CAE501D"/>
    <w:rsid w:val="2CF306DD"/>
    <w:rsid w:val="2CFC255E"/>
    <w:rsid w:val="2CFE48F4"/>
    <w:rsid w:val="2D151532"/>
    <w:rsid w:val="2D2865B7"/>
    <w:rsid w:val="2D4D6FE7"/>
    <w:rsid w:val="2D4F5238"/>
    <w:rsid w:val="2D7F2DB0"/>
    <w:rsid w:val="2DB4527D"/>
    <w:rsid w:val="2DB80421"/>
    <w:rsid w:val="2DD85145"/>
    <w:rsid w:val="2DDD304C"/>
    <w:rsid w:val="2DE05D4B"/>
    <w:rsid w:val="2E0D1686"/>
    <w:rsid w:val="2E1B67F8"/>
    <w:rsid w:val="2E295E1B"/>
    <w:rsid w:val="2E326796"/>
    <w:rsid w:val="2E474078"/>
    <w:rsid w:val="2E507989"/>
    <w:rsid w:val="2E6E3CFB"/>
    <w:rsid w:val="2E840E29"/>
    <w:rsid w:val="2E8433D9"/>
    <w:rsid w:val="2E873CF0"/>
    <w:rsid w:val="2EA14EC7"/>
    <w:rsid w:val="2EAA4079"/>
    <w:rsid w:val="2EE01394"/>
    <w:rsid w:val="2EE77241"/>
    <w:rsid w:val="2EEE335E"/>
    <w:rsid w:val="2F0D0E1E"/>
    <w:rsid w:val="2F282022"/>
    <w:rsid w:val="2F445408"/>
    <w:rsid w:val="2F4B4049"/>
    <w:rsid w:val="2F6D4FB7"/>
    <w:rsid w:val="2F6F5865"/>
    <w:rsid w:val="2FAA5B44"/>
    <w:rsid w:val="2FC70C25"/>
    <w:rsid w:val="300F6E18"/>
    <w:rsid w:val="30262C13"/>
    <w:rsid w:val="302E54F0"/>
    <w:rsid w:val="30443639"/>
    <w:rsid w:val="30497609"/>
    <w:rsid w:val="304E7CB0"/>
    <w:rsid w:val="30501FCB"/>
    <w:rsid w:val="305331F2"/>
    <w:rsid w:val="30595A18"/>
    <w:rsid w:val="305F38FB"/>
    <w:rsid w:val="30607673"/>
    <w:rsid w:val="30765F3C"/>
    <w:rsid w:val="30935804"/>
    <w:rsid w:val="30A9369A"/>
    <w:rsid w:val="30AB389E"/>
    <w:rsid w:val="30B57438"/>
    <w:rsid w:val="30B87E1B"/>
    <w:rsid w:val="30BA79B5"/>
    <w:rsid w:val="30ED21AD"/>
    <w:rsid w:val="30F37206"/>
    <w:rsid w:val="31081195"/>
    <w:rsid w:val="310C3B5A"/>
    <w:rsid w:val="31147D8B"/>
    <w:rsid w:val="31310683"/>
    <w:rsid w:val="316565AF"/>
    <w:rsid w:val="31707702"/>
    <w:rsid w:val="318E0967"/>
    <w:rsid w:val="31A05036"/>
    <w:rsid w:val="31A16155"/>
    <w:rsid w:val="31B40F34"/>
    <w:rsid w:val="31CF5E09"/>
    <w:rsid w:val="31D6262E"/>
    <w:rsid w:val="31DD5420"/>
    <w:rsid w:val="31EB6A65"/>
    <w:rsid w:val="320901D0"/>
    <w:rsid w:val="32210D8A"/>
    <w:rsid w:val="322D7734"/>
    <w:rsid w:val="322E56F7"/>
    <w:rsid w:val="325D2C33"/>
    <w:rsid w:val="326020E9"/>
    <w:rsid w:val="3270744A"/>
    <w:rsid w:val="32760343"/>
    <w:rsid w:val="32805A9D"/>
    <w:rsid w:val="328C0BF4"/>
    <w:rsid w:val="32941CF1"/>
    <w:rsid w:val="32C0264B"/>
    <w:rsid w:val="32DF2AD1"/>
    <w:rsid w:val="32E97C4F"/>
    <w:rsid w:val="32EB1A69"/>
    <w:rsid w:val="32F04CDF"/>
    <w:rsid w:val="33072028"/>
    <w:rsid w:val="330B7787"/>
    <w:rsid w:val="338C5873"/>
    <w:rsid w:val="339007B2"/>
    <w:rsid w:val="33974B3A"/>
    <w:rsid w:val="33AA7583"/>
    <w:rsid w:val="33BA709B"/>
    <w:rsid w:val="33DA0B96"/>
    <w:rsid w:val="33E63FEB"/>
    <w:rsid w:val="33EA1602"/>
    <w:rsid w:val="34041A98"/>
    <w:rsid w:val="340A3E7E"/>
    <w:rsid w:val="344428AA"/>
    <w:rsid w:val="34572441"/>
    <w:rsid w:val="345968B4"/>
    <w:rsid w:val="346516FC"/>
    <w:rsid w:val="34771064"/>
    <w:rsid w:val="3487354C"/>
    <w:rsid w:val="348B7895"/>
    <w:rsid w:val="34BE65D8"/>
    <w:rsid w:val="34C81D0F"/>
    <w:rsid w:val="34CE737B"/>
    <w:rsid w:val="34F32D46"/>
    <w:rsid w:val="35312B01"/>
    <w:rsid w:val="353317B2"/>
    <w:rsid w:val="35340B51"/>
    <w:rsid w:val="35616BDC"/>
    <w:rsid w:val="35627CEB"/>
    <w:rsid w:val="35777939"/>
    <w:rsid w:val="357C50CC"/>
    <w:rsid w:val="35C02DAE"/>
    <w:rsid w:val="35DA3A24"/>
    <w:rsid w:val="363C1E23"/>
    <w:rsid w:val="364B3C57"/>
    <w:rsid w:val="364B65BF"/>
    <w:rsid w:val="36603C16"/>
    <w:rsid w:val="36723C5D"/>
    <w:rsid w:val="368D43F8"/>
    <w:rsid w:val="368F0C87"/>
    <w:rsid w:val="36A16CDA"/>
    <w:rsid w:val="36BC7881"/>
    <w:rsid w:val="36BD5378"/>
    <w:rsid w:val="36BD5820"/>
    <w:rsid w:val="36D95871"/>
    <w:rsid w:val="36E16BA3"/>
    <w:rsid w:val="36E47D00"/>
    <w:rsid w:val="36E7289C"/>
    <w:rsid w:val="36F00469"/>
    <w:rsid w:val="373566CD"/>
    <w:rsid w:val="373644ED"/>
    <w:rsid w:val="37492BB6"/>
    <w:rsid w:val="375E5870"/>
    <w:rsid w:val="37BC1633"/>
    <w:rsid w:val="37CC44F9"/>
    <w:rsid w:val="37F84701"/>
    <w:rsid w:val="3809396B"/>
    <w:rsid w:val="38160A60"/>
    <w:rsid w:val="38170E61"/>
    <w:rsid w:val="385A0A9D"/>
    <w:rsid w:val="38766B4A"/>
    <w:rsid w:val="38AA6EAE"/>
    <w:rsid w:val="391B34FF"/>
    <w:rsid w:val="391C048E"/>
    <w:rsid w:val="394E3410"/>
    <w:rsid w:val="395975B6"/>
    <w:rsid w:val="39CF18C3"/>
    <w:rsid w:val="39D701D9"/>
    <w:rsid w:val="3A3F2765"/>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05D42"/>
    <w:rsid w:val="3CB430FE"/>
    <w:rsid w:val="3CD967E3"/>
    <w:rsid w:val="3CE05DC4"/>
    <w:rsid w:val="3CF46C13"/>
    <w:rsid w:val="3CFD7F37"/>
    <w:rsid w:val="3D065A90"/>
    <w:rsid w:val="3D0C79E0"/>
    <w:rsid w:val="3D0D7122"/>
    <w:rsid w:val="3D27089C"/>
    <w:rsid w:val="3D346DC1"/>
    <w:rsid w:val="3D477B05"/>
    <w:rsid w:val="3D792776"/>
    <w:rsid w:val="3D802EB3"/>
    <w:rsid w:val="3D9828A9"/>
    <w:rsid w:val="3DE2791A"/>
    <w:rsid w:val="3E04798C"/>
    <w:rsid w:val="3E296CB4"/>
    <w:rsid w:val="3E8B1D5F"/>
    <w:rsid w:val="3EA25030"/>
    <w:rsid w:val="3EA36F25"/>
    <w:rsid w:val="3EAA6689"/>
    <w:rsid w:val="3EC560BA"/>
    <w:rsid w:val="3F051B12"/>
    <w:rsid w:val="3F10258B"/>
    <w:rsid w:val="3F200F75"/>
    <w:rsid w:val="3F37118A"/>
    <w:rsid w:val="3F656D7F"/>
    <w:rsid w:val="3F7830D3"/>
    <w:rsid w:val="3F7A098E"/>
    <w:rsid w:val="3F9959F3"/>
    <w:rsid w:val="3FB17B64"/>
    <w:rsid w:val="3FBA3F5C"/>
    <w:rsid w:val="3FBF1CCE"/>
    <w:rsid w:val="3FCC6F8E"/>
    <w:rsid w:val="3FD716B8"/>
    <w:rsid w:val="3FDA2E5D"/>
    <w:rsid w:val="3FDB4513"/>
    <w:rsid w:val="3FE47979"/>
    <w:rsid w:val="40317410"/>
    <w:rsid w:val="403E4B1D"/>
    <w:rsid w:val="403E5A8C"/>
    <w:rsid w:val="404F739E"/>
    <w:rsid w:val="40574C5C"/>
    <w:rsid w:val="405F4321"/>
    <w:rsid w:val="40603DED"/>
    <w:rsid w:val="406C4ABE"/>
    <w:rsid w:val="40831BCD"/>
    <w:rsid w:val="40BF1EEA"/>
    <w:rsid w:val="40C52EAE"/>
    <w:rsid w:val="40C9603E"/>
    <w:rsid w:val="40DF6392"/>
    <w:rsid w:val="40EE7DCE"/>
    <w:rsid w:val="4116781C"/>
    <w:rsid w:val="416F7716"/>
    <w:rsid w:val="41725AC2"/>
    <w:rsid w:val="41874A60"/>
    <w:rsid w:val="418A5888"/>
    <w:rsid w:val="41AA69A0"/>
    <w:rsid w:val="41BF0AC3"/>
    <w:rsid w:val="41D16EB3"/>
    <w:rsid w:val="41DB66A4"/>
    <w:rsid w:val="42044303"/>
    <w:rsid w:val="42080E3D"/>
    <w:rsid w:val="421D7172"/>
    <w:rsid w:val="424C0CD0"/>
    <w:rsid w:val="42621029"/>
    <w:rsid w:val="42660B19"/>
    <w:rsid w:val="42A33B1C"/>
    <w:rsid w:val="42A41DA4"/>
    <w:rsid w:val="43140775"/>
    <w:rsid w:val="43174146"/>
    <w:rsid w:val="431B01DC"/>
    <w:rsid w:val="435374E2"/>
    <w:rsid w:val="435A1C72"/>
    <w:rsid w:val="436104D5"/>
    <w:rsid w:val="436A1CEB"/>
    <w:rsid w:val="43B417B7"/>
    <w:rsid w:val="43C94D0A"/>
    <w:rsid w:val="43D3134F"/>
    <w:rsid w:val="43DB5CE2"/>
    <w:rsid w:val="440E66CB"/>
    <w:rsid w:val="442A4EB7"/>
    <w:rsid w:val="4456696C"/>
    <w:rsid w:val="44772B8D"/>
    <w:rsid w:val="44A30AD6"/>
    <w:rsid w:val="44AB360A"/>
    <w:rsid w:val="44BA3374"/>
    <w:rsid w:val="44C63791"/>
    <w:rsid w:val="451A5F22"/>
    <w:rsid w:val="451D08A7"/>
    <w:rsid w:val="45372A46"/>
    <w:rsid w:val="45415A3B"/>
    <w:rsid w:val="45490368"/>
    <w:rsid w:val="455B5334"/>
    <w:rsid w:val="45611A6C"/>
    <w:rsid w:val="45705730"/>
    <w:rsid w:val="459E1862"/>
    <w:rsid w:val="45A37EE8"/>
    <w:rsid w:val="45B12031"/>
    <w:rsid w:val="45B54770"/>
    <w:rsid w:val="45BA448F"/>
    <w:rsid w:val="45BC6AA8"/>
    <w:rsid w:val="45F55B38"/>
    <w:rsid w:val="4613720A"/>
    <w:rsid w:val="461E1835"/>
    <w:rsid w:val="462E60AC"/>
    <w:rsid w:val="46556A6B"/>
    <w:rsid w:val="46733FB8"/>
    <w:rsid w:val="467C4DAF"/>
    <w:rsid w:val="467E61C4"/>
    <w:rsid w:val="468477C0"/>
    <w:rsid w:val="468C4AA7"/>
    <w:rsid w:val="46913047"/>
    <w:rsid w:val="46A706A5"/>
    <w:rsid w:val="46FB0A43"/>
    <w:rsid w:val="47195646"/>
    <w:rsid w:val="47353062"/>
    <w:rsid w:val="47527D5E"/>
    <w:rsid w:val="47541888"/>
    <w:rsid w:val="477A3B2C"/>
    <w:rsid w:val="4780658C"/>
    <w:rsid w:val="47853783"/>
    <w:rsid w:val="47C65E4E"/>
    <w:rsid w:val="47D211D2"/>
    <w:rsid w:val="47D41458"/>
    <w:rsid w:val="47E11851"/>
    <w:rsid w:val="47ED51D5"/>
    <w:rsid w:val="47F00E85"/>
    <w:rsid w:val="4801558F"/>
    <w:rsid w:val="48031F77"/>
    <w:rsid w:val="481F0A20"/>
    <w:rsid w:val="48434278"/>
    <w:rsid w:val="484D4DEE"/>
    <w:rsid w:val="48624746"/>
    <w:rsid w:val="487359D2"/>
    <w:rsid w:val="4887604C"/>
    <w:rsid w:val="48BC5937"/>
    <w:rsid w:val="48C80CA0"/>
    <w:rsid w:val="48E821ED"/>
    <w:rsid w:val="48F04BCA"/>
    <w:rsid w:val="496054B6"/>
    <w:rsid w:val="496E29BE"/>
    <w:rsid w:val="496F0BFB"/>
    <w:rsid w:val="499350E7"/>
    <w:rsid w:val="49D265A7"/>
    <w:rsid w:val="49D428AC"/>
    <w:rsid w:val="49D51101"/>
    <w:rsid w:val="49E20EB5"/>
    <w:rsid w:val="4A7A7858"/>
    <w:rsid w:val="4A914734"/>
    <w:rsid w:val="4A9C565B"/>
    <w:rsid w:val="4AB2371F"/>
    <w:rsid w:val="4AEA0A9B"/>
    <w:rsid w:val="4B1203F7"/>
    <w:rsid w:val="4B1413EB"/>
    <w:rsid w:val="4B156205"/>
    <w:rsid w:val="4B5C3E20"/>
    <w:rsid w:val="4BB33E83"/>
    <w:rsid w:val="4BD20EF3"/>
    <w:rsid w:val="4C087DBE"/>
    <w:rsid w:val="4C531E74"/>
    <w:rsid w:val="4C7152C4"/>
    <w:rsid w:val="4C940529"/>
    <w:rsid w:val="4C9B2BDF"/>
    <w:rsid w:val="4CA7676E"/>
    <w:rsid w:val="4CAA4A07"/>
    <w:rsid w:val="4CBB09FE"/>
    <w:rsid w:val="4CF606AD"/>
    <w:rsid w:val="4CFE6256"/>
    <w:rsid w:val="4D017D0E"/>
    <w:rsid w:val="4D14078D"/>
    <w:rsid w:val="4D302606"/>
    <w:rsid w:val="4D510618"/>
    <w:rsid w:val="4D5F4AE3"/>
    <w:rsid w:val="4D6C1FED"/>
    <w:rsid w:val="4D851CA0"/>
    <w:rsid w:val="4DCC0992"/>
    <w:rsid w:val="4DF416CF"/>
    <w:rsid w:val="4DF8629D"/>
    <w:rsid w:val="4E154513"/>
    <w:rsid w:val="4E2512C8"/>
    <w:rsid w:val="4E252F9E"/>
    <w:rsid w:val="4E2E0F86"/>
    <w:rsid w:val="4E4E16AF"/>
    <w:rsid w:val="4E4F2DA9"/>
    <w:rsid w:val="4E5C4D9A"/>
    <w:rsid w:val="4E9B7D9D"/>
    <w:rsid w:val="4EA24EB1"/>
    <w:rsid w:val="4EB26A8E"/>
    <w:rsid w:val="4ED41501"/>
    <w:rsid w:val="4ED4505D"/>
    <w:rsid w:val="4EF86CC0"/>
    <w:rsid w:val="4F2A76C7"/>
    <w:rsid w:val="4F463604"/>
    <w:rsid w:val="4F512041"/>
    <w:rsid w:val="4F72170C"/>
    <w:rsid w:val="4F7F141F"/>
    <w:rsid w:val="4F8965F3"/>
    <w:rsid w:val="4F8D562A"/>
    <w:rsid w:val="4FBF1097"/>
    <w:rsid w:val="4FCB2904"/>
    <w:rsid w:val="4FCE25E3"/>
    <w:rsid w:val="4FE279E5"/>
    <w:rsid w:val="4FF736F9"/>
    <w:rsid w:val="503843E8"/>
    <w:rsid w:val="503A5C56"/>
    <w:rsid w:val="50401423"/>
    <w:rsid w:val="504B6593"/>
    <w:rsid w:val="504D62C5"/>
    <w:rsid w:val="504F0E3F"/>
    <w:rsid w:val="50630821"/>
    <w:rsid w:val="506508DD"/>
    <w:rsid w:val="506643B4"/>
    <w:rsid w:val="506D7FF8"/>
    <w:rsid w:val="50711C50"/>
    <w:rsid w:val="508F360B"/>
    <w:rsid w:val="50CD03B8"/>
    <w:rsid w:val="51273DCC"/>
    <w:rsid w:val="5129736E"/>
    <w:rsid w:val="512D7218"/>
    <w:rsid w:val="514161D5"/>
    <w:rsid w:val="515D758B"/>
    <w:rsid w:val="516E2B15"/>
    <w:rsid w:val="51863A6C"/>
    <w:rsid w:val="51A92228"/>
    <w:rsid w:val="51AA02F7"/>
    <w:rsid w:val="51D06978"/>
    <w:rsid w:val="51E87A97"/>
    <w:rsid w:val="522E0F28"/>
    <w:rsid w:val="52374280"/>
    <w:rsid w:val="52444B99"/>
    <w:rsid w:val="52472C6E"/>
    <w:rsid w:val="524F3C49"/>
    <w:rsid w:val="5281172B"/>
    <w:rsid w:val="52815FD9"/>
    <w:rsid w:val="529A5359"/>
    <w:rsid w:val="52A33C8A"/>
    <w:rsid w:val="52AD68DD"/>
    <w:rsid w:val="52C674D3"/>
    <w:rsid w:val="52CF6267"/>
    <w:rsid w:val="52EB52B5"/>
    <w:rsid w:val="52FC5631"/>
    <w:rsid w:val="5312128A"/>
    <w:rsid w:val="533F76E7"/>
    <w:rsid w:val="536477CB"/>
    <w:rsid w:val="536E6BAF"/>
    <w:rsid w:val="537103F8"/>
    <w:rsid w:val="539354E6"/>
    <w:rsid w:val="53C847FE"/>
    <w:rsid w:val="53D63625"/>
    <w:rsid w:val="53ED7F01"/>
    <w:rsid w:val="53F84BB6"/>
    <w:rsid w:val="540439CF"/>
    <w:rsid w:val="540A1C44"/>
    <w:rsid w:val="541E10A8"/>
    <w:rsid w:val="544031EB"/>
    <w:rsid w:val="545E28C3"/>
    <w:rsid w:val="5499291E"/>
    <w:rsid w:val="54A35BFD"/>
    <w:rsid w:val="54B90C6C"/>
    <w:rsid w:val="55175CA3"/>
    <w:rsid w:val="552C79A0"/>
    <w:rsid w:val="55387195"/>
    <w:rsid w:val="555E38D2"/>
    <w:rsid w:val="556355CA"/>
    <w:rsid w:val="556A04C9"/>
    <w:rsid w:val="558143CA"/>
    <w:rsid w:val="55991245"/>
    <w:rsid w:val="55A52777"/>
    <w:rsid w:val="55B52A34"/>
    <w:rsid w:val="55C220B3"/>
    <w:rsid w:val="55DC047A"/>
    <w:rsid w:val="55F16041"/>
    <w:rsid w:val="56154105"/>
    <w:rsid w:val="561F04E5"/>
    <w:rsid w:val="562E14F6"/>
    <w:rsid w:val="5640378D"/>
    <w:rsid w:val="56472894"/>
    <w:rsid w:val="564E3E17"/>
    <w:rsid w:val="565D04BF"/>
    <w:rsid w:val="567F3E71"/>
    <w:rsid w:val="56970AC1"/>
    <w:rsid w:val="56B03DC5"/>
    <w:rsid w:val="56DE7D77"/>
    <w:rsid w:val="56DF5EA4"/>
    <w:rsid w:val="56E57FF1"/>
    <w:rsid w:val="573E341D"/>
    <w:rsid w:val="575A514F"/>
    <w:rsid w:val="57783D9C"/>
    <w:rsid w:val="578926C7"/>
    <w:rsid w:val="578C2F80"/>
    <w:rsid w:val="57961367"/>
    <w:rsid w:val="57A90FB6"/>
    <w:rsid w:val="57A919F7"/>
    <w:rsid w:val="57DC42A7"/>
    <w:rsid w:val="57DD1426"/>
    <w:rsid w:val="5809064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841A64"/>
    <w:rsid w:val="5A9C2C02"/>
    <w:rsid w:val="5AB64AC4"/>
    <w:rsid w:val="5ABF40E5"/>
    <w:rsid w:val="5ACB1E38"/>
    <w:rsid w:val="5ADD7144"/>
    <w:rsid w:val="5B456296"/>
    <w:rsid w:val="5B4D0671"/>
    <w:rsid w:val="5B5A4B3C"/>
    <w:rsid w:val="5B723CA8"/>
    <w:rsid w:val="5B72714E"/>
    <w:rsid w:val="5B8B15E4"/>
    <w:rsid w:val="5B8B4FDC"/>
    <w:rsid w:val="5B995596"/>
    <w:rsid w:val="5B9B1643"/>
    <w:rsid w:val="5BDB4397"/>
    <w:rsid w:val="5BED20C1"/>
    <w:rsid w:val="5C0536A1"/>
    <w:rsid w:val="5C166CB5"/>
    <w:rsid w:val="5C2D5CBA"/>
    <w:rsid w:val="5C313392"/>
    <w:rsid w:val="5C425CFC"/>
    <w:rsid w:val="5C4F6328"/>
    <w:rsid w:val="5C712EAE"/>
    <w:rsid w:val="5CA67F65"/>
    <w:rsid w:val="5CAB38A1"/>
    <w:rsid w:val="5CC32DBF"/>
    <w:rsid w:val="5CDE151C"/>
    <w:rsid w:val="5CE67691"/>
    <w:rsid w:val="5D604059"/>
    <w:rsid w:val="5D687337"/>
    <w:rsid w:val="5D7B4E54"/>
    <w:rsid w:val="5D9E7743"/>
    <w:rsid w:val="5DA9205A"/>
    <w:rsid w:val="5DB93D22"/>
    <w:rsid w:val="5DBA28BE"/>
    <w:rsid w:val="5DC11B92"/>
    <w:rsid w:val="5DCF1811"/>
    <w:rsid w:val="5DDF380D"/>
    <w:rsid w:val="5E062D59"/>
    <w:rsid w:val="5E090FA4"/>
    <w:rsid w:val="5E400CDF"/>
    <w:rsid w:val="5E471FC2"/>
    <w:rsid w:val="5E8E3928"/>
    <w:rsid w:val="5E912F5F"/>
    <w:rsid w:val="5EB5160F"/>
    <w:rsid w:val="5EBC5F3E"/>
    <w:rsid w:val="5ED82947"/>
    <w:rsid w:val="5F28567D"/>
    <w:rsid w:val="5F2C67EF"/>
    <w:rsid w:val="5F341537"/>
    <w:rsid w:val="5F7E41B6"/>
    <w:rsid w:val="5F831C34"/>
    <w:rsid w:val="5FA1405D"/>
    <w:rsid w:val="5FA42829"/>
    <w:rsid w:val="5FA45965"/>
    <w:rsid w:val="5FAC3823"/>
    <w:rsid w:val="5FBF20F5"/>
    <w:rsid w:val="600B5B92"/>
    <w:rsid w:val="601569D7"/>
    <w:rsid w:val="601A28EB"/>
    <w:rsid w:val="603706C5"/>
    <w:rsid w:val="603810FF"/>
    <w:rsid w:val="604223DA"/>
    <w:rsid w:val="60545A9A"/>
    <w:rsid w:val="606340E6"/>
    <w:rsid w:val="608E59B3"/>
    <w:rsid w:val="60C07B37"/>
    <w:rsid w:val="610417D1"/>
    <w:rsid w:val="61217456"/>
    <w:rsid w:val="61240687"/>
    <w:rsid w:val="613E7560"/>
    <w:rsid w:val="616B6D93"/>
    <w:rsid w:val="61891CD7"/>
    <w:rsid w:val="61931174"/>
    <w:rsid w:val="61DA337A"/>
    <w:rsid w:val="61DF4169"/>
    <w:rsid w:val="61E34380"/>
    <w:rsid w:val="620233F5"/>
    <w:rsid w:val="620504F1"/>
    <w:rsid w:val="62192F11"/>
    <w:rsid w:val="6223305C"/>
    <w:rsid w:val="622E7628"/>
    <w:rsid w:val="62373E29"/>
    <w:rsid w:val="6238329F"/>
    <w:rsid w:val="623D12F6"/>
    <w:rsid w:val="624F0B60"/>
    <w:rsid w:val="6268494D"/>
    <w:rsid w:val="62854B94"/>
    <w:rsid w:val="62A50A9C"/>
    <w:rsid w:val="62B954DB"/>
    <w:rsid w:val="62D7137C"/>
    <w:rsid w:val="62DB4E6A"/>
    <w:rsid w:val="62E30C79"/>
    <w:rsid w:val="62F31AFE"/>
    <w:rsid w:val="62F51D1A"/>
    <w:rsid w:val="63203A80"/>
    <w:rsid w:val="6325172A"/>
    <w:rsid w:val="632610E9"/>
    <w:rsid w:val="63290614"/>
    <w:rsid w:val="632C14B3"/>
    <w:rsid w:val="634D067F"/>
    <w:rsid w:val="63517533"/>
    <w:rsid w:val="63656C59"/>
    <w:rsid w:val="637644DD"/>
    <w:rsid w:val="63790C76"/>
    <w:rsid w:val="63910587"/>
    <w:rsid w:val="63911720"/>
    <w:rsid w:val="639C03E7"/>
    <w:rsid w:val="63A70ADC"/>
    <w:rsid w:val="63C818EC"/>
    <w:rsid w:val="63D800D9"/>
    <w:rsid w:val="63FD3869"/>
    <w:rsid w:val="64041E13"/>
    <w:rsid w:val="64177A6E"/>
    <w:rsid w:val="643A183D"/>
    <w:rsid w:val="64444319"/>
    <w:rsid w:val="645161E4"/>
    <w:rsid w:val="64764706"/>
    <w:rsid w:val="647E6F66"/>
    <w:rsid w:val="64836A95"/>
    <w:rsid w:val="648F0188"/>
    <w:rsid w:val="64920F15"/>
    <w:rsid w:val="64BF79E1"/>
    <w:rsid w:val="64D83507"/>
    <w:rsid w:val="64F720BA"/>
    <w:rsid w:val="651915C4"/>
    <w:rsid w:val="655B422B"/>
    <w:rsid w:val="65A1703E"/>
    <w:rsid w:val="65BA2DA7"/>
    <w:rsid w:val="65BD5903"/>
    <w:rsid w:val="65C77271"/>
    <w:rsid w:val="65CE2D35"/>
    <w:rsid w:val="65DF1F54"/>
    <w:rsid w:val="65FD3CBE"/>
    <w:rsid w:val="6615622F"/>
    <w:rsid w:val="662D146F"/>
    <w:rsid w:val="66342B59"/>
    <w:rsid w:val="663E1CE5"/>
    <w:rsid w:val="66423429"/>
    <w:rsid w:val="666E7CEA"/>
    <w:rsid w:val="667F66FB"/>
    <w:rsid w:val="66976C44"/>
    <w:rsid w:val="66AB714B"/>
    <w:rsid w:val="66CE5358"/>
    <w:rsid w:val="66E850F0"/>
    <w:rsid w:val="67097C2E"/>
    <w:rsid w:val="671007B9"/>
    <w:rsid w:val="674D05B9"/>
    <w:rsid w:val="674D6636"/>
    <w:rsid w:val="676F5399"/>
    <w:rsid w:val="67773F9D"/>
    <w:rsid w:val="67BE7207"/>
    <w:rsid w:val="67CD74FD"/>
    <w:rsid w:val="681F2E0E"/>
    <w:rsid w:val="682016C0"/>
    <w:rsid w:val="68232E85"/>
    <w:rsid w:val="68282E4B"/>
    <w:rsid w:val="683C2438"/>
    <w:rsid w:val="68412467"/>
    <w:rsid w:val="68556DB7"/>
    <w:rsid w:val="68564138"/>
    <w:rsid w:val="687F687B"/>
    <w:rsid w:val="68844A51"/>
    <w:rsid w:val="689A2CB9"/>
    <w:rsid w:val="68DA34E7"/>
    <w:rsid w:val="68F93CE8"/>
    <w:rsid w:val="69181935"/>
    <w:rsid w:val="69253F4A"/>
    <w:rsid w:val="693370F8"/>
    <w:rsid w:val="69584DB0"/>
    <w:rsid w:val="6968396B"/>
    <w:rsid w:val="699B1675"/>
    <w:rsid w:val="69BC24C2"/>
    <w:rsid w:val="69C84535"/>
    <w:rsid w:val="69CC2514"/>
    <w:rsid w:val="69F824D3"/>
    <w:rsid w:val="69F9496F"/>
    <w:rsid w:val="6A086F97"/>
    <w:rsid w:val="6A242FD1"/>
    <w:rsid w:val="6A4053F4"/>
    <w:rsid w:val="6A421C2D"/>
    <w:rsid w:val="6A6D488B"/>
    <w:rsid w:val="6A793230"/>
    <w:rsid w:val="6A8B78DD"/>
    <w:rsid w:val="6A9D6853"/>
    <w:rsid w:val="6ADD2B0A"/>
    <w:rsid w:val="6AF8399D"/>
    <w:rsid w:val="6AFD3B53"/>
    <w:rsid w:val="6B0E4C3A"/>
    <w:rsid w:val="6B1765A5"/>
    <w:rsid w:val="6B2979D0"/>
    <w:rsid w:val="6B507960"/>
    <w:rsid w:val="6B5A2FD8"/>
    <w:rsid w:val="6B5C045C"/>
    <w:rsid w:val="6B672E50"/>
    <w:rsid w:val="6B886E32"/>
    <w:rsid w:val="6B952CA4"/>
    <w:rsid w:val="6BAA7385"/>
    <w:rsid w:val="6BBF5200"/>
    <w:rsid w:val="6BD9385B"/>
    <w:rsid w:val="6BEC47F0"/>
    <w:rsid w:val="6BF66B60"/>
    <w:rsid w:val="6C305081"/>
    <w:rsid w:val="6C884BBB"/>
    <w:rsid w:val="6C8B2065"/>
    <w:rsid w:val="6C8C3076"/>
    <w:rsid w:val="6C8D7096"/>
    <w:rsid w:val="6C9003BD"/>
    <w:rsid w:val="6CB735FA"/>
    <w:rsid w:val="6CBA368C"/>
    <w:rsid w:val="6CBA7B30"/>
    <w:rsid w:val="6CFA617E"/>
    <w:rsid w:val="6D010938"/>
    <w:rsid w:val="6D0D1A0E"/>
    <w:rsid w:val="6D67032A"/>
    <w:rsid w:val="6D706526"/>
    <w:rsid w:val="6D97020E"/>
    <w:rsid w:val="6DB0559C"/>
    <w:rsid w:val="6DD422BD"/>
    <w:rsid w:val="6DD75DA1"/>
    <w:rsid w:val="6DF40CCD"/>
    <w:rsid w:val="6E017A54"/>
    <w:rsid w:val="6E1716F4"/>
    <w:rsid w:val="6E6D549A"/>
    <w:rsid w:val="6E840FA7"/>
    <w:rsid w:val="6E845A1E"/>
    <w:rsid w:val="6E885CDC"/>
    <w:rsid w:val="6E934F2F"/>
    <w:rsid w:val="6EAE5472"/>
    <w:rsid w:val="6EBB1D37"/>
    <w:rsid w:val="6EBE69D3"/>
    <w:rsid w:val="6EC47B15"/>
    <w:rsid w:val="6EC6761E"/>
    <w:rsid w:val="6EFA2AD9"/>
    <w:rsid w:val="6F4D0DEE"/>
    <w:rsid w:val="6F6D2F36"/>
    <w:rsid w:val="6F6F7D52"/>
    <w:rsid w:val="6F703537"/>
    <w:rsid w:val="6F7E36D6"/>
    <w:rsid w:val="6F7E52F4"/>
    <w:rsid w:val="6F9771B5"/>
    <w:rsid w:val="6FB55565"/>
    <w:rsid w:val="70012AEC"/>
    <w:rsid w:val="70241EE0"/>
    <w:rsid w:val="70292969"/>
    <w:rsid w:val="70404AE2"/>
    <w:rsid w:val="704F6F95"/>
    <w:rsid w:val="70745366"/>
    <w:rsid w:val="707C03B1"/>
    <w:rsid w:val="70821F84"/>
    <w:rsid w:val="7086638A"/>
    <w:rsid w:val="709E3FA2"/>
    <w:rsid w:val="70EF70B2"/>
    <w:rsid w:val="71232251"/>
    <w:rsid w:val="71235FB7"/>
    <w:rsid w:val="71260C9B"/>
    <w:rsid w:val="7128150C"/>
    <w:rsid w:val="713A37F8"/>
    <w:rsid w:val="7153231D"/>
    <w:rsid w:val="715B3690"/>
    <w:rsid w:val="71925DB5"/>
    <w:rsid w:val="71A362E0"/>
    <w:rsid w:val="71D620E0"/>
    <w:rsid w:val="720C2CBF"/>
    <w:rsid w:val="7246216E"/>
    <w:rsid w:val="72600832"/>
    <w:rsid w:val="72914E8F"/>
    <w:rsid w:val="72A20473"/>
    <w:rsid w:val="72AA7D37"/>
    <w:rsid w:val="72E26ED5"/>
    <w:rsid w:val="72E51913"/>
    <w:rsid w:val="72F64820"/>
    <w:rsid w:val="732F3FA3"/>
    <w:rsid w:val="733C0404"/>
    <w:rsid w:val="73B845F5"/>
    <w:rsid w:val="73CE3FC9"/>
    <w:rsid w:val="74016CFC"/>
    <w:rsid w:val="74392F5E"/>
    <w:rsid w:val="74996DF5"/>
    <w:rsid w:val="74A36660"/>
    <w:rsid w:val="74B0159F"/>
    <w:rsid w:val="74C652C4"/>
    <w:rsid w:val="74E20230"/>
    <w:rsid w:val="750044AD"/>
    <w:rsid w:val="751E482D"/>
    <w:rsid w:val="756B19C7"/>
    <w:rsid w:val="7590142E"/>
    <w:rsid w:val="75950C22"/>
    <w:rsid w:val="75CE1F56"/>
    <w:rsid w:val="75EB7A6A"/>
    <w:rsid w:val="760B0935"/>
    <w:rsid w:val="76221663"/>
    <w:rsid w:val="7634447F"/>
    <w:rsid w:val="76415001"/>
    <w:rsid w:val="76733030"/>
    <w:rsid w:val="769470F3"/>
    <w:rsid w:val="769D7C6D"/>
    <w:rsid w:val="76B44383"/>
    <w:rsid w:val="76C24AC8"/>
    <w:rsid w:val="76CF5CCC"/>
    <w:rsid w:val="76DC47E3"/>
    <w:rsid w:val="76E063E5"/>
    <w:rsid w:val="76F86B86"/>
    <w:rsid w:val="77241D1A"/>
    <w:rsid w:val="77275D4A"/>
    <w:rsid w:val="774D2E53"/>
    <w:rsid w:val="775B5DC8"/>
    <w:rsid w:val="776517EF"/>
    <w:rsid w:val="777841F5"/>
    <w:rsid w:val="779142E8"/>
    <w:rsid w:val="77A13DC6"/>
    <w:rsid w:val="77F9775E"/>
    <w:rsid w:val="780A4798"/>
    <w:rsid w:val="7830715A"/>
    <w:rsid w:val="783B5C62"/>
    <w:rsid w:val="784500F5"/>
    <w:rsid w:val="7846303C"/>
    <w:rsid w:val="7863005F"/>
    <w:rsid w:val="78833532"/>
    <w:rsid w:val="78936C2A"/>
    <w:rsid w:val="78A0413C"/>
    <w:rsid w:val="78CA3216"/>
    <w:rsid w:val="78D25408"/>
    <w:rsid w:val="78E24696"/>
    <w:rsid w:val="7908577F"/>
    <w:rsid w:val="791A13CD"/>
    <w:rsid w:val="7924080B"/>
    <w:rsid w:val="79584CF0"/>
    <w:rsid w:val="795D2CD0"/>
    <w:rsid w:val="79607369"/>
    <w:rsid w:val="79654A77"/>
    <w:rsid w:val="79807F0B"/>
    <w:rsid w:val="79853E1E"/>
    <w:rsid w:val="79C7410C"/>
    <w:rsid w:val="79C84311"/>
    <w:rsid w:val="79D8107C"/>
    <w:rsid w:val="7A125A0C"/>
    <w:rsid w:val="7A5F5873"/>
    <w:rsid w:val="7A6D33A6"/>
    <w:rsid w:val="7A7D7E20"/>
    <w:rsid w:val="7A8A0A8B"/>
    <w:rsid w:val="7AA20C8F"/>
    <w:rsid w:val="7ACD4877"/>
    <w:rsid w:val="7AEC48BD"/>
    <w:rsid w:val="7B294A71"/>
    <w:rsid w:val="7B441F57"/>
    <w:rsid w:val="7B957B10"/>
    <w:rsid w:val="7B981D49"/>
    <w:rsid w:val="7B9C54A1"/>
    <w:rsid w:val="7BB72877"/>
    <w:rsid w:val="7BF65B78"/>
    <w:rsid w:val="7BFE112F"/>
    <w:rsid w:val="7C6764BE"/>
    <w:rsid w:val="7CC95A8A"/>
    <w:rsid w:val="7D1868D9"/>
    <w:rsid w:val="7D1D4835"/>
    <w:rsid w:val="7D3229F4"/>
    <w:rsid w:val="7D362B6A"/>
    <w:rsid w:val="7D5D06C1"/>
    <w:rsid w:val="7D73418E"/>
    <w:rsid w:val="7D7F2115"/>
    <w:rsid w:val="7D9B76DA"/>
    <w:rsid w:val="7DA17B86"/>
    <w:rsid w:val="7DF502E2"/>
    <w:rsid w:val="7DF9751C"/>
    <w:rsid w:val="7E461020"/>
    <w:rsid w:val="7E61240B"/>
    <w:rsid w:val="7E7D275B"/>
    <w:rsid w:val="7E807A47"/>
    <w:rsid w:val="7E8E1A90"/>
    <w:rsid w:val="7EB64039"/>
    <w:rsid w:val="7F0345A3"/>
    <w:rsid w:val="7F0B7D77"/>
    <w:rsid w:val="7F424BEE"/>
    <w:rsid w:val="7F490153"/>
    <w:rsid w:val="7F523730"/>
    <w:rsid w:val="7F60215C"/>
    <w:rsid w:val="7F657FCF"/>
    <w:rsid w:val="7F9C6759"/>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4"/>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5">
    <w:name w:val="heading 2"/>
    <w:basedOn w:val="1"/>
    <w:next w:val="1"/>
    <w:link w:val="55"/>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6">
    <w:name w:val="heading 3"/>
    <w:basedOn w:val="1"/>
    <w:next w:val="1"/>
    <w:link w:val="56"/>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7">
    <w:name w:val="heading 4"/>
    <w:basedOn w:val="1"/>
    <w:next w:val="1"/>
    <w:link w:val="57"/>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8">
    <w:name w:val="heading 5"/>
    <w:basedOn w:val="1"/>
    <w:next w:val="1"/>
    <w:link w:val="58"/>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9">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10">
    <w:name w:val="heading 7"/>
    <w:basedOn w:val="1"/>
    <w:next w:val="1"/>
    <w:link w:val="60"/>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1">
    <w:name w:val="heading 8"/>
    <w:basedOn w:val="1"/>
    <w:next w:val="1"/>
    <w:link w:val="61"/>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2">
    <w:name w:val="heading 9"/>
    <w:basedOn w:val="1"/>
    <w:next w:val="1"/>
    <w:link w:val="62"/>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72"/>
    <w:unhideWhenUsed/>
    <w:qFormat/>
    <w:uiPriority w:val="0"/>
    <w:pPr>
      <w:tabs>
        <w:tab w:val="center" w:pos="4153"/>
        <w:tab w:val="right" w:pos="8306"/>
      </w:tabs>
      <w:snapToGrid w:val="0"/>
      <w:jc w:val="left"/>
    </w:pPr>
    <w:rPr>
      <w:sz w:val="18"/>
      <w:szCs w:val="18"/>
    </w:rPr>
  </w:style>
  <w:style w:type="paragraph" w:customStyle="1" w:styleId="3">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13">
    <w:name w:val="toc 7"/>
    <w:basedOn w:val="1"/>
    <w:next w:val="1"/>
    <w:qFormat/>
    <w:uiPriority w:val="99"/>
    <w:pPr>
      <w:ind w:left="1260"/>
      <w:jc w:val="left"/>
    </w:pPr>
    <w:rPr>
      <w:rFonts w:ascii="Calibri" w:hAnsi="Calibri" w:eastAsia="宋体" w:cs="Times New Roman"/>
      <w:sz w:val="18"/>
      <w:szCs w:val="18"/>
    </w:rPr>
  </w:style>
  <w:style w:type="paragraph" w:styleId="14">
    <w:name w:val="Normal Indent"/>
    <w:basedOn w:val="1"/>
    <w:link w:val="91"/>
    <w:qFormat/>
    <w:uiPriority w:val="0"/>
    <w:pPr>
      <w:ind w:firstLine="420"/>
    </w:pPr>
    <w:rPr>
      <w:rFonts w:eastAsia="宋体"/>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64"/>
    <w:qFormat/>
    <w:uiPriority w:val="99"/>
    <w:rPr>
      <w:rFonts w:ascii="宋体" w:eastAsia="宋体"/>
      <w:sz w:val="18"/>
      <w:szCs w:val="18"/>
    </w:rPr>
  </w:style>
  <w:style w:type="paragraph" w:styleId="17">
    <w:name w:val="annotation text"/>
    <w:basedOn w:val="1"/>
    <w:link w:val="65"/>
    <w:unhideWhenUsed/>
    <w:qFormat/>
    <w:uiPriority w:val="0"/>
    <w:pPr>
      <w:jc w:val="left"/>
    </w:pPr>
  </w:style>
  <w:style w:type="paragraph" w:styleId="18">
    <w:name w:val="Body Text"/>
    <w:basedOn w:val="1"/>
    <w:next w:val="1"/>
    <w:link w:val="66"/>
    <w:unhideWhenUsed/>
    <w:qFormat/>
    <w:uiPriority w:val="99"/>
    <w:pPr>
      <w:spacing w:after="120"/>
    </w:pPr>
  </w:style>
  <w:style w:type="paragraph" w:styleId="19">
    <w:name w:val="Body Text Indent"/>
    <w:basedOn w:val="1"/>
    <w:next w:val="20"/>
    <w:link w:val="67"/>
    <w:qFormat/>
    <w:uiPriority w:val="99"/>
    <w:pPr>
      <w:ind w:firstLine="600"/>
    </w:pPr>
    <w:rPr>
      <w:sz w:val="32"/>
      <w:szCs w:val="20"/>
    </w:rPr>
  </w:style>
  <w:style w:type="paragraph" w:styleId="20">
    <w:name w:val="Body Text First Indent 2"/>
    <w:basedOn w:val="19"/>
    <w:next w:val="1"/>
    <w:qFormat/>
    <w:uiPriority w:val="99"/>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21">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2">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3">
    <w:name w:val="toc 5"/>
    <w:basedOn w:val="1"/>
    <w:next w:val="1"/>
    <w:qFormat/>
    <w:uiPriority w:val="99"/>
    <w:pPr>
      <w:ind w:left="840"/>
      <w:jc w:val="left"/>
    </w:pPr>
    <w:rPr>
      <w:rFonts w:ascii="Calibri" w:hAnsi="Calibri" w:eastAsia="宋体" w:cs="Times New Roman"/>
      <w:sz w:val="18"/>
      <w:szCs w:val="18"/>
    </w:rPr>
  </w:style>
  <w:style w:type="paragraph" w:styleId="24">
    <w:name w:val="toc 3"/>
    <w:basedOn w:val="1"/>
    <w:next w:val="1"/>
    <w:qFormat/>
    <w:uiPriority w:val="39"/>
    <w:pPr>
      <w:ind w:left="420"/>
      <w:jc w:val="left"/>
    </w:pPr>
    <w:rPr>
      <w:rFonts w:ascii="Calibri" w:hAnsi="Calibri" w:eastAsia="宋体" w:cs="Times New Roman"/>
      <w:i/>
      <w:iCs/>
      <w:sz w:val="20"/>
      <w:szCs w:val="20"/>
    </w:rPr>
  </w:style>
  <w:style w:type="paragraph" w:styleId="25">
    <w:name w:val="Plain Text"/>
    <w:basedOn w:val="1"/>
    <w:link w:val="68"/>
    <w:qFormat/>
    <w:uiPriority w:val="99"/>
    <w:rPr>
      <w:rFonts w:ascii="宋体" w:hAnsi="Courier New" w:cs="Courier New"/>
      <w:szCs w:val="21"/>
    </w:rPr>
  </w:style>
  <w:style w:type="paragraph" w:styleId="26">
    <w:name w:val="toc 8"/>
    <w:basedOn w:val="1"/>
    <w:next w:val="1"/>
    <w:qFormat/>
    <w:uiPriority w:val="99"/>
    <w:pPr>
      <w:ind w:left="1470"/>
      <w:jc w:val="left"/>
    </w:pPr>
    <w:rPr>
      <w:rFonts w:ascii="Calibri" w:hAnsi="Calibri" w:eastAsia="宋体" w:cs="Times New Roman"/>
      <w:sz w:val="18"/>
      <w:szCs w:val="18"/>
    </w:rPr>
  </w:style>
  <w:style w:type="paragraph" w:styleId="27">
    <w:name w:val="Date"/>
    <w:basedOn w:val="1"/>
    <w:next w:val="1"/>
    <w:link w:val="69"/>
    <w:unhideWhenUsed/>
    <w:qFormat/>
    <w:uiPriority w:val="99"/>
    <w:pPr>
      <w:ind w:left="100" w:leftChars="2500"/>
    </w:pPr>
  </w:style>
  <w:style w:type="paragraph" w:styleId="28">
    <w:name w:val="Body Text Indent 2"/>
    <w:basedOn w:val="1"/>
    <w:link w:val="70"/>
    <w:qFormat/>
    <w:uiPriority w:val="99"/>
    <w:pPr>
      <w:spacing w:after="120" w:line="480" w:lineRule="auto"/>
      <w:ind w:left="420" w:leftChars="200"/>
    </w:pPr>
    <w:rPr>
      <w:rFonts w:ascii="Times New Roman" w:hAnsi="Times New Roman" w:eastAsia="宋体" w:cs="Times New Roman"/>
      <w:sz w:val="28"/>
      <w:szCs w:val="24"/>
    </w:rPr>
  </w:style>
  <w:style w:type="paragraph" w:styleId="29">
    <w:name w:val="Balloon Text"/>
    <w:basedOn w:val="1"/>
    <w:link w:val="71"/>
    <w:unhideWhenUsed/>
    <w:qFormat/>
    <w:uiPriority w:val="0"/>
    <w:rPr>
      <w:sz w:val="18"/>
      <w:szCs w:val="18"/>
    </w:rPr>
  </w:style>
  <w:style w:type="paragraph" w:styleId="30">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2">
    <w:name w:val="toc 4"/>
    <w:basedOn w:val="1"/>
    <w:next w:val="1"/>
    <w:qFormat/>
    <w:uiPriority w:val="99"/>
    <w:pPr>
      <w:ind w:left="630"/>
      <w:jc w:val="left"/>
    </w:pPr>
    <w:rPr>
      <w:rFonts w:ascii="Calibri" w:hAnsi="Calibri" w:eastAsia="宋体" w:cs="Times New Roman"/>
      <w:sz w:val="18"/>
      <w:szCs w:val="18"/>
    </w:rPr>
  </w:style>
  <w:style w:type="paragraph" w:styleId="33">
    <w:name w:val="toc 6"/>
    <w:basedOn w:val="1"/>
    <w:next w:val="1"/>
    <w:qFormat/>
    <w:uiPriority w:val="99"/>
    <w:pPr>
      <w:ind w:left="1050"/>
      <w:jc w:val="left"/>
    </w:pPr>
    <w:rPr>
      <w:rFonts w:ascii="Calibri" w:hAnsi="Calibri" w:eastAsia="宋体" w:cs="Times New Roman"/>
      <w:sz w:val="18"/>
      <w:szCs w:val="18"/>
    </w:rPr>
  </w:style>
  <w:style w:type="paragraph" w:styleId="34">
    <w:name w:val="Body Text Indent 3"/>
    <w:basedOn w:val="1"/>
    <w:link w:val="74"/>
    <w:qFormat/>
    <w:uiPriority w:val="99"/>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210"/>
      <w:jc w:val="left"/>
    </w:pPr>
    <w:rPr>
      <w:rFonts w:ascii="Calibri" w:hAnsi="Calibri" w:eastAsia="宋体" w:cs="Times New Roman"/>
      <w:smallCaps/>
      <w:sz w:val="20"/>
      <w:szCs w:val="20"/>
    </w:rPr>
  </w:style>
  <w:style w:type="paragraph" w:styleId="36">
    <w:name w:val="toc 9"/>
    <w:basedOn w:val="1"/>
    <w:next w:val="1"/>
    <w:qFormat/>
    <w:uiPriority w:val="99"/>
    <w:pPr>
      <w:ind w:left="1680"/>
      <w:jc w:val="left"/>
    </w:pPr>
    <w:rPr>
      <w:rFonts w:ascii="Calibri" w:hAnsi="Calibri" w:eastAsia="宋体" w:cs="Times New Roman"/>
      <w:sz w:val="18"/>
      <w:szCs w:val="18"/>
    </w:rPr>
  </w:style>
  <w:style w:type="paragraph" w:styleId="37">
    <w:name w:val="Body Text 2"/>
    <w:basedOn w:val="1"/>
    <w:link w:val="75"/>
    <w:qFormat/>
    <w:uiPriority w:val="99"/>
    <w:pPr>
      <w:spacing w:after="120" w:line="480" w:lineRule="auto"/>
    </w:pPr>
    <w:rPr>
      <w:rFonts w:ascii="Times New Roman" w:hAnsi="Times New Roman" w:eastAsia="宋体" w:cs="Times New Roman"/>
      <w:sz w:val="28"/>
      <w:szCs w:val="24"/>
    </w:rPr>
  </w:style>
  <w:style w:type="paragraph" w:styleId="3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link w:val="76"/>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40">
    <w:name w:val="annotation subject"/>
    <w:basedOn w:val="17"/>
    <w:next w:val="17"/>
    <w:link w:val="77"/>
    <w:unhideWhenUsed/>
    <w:qFormat/>
    <w:uiPriority w:val="0"/>
    <w:rPr>
      <w:b/>
      <w:bCs/>
    </w:rPr>
  </w:style>
  <w:style w:type="paragraph" w:styleId="41">
    <w:name w:val="Body Text First Indent"/>
    <w:basedOn w:val="18"/>
    <w:link w:val="78"/>
    <w:qFormat/>
    <w:uiPriority w:val="99"/>
    <w:pPr>
      <w:tabs>
        <w:tab w:val="left" w:pos="840"/>
      </w:tabs>
      <w:ind w:firstLine="420"/>
    </w:pPr>
    <w:rPr>
      <w:rFonts w:ascii="Times New Roman" w:hAnsi="Times New Roman" w:eastAsia="宋体" w:cs="Times New Roman"/>
      <w:szCs w:val="20"/>
    </w:rPr>
  </w:style>
  <w:style w:type="table" w:styleId="43">
    <w:name w:val="Table Grid"/>
    <w:basedOn w:val="4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TOC1"/>
    <w:basedOn w:val="1"/>
    <w:next w:val="1"/>
    <w:qFormat/>
    <w:uiPriority w:val="0"/>
    <w:pPr>
      <w:spacing w:before="120" w:after="120"/>
      <w:jc w:val="left"/>
    </w:pPr>
    <w:rPr>
      <w:b/>
      <w:bCs/>
      <w:caps/>
      <w:sz w:val="20"/>
      <w:szCs w:val="20"/>
    </w:rPr>
  </w:style>
  <w:style w:type="paragraph" w:customStyle="1" w:styleId="51">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2">
    <w:name w:val="BodyText1I2"/>
    <w:basedOn w:val="53"/>
    <w:next w:val="1"/>
    <w:qFormat/>
    <w:uiPriority w:val="0"/>
    <w:pPr>
      <w:spacing w:after="120"/>
      <w:ind w:left="420" w:leftChars="200" w:firstLine="420" w:firstLineChars="200"/>
      <w:jc w:val="both"/>
      <w:textAlignment w:val="baseline"/>
    </w:pPr>
  </w:style>
  <w:style w:type="paragraph" w:customStyle="1" w:styleId="53">
    <w:name w:val="BodyTextIndent"/>
    <w:basedOn w:val="1"/>
    <w:qFormat/>
    <w:uiPriority w:val="0"/>
    <w:pPr>
      <w:spacing w:after="120"/>
      <w:ind w:left="420" w:leftChars="200"/>
      <w:jc w:val="both"/>
      <w:textAlignment w:val="baseline"/>
    </w:pPr>
  </w:style>
  <w:style w:type="character" w:customStyle="1" w:styleId="54">
    <w:name w:val="标题 1 字符"/>
    <w:basedOn w:val="44"/>
    <w:link w:val="4"/>
    <w:qFormat/>
    <w:uiPriority w:val="0"/>
    <w:rPr>
      <w:rFonts w:ascii="Calibri" w:hAnsi="Calibri" w:eastAsia="仿宋" w:cs="Times New Roman"/>
      <w:b/>
      <w:bCs/>
      <w:kern w:val="44"/>
      <w:sz w:val="30"/>
      <w:szCs w:val="30"/>
    </w:rPr>
  </w:style>
  <w:style w:type="character" w:customStyle="1" w:styleId="55">
    <w:name w:val="标题 2 字符1"/>
    <w:basedOn w:val="44"/>
    <w:link w:val="5"/>
    <w:qFormat/>
    <w:uiPriority w:val="0"/>
    <w:rPr>
      <w:rFonts w:ascii="Cambria" w:hAnsi="Cambria" w:eastAsia="宋体" w:cs="Times New Roman"/>
      <w:b/>
      <w:bCs/>
      <w:kern w:val="0"/>
      <w:sz w:val="28"/>
      <w:szCs w:val="28"/>
    </w:rPr>
  </w:style>
  <w:style w:type="character" w:customStyle="1" w:styleId="56">
    <w:name w:val="标题 3 字符"/>
    <w:basedOn w:val="44"/>
    <w:link w:val="6"/>
    <w:qFormat/>
    <w:uiPriority w:val="0"/>
    <w:rPr>
      <w:rFonts w:ascii="Calibri" w:hAnsi="Calibri" w:eastAsia="宋体" w:cs="Times New Roman"/>
      <w:b/>
      <w:bCs/>
      <w:kern w:val="0"/>
      <w:sz w:val="32"/>
      <w:szCs w:val="32"/>
    </w:rPr>
  </w:style>
  <w:style w:type="character" w:customStyle="1" w:styleId="57">
    <w:name w:val="标题 4 字符"/>
    <w:basedOn w:val="44"/>
    <w:link w:val="7"/>
    <w:qFormat/>
    <w:uiPriority w:val="0"/>
    <w:rPr>
      <w:rFonts w:ascii="Cambria" w:hAnsi="Cambria" w:eastAsia="宋体" w:cs="Times New Roman"/>
      <w:b/>
      <w:bCs/>
      <w:kern w:val="0"/>
      <w:sz w:val="28"/>
      <w:szCs w:val="28"/>
    </w:rPr>
  </w:style>
  <w:style w:type="character" w:customStyle="1" w:styleId="58">
    <w:name w:val="标题 5 字符"/>
    <w:basedOn w:val="44"/>
    <w:link w:val="8"/>
    <w:qFormat/>
    <w:uiPriority w:val="0"/>
    <w:rPr>
      <w:rFonts w:ascii="Times New Roman" w:hAnsi="Times New Roman" w:eastAsia="宋体" w:cs="Times New Roman"/>
      <w:b/>
      <w:bCs/>
      <w:kern w:val="0"/>
      <w:sz w:val="28"/>
      <w:szCs w:val="28"/>
    </w:rPr>
  </w:style>
  <w:style w:type="character" w:customStyle="1" w:styleId="59">
    <w:name w:val="标题 6 字符"/>
    <w:basedOn w:val="44"/>
    <w:link w:val="9"/>
    <w:qFormat/>
    <w:uiPriority w:val="0"/>
    <w:rPr>
      <w:rFonts w:ascii="Arial" w:hAnsi="Arial" w:eastAsia="黑体" w:cs="Times New Roman"/>
      <w:b/>
      <w:bCs/>
      <w:kern w:val="0"/>
      <w:sz w:val="24"/>
      <w:szCs w:val="24"/>
    </w:rPr>
  </w:style>
  <w:style w:type="character" w:customStyle="1" w:styleId="60">
    <w:name w:val="标题 7 字符"/>
    <w:basedOn w:val="44"/>
    <w:link w:val="10"/>
    <w:qFormat/>
    <w:uiPriority w:val="99"/>
    <w:rPr>
      <w:rFonts w:ascii="Times New Roman" w:hAnsi="Times New Roman" w:eastAsia="宋体" w:cs="Times New Roman"/>
      <w:b/>
      <w:bCs/>
      <w:kern w:val="0"/>
      <w:sz w:val="24"/>
      <w:szCs w:val="24"/>
    </w:rPr>
  </w:style>
  <w:style w:type="character" w:customStyle="1" w:styleId="61">
    <w:name w:val="标题 8 字符"/>
    <w:basedOn w:val="44"/>
    <w:link w:val="11"/>
    <w:qFormat/>
    <w:uiPriority w:val="99"/>
    <w:rPr>
      <w:rFonts w:ascii="Arial" w:hAnsi="Arial" w:eastAsia="黑体" w:cs="Times New Roman"/>
      <w:kern w:val="0"/>
      <w:sz w:val="24"/>
      <w:szCs w:val="24"/>
    </w:rPr>
  </w:style>
  <w:style w:type="character" w:customStyle="1" w:styleId="62">
    <w:name w:val="标题 9 字符"/>
    <w:basedOn w:val="44"/>
    <w:link w:val="12"/>
    <w:qFormat/>
    <w:uiPriority w:val="99"/>
    <w:rPr>
      <w:rFonts w:ascii="Arial" w:hAnsi="Arial" w:eastAsia="黑体" w:cs="Times New Roman"/>
      <w:kern w:val="0"/>
      <w:sz w:val="20"/>
      <w:szCs w:val="20"/>
    </w:rPr>
  </w:style>
  <w:style w:type="paragraph" w:customStyle="1" w:styleId="6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4">
    <w:name w:val="文档结构图 字符"/>
    <w:basedOn w:val="44"/>
    <w:link w:val="16"/>
    <w:qFormat/>
    <w:uiPriority w:val="99"/>
    <w:rPr>
      <w:rFonts w:ascii="宋体" w:eastAsia="宋体"/>
      <w:sz w:val="18"/>
      <w:szCs w:val="18"/>
    </w:rPr>
  </w:style>
  <w:style w:type="character" w:customStyle="1" w:styleId="65">
    <w:name w:val="批注文字 字符"/>
    <w:basedOn w:val="44"/>
    <w:link w:val="17"/>
    <w:qFormat/>
    <w:uiPriority w:val="0"/>
  </w:style>
  <w:style w:type="character" w:customStyle="1" w:styleId="66">
    <w:name w:val="正文文本 字符"/>
    <w:basedOn w:val="44"/>
    <w:link w:val="18"/>
    <w:qFormat/>
    <w:uiPriority w:val="99"/>
  </w:style>
  <w:style w:type="character" w:customStyle="1" w:styleId="67">
    <w:name w:val="正文文本缩进 字符"/>
    <w:basedOn w:val="44"/>
    <w:link w:val="19"/>
    <w:qFormat/>
    <w:uiPriority w:val="99"/>
    <w:rPr>
      <w:sz w:val="32"/>
      <w:szCs w:val="20"/>
    </w:rPr>
  </w:style>
  <w:style w:type="character" w:customStyle="1" w:styleId="68">
    <w:name w:val="纯文本 字符"/>
    <w:basedOn w:val="44"/>
    <w:link w:val="25"/>
    <w:qFormat/>
    <w:uiPriority w:val="99"/>
    <w:rPr>
      <w:rFonts w:ascii="宋体" w:hAnsi="Courier New" w:cs="Courier New"/>
      <w:szCs w:val="21"/>
    </w:rPr>
  </w:style>
  <w:style w:type="character" w:customStyle="1" w:styleId="69">
    <w:name w:val="日期 字符"/>
    <w:basedOn w:val="44"/>
    <w:link w:val="27"/>
    <w:qFormat/>
    <w:uiPriority w:val="99"/>
  </w:style>
  <w:style w:type="character" w:customStyle="1" w:styleId="70">
    <w:name w:val="正文文本缩进 2 字符"/>
    <w:basedOn w:val="44"/>
    <w:link w:val="28"/>
    <w:qFormat/>
    <w:uiPriority w:val="99"/>
    <w:rPr>
      <w:rFonts w:ascii="Times New Roman" w:hAnsi="Times New Roman" w:eastAsia="宋体" w:cs="Times New Roman"/>
      <w:sz w:val="28"/>
      <w:szCs w:val="24"/>
    </w:rPr>
  </w:style>
  <w:style w:type="character" w:customStyle="1" w:styleId="71">
    <w:name w:val="批注框文本 字符"/>
    <w:basedOn w:val="44"/>
    <w:link w:val="29"/>
    <w:qFormat/>
    <w:uiPriority w:val="0"/>
    <w:rPr>
      <w:sz w:val="18"/>
      <w:szCs w:val="18"/>
    </w:rPr>
  </w:style>
  <w:style w:type="character" w:customStyle="1" w:styleId="72">
    <w:name w:val="页脚 字符"/>
    <w:basedOn w:val="44"/>
    <w:link w:val="2"/>
    <w:qFormat/>
    <w:uiPriority w:val="0"/>
    <w:rPr>
      <w:sz w:val="18"/>
      <w:szCs w:val="18"/>
    </w:rPr>
  </w:style>
  <w:style w:type="character" w:customStyle="1" w:styleId="73">
    <w:name w:val="页眉 字符"/>
    <w:basedOn w:val="44"/>
    <w:link w:val="30"/>
    <w:qFormat/>
    <w:uiPriority w:val="0"/>
    <w:rPr>
      <w:sz w:val="18"/>
      <w:szCs w:val="18"/>
    </w:rPr>
  </w:style>
  <w:style w:type="character" w:customStyle="1" w:styleId="74">
    <w:name w:val="正文文本缩进 3 字符"/>
    <w:basedOn w:val="44"/>
    <w:link w:val="34"/>
    <w:qFormat/>
    <w:uiPriority w:val="99"/>
    <w:rPr>
      <w:rFonts w:ascii="Times New Roman" w:hAnsi="Times New Roman" w:eastAsia="宋体" w:cs="Times New Roman"/>
      <w:sz w:val="16"/>
      <w:szCs w:val="16"/>
    </w:rPr>
  </w:style>
  <w:style w:type="character" w:customStyle="1" w:styleId="75">
    <w:name w:val="正文文本 2 字符"/>
    <w:basedOn w:val="44"/>
    <w:link w:val="37"/>
    <w:qFormat/>
    <w:uiPriority w:val="99"/>
    <w:rPr>
      <w:rFonts w:ascii="Times New Roman" w:hAnsi="Times New Roman" w:eastAsia="宋体" w:cs="Times New Roman"/>
      <w:sz w:val="28"/>
      <w:szCs w:val="24"/>
    </w:rPr>
  </w:style>
  <w:style w:type="character" w:customStyle="1" w:styleId="76">
    <w:name w:val="标题 字符"/>
    <w:basedOn w:val="44"/>
    <w:link w:val="39"/>
    <w:qFormat/>
    <w:uiPriority w:val="99"/>
    <w:rPr>
      <w:rFonts w:ascii="宋体" w:hAnsi="Arial" w:eastAsia="宋体" w:cs="Arial"/>
      <w:b/>
      <w:bCs/>
      <w:kern w:val="28"/>
      <w:sz w:val="32"/>
      <w:szCs w:val="32"/>
    </w:rPr>
  </w:style>
  <w:style w:type="character" w:customStyle="1" w:styleId="77">
    <w:name w:val="批注主题 字符"/>
    <w:basedOn w:val="65"/>
    <w:link w:val="40"/>
    <w:qFormat/>
    <w:uiPriority w:val="0"/>
    <w:rPr>
      <w:b/>
      <w:bCs/>
    </w:rPr>
  </w:style>
  <w:style w:type="character" w:customStyle="1" w:styleId="78">
    <w:name w:val="正文文本首行缩进 字符"/>
    <w:basedOn w:val="66"/>
    <w:link w:val="41"/>
    <w:qFormat/>
    <w:uiPriority w:val="99"/>
    <w:rPr>
      <w:rFonts w:ascii="Times New Roman" w:hAnsi="Times New Roman" w:eastAsia="宋体" w:cs="Times New Roman"/>
      <w:szCs w:val="20"/>
    </w:rPr>
  </w:style>
  <w:style w:type="character" w:customStyle="1" w:styleId="79">
    <w:name w:val="正文文本首行缩进 2 字符"/>
    <w:basedOn w:val="67"/>
    <w:qFormat/>
    <w:uiPriority w:val="99"/>
    <w:rPr>
      <w:rFonts w:ascii="Times New Roman" w:hAnsi="Times New Roman" w:eastAsia="宋体" w:cs="Times New Roman"/>
      <w:sz w:val="32"/>
      <w:szCs w:val="24"/>
    </w:rPr>
  </w:style>
  <w:style w:type="paragraph" w:customStyle="1" w:styleId="80">
    <w:name w:val="列出段落1"/>
    <w:basedOn w:val="1"/>
    <w:qFormat/>
    <w:uiPriority w:val="0"/>
    <w:pPr>
      <w:ind w:firstLine="420" w:firstLineChars="200"/>
    </w:pPr>
  </w:style>
  <w:style w:type="paragraph" w:customStyle="1" w:styleId="81">
    <w:name w:val="_Style 3"/>
    <w:basedOn w:val="1"/>
    <w:next w:val="1"/>
    <w:qFormat/>
    <w:uiPriority w:val="99"/>
    <w:pPr>
      <w:spacing w:line="360" w:lineRule="auto"/>
      <w:ind w:firstLine="420" w:firstLineChars="200"/>
    </w:pPr>
    <w:rPr>
      <w:sz w:val="24"/>
      <w:szCs w:val="24"/>
    </w:rPr>
  </w:style>
  <w:style w:type="character" w:customStyle="1" w:styleId="82">
    <w:name w:val="font01"/>
    <w:basedOn w:val="44"/>
    <w:qFormat/>
    <w:uiPriority w:val="0"/>
    <w:rPr>
      <w:rFonts w:ascii="Helvetica" w:hAnsi="Helvetica" w:eastAsia="Helvetica" w:cs="Helvetica"/>
      <w:color w:val="000000"/>
      <w:sz w:val="16"/>
      <w:szCs w:val="16"/>
      <w:u w:val="none"/>
    </w:rPr>
  </w:style>
  <w:style w:type="character" w:customStyle="1" w:styleId="83">
    <w:name w:val="font41"/>
    <w:basedOn w:val="44"/>
    <w:qFormat/>
    <w:uiPriority w:val="0"/>
    <w:rPr>
      <w:rFonts w:hint="eastAsia" w:ascii="宋体" w:hAnsi="宋体" w:eastAsia="宋体" w:cs="宋体"/>
      <w:color w:val="000000"/>
      <w:sz w:val="16"/>
      <w:szCs w:val="16"/>
      <w:u w:val="none"/>
    </w:rPr>
  </w:style>
  <w:style w:type="character" w:customStyle="1" w:styleId="84">
    <w:name w:val="font11"/>
    <w:basedOn w:val="44"/>
    <w:qFormat/>
    <w:uiPriority w:val="0"/>
    <w:rPr>
      <w:rFonts w:hint="default" w:ascii="Times New Roman" w:hAnsi="Times New Roman" w:cs="Times New Roman"/>
      <w:color w:val="000000"/>
      <w:sz w:val="16"/>
      <w:szCs w:val="16"/>
      <w:u w:val="none"/>
    </w:rPr>
  </w:style>
  <w:style w:type="character" w:customStyle="1" w:styleId="85">
    <w:name w:val="font21"/>
    <w:basedOn w:val="44"/>
    <w:qFormat/>
    <w:uiPriority w:val="0"/>
    <w:rPr>
      <w:rFonts w:ascii="Helvetica" w:hAnsi="Helvetica" w:eastAsia="Helvetica" w:cs="Helvetica"/>
      <w:color w:val="000000"/>
      <w:sz w:val="16"/>
      <w:szCs w:val="16"/>
      <w:u w:val="none"/>
    </w:rPr>
  </w:style>
  <w:style w:type="character" w:customStyle="1" w:styleId="86">
    <w:name w:val="font51"/>
    <w:basedOn w:val="44"/>
    <w:qFormat/>
    <w:uiPriority w:val="0"/>
    <w:rPr>
      <w:rFonts w:hint="eastAsia" w:ascii="宋体" w:hAnsi="宋体" w:eastAsia="宋体" w:cs="宋体"/>
      <w:color w:val="000000"/>
      <w:sz w:val="16"/>
      <w:szCs w:val="16"/>
      <w:u w:val="none"/>
    </w:rPr>
  </w:style>
  <w:style w:type="character" w:customStyle="1" w:styleId="87">
    <w:name w:val="font31"/>
    <w:basedOn w:val="44"/>
    <w:qFormat/>
    <w:uiPriority w:val="0"/>
    <w:rPr>
      <w:rFonts w:hint="eastAsia" w:ascii="宋体" w:hAnsi="宋体" w:eastAsia="宋体" w:cs="宋体"/>
      <w:color w:val="000000"/>
      <w:sz w:val="16"/>
      <w:szCs w:val="16"/>
      <w:u w:val="none"/>
    </w:rPr>
  </w:style>
  <w:style w:type="character" w:customStyle="1" w:styleId="88">
    <w:name w:val="font61"/>
    <w:basedOn w:val="44"/>
    <w:qFormat/>
    <w:uiPriority w:val="0"/>
    <w:rPr>
      <w:rFonts w:hint="eastAsia" w:ascii="宋体" w:hAnsi="宋体" w:eastAsia="宋体" w:cs="宋体"/>
      <w:color w:val="000000"/>
      <w:sz w:val="16"/>
      <w:szCs w:val="16"/>
      <w:u w:val="none"/>
    </w:rPr>
  </w:style>
  <w:style w:type="paragraph" w:customStyle="1" w:styleId="89">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90">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91">
    <w:name w:val="正文缩进 字符"/>
    <w:link w:val="14"/>
    <w:qFormat/>
    <w:uiPriority w:val="0"/>
    <w:rPr>
      <w:rFonts w:eastAsia="宋体"/>
    </w:rPr>
  </w:style>
  <w:style w:type="character" w:customStyle="1" w:styleId="92">
    <w:name w:val="无间隔 字符"/>
    <w:link w:val="93"/>
    <w:qFormat/>
    <w:uiPriority w:val="0"/>
    <w:rPr>
      <w:rFonts w:ascii="Cambria" w:hAnsi="Cambria"/>
      <w:sz w:val="22"/>
      <w:lang w:eastAsia="en-US" w:bidi="en-US"/>
    </w:rPr>
  </w:style>
  <w:style w:type="paragraph" w:styleId="93">
    <w:name w:val="No Spacing"/>
    <w:basedOn w:val="1"/>
    <w:link w:val="92"/>
    <w:qFormat/>
    <w:uiPriority w:val="0"/>
    <w:pPr>
      <w:widowControl/>
      <w:numPr>
        <w:ilvl w:val="4"/>
        <w:numId w:val="2"/>
      </w:numPr>
      <w:ind w:left="0" w:firstLine="0"/>
      <w:jc w:val="left"/>
    </w:pPr>
    <w:rPr>
      <w:rFonts w:ascii="Cambria" w:hAnsi="Cambria"/>
      <w:sz w:val="22"/>
      <w:lang w:eastAsia="en-US" w:bidi="en-US"/>
    </w:rPr>
  </w:style>
  <w:style w:type="character" w:customStyle="1" w:styleId="94">
    <w:name w:val="样式2 Char"/>
    <w:link w:val="95"/>
    <w:qFormat/>
    <w:uiPriority w:val="0"/>
    <w:rPr>
      <w:rFonts w:ascii="宋体" w:hAnsi="宋体"/>
      <w:sz w:val="28"/>
      <w:szCs w:val="28"/>
    </w:rPr>
  </w:style>
  <w:style w:type="paragraph" w:customStyle="1" w:styleId="95">
    <w:name w:val="样式2"/>
    <w:basedOn w:val="1"/>
    <w:link w:val="94"/>
    <w:qFormat/>
    <w:uiPriority w:val="0"/>
    <w:pPr>
      <w:widowControl/>
      <w:spacing w:line="590" w:lineRule="exact"/>
      <w:ind w:firstLine="560" w:firstLineChars="200"/>
    </w:pPr>
    <w:rPr>
      <w:rFonts w:ascii="宋体" w:hAnsi="宋体"/>
      <w:sz w:val="28"/>
      <w:szCs w:val="28"/>
    </w:rPr>
  </w:style>
  <w:style w:type="character" w:customStyle="1" w:styleId="96">
    <w:name w:val="zj-122 Char"/>
    <w:link w:val="97"/>
    <w:qFormat/>
    <w:uiPriority w:val="99"/>
    <w:rPr>
      <w:rFonts w:ascii="Cambria" w:hAnsi="Cambria"/>
      <w:iCs/>
      <w:szCs w:val="21"/>
      <w:lang w:bidi="en-US"/>
    </w:rPr>
  </w:style>
  <w:style w:type="paragraph" w:customStyle="1" w:styleId="97">
    <w:name w:val="zj-122"/>
    <w:basedOn w:val="93"/>
    <w:link w:val="96"/>
    <w:qFormat/>
    <w:uiPriority w:val="99"/>
    <w:rPr>
      <w:iCs/>
      <w:sz w:val="21"/>
      <w:szCs w:val="21"/>
      <w:lang w:eastAsia="zh-CN"/>
    </w:rPr>
  </w:style>
  <w:style w:type="paragraph" w:customStyle="1" w:styleId="98">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a9"/>
    <w:basedOn w:val="44"/>
    <w:qFormat/>
    <w:uiPriority w:val="0"/>
  </w:style>
  <w:style w:type="character" w:customStyle="1" w:styleId="100">
    <w:name w:val="msonormal"/>
    <w:basedOn w:val="44"/>
    <w:qFormat/>
    <w:uiPriority w:val="0"/>
  </w:style>
  <w:style w:type="character" w:customStyle="1" w:styleId="101">
    <w:name w:val="标题 1 Char Char"/>
    <w:qFormat/>
    <w:uiPriority w:val="0"/>
    <w:rPr>
      <w:rFonts w:eastAsia="宋体"/>
      <w:b/>
      <w:spacing w:val="-2"/>
      <w:sz w:val="24"/>
      <w:lang w:val="en-US" w:eastAsia="zh-CN" w:bidi="ar-SA"/>
    </w:rPr>
  </w:style>
  <w:style w:type="character" w:customStyle="1" w:styleId="102">
    <w:name w:val="标题 2 字符"/>
    <w:qFormat/>
    <w:uiPriority w:val="0"/>
    <w:rPr>
      <w:rFonts w:ascii="Arial" w:hAnsi="Arial" w:eastAsia="黑体"/>
      <w:b/>
      <w:bCs/>
      <w:kern w:val="2"/>
      <w:sz w:val="32"/>
      <w:szCs w:val="32"/>
    </w:rPr>
  </w:style>
  <w:style w:type="character" w:customStyle="1" w:styleId="103">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4">
    <w:name w:val="text-4"/>
    <w:basedOn w:val="44"/>
    <w:qFormat/>
    <w:uiPriority w:val="0"/>
  </w:style>
  <w:style w:type="character" w:customStyle="1" w:styleId="105">
    <w:name w:val="boldtitle1"/>
    <w:qFormat/>
    <w:uiPriority w:val="0"/>
    <w:rPr>
      <w:rFonts w:hint="default" w:ascii="Arial Black" w:hAnsi="Arial Black"/>
      <w:sz w:val="36"/>
      <w:szCs w:val="36"/>
    </w:rPr>
  </w:style>
  <w:style w:type="character" w:customStyle="1" w:styleId="106">
    <w:name w:val="Body Char"/>
    <w:link w:val="107"/>
    <w:qFormat/>
    <w:uiPriority w:val="0"/>
    <w:rPr>
      <w:szCs w:val="21"/>
    </w:rPr>
  </w:style>
  <w:style w:type="paragraph" w:customStyle="1" w:styleId="107">
    <w:name w:val="Body"/>
    <w:basedOn w:val="1"/>
    <w:link w:val="106"/>
    <w:qFormat/>
    <w:uiPriority w:val="0"/>
    <w:pPr>
      <w:widowControl/>
      <w:tabs>
        <w:tab w:val="left" w:pos="9356"/>
      </w:tabs>
      <w:spacing w:before="80" w:after="80" w:line="288" w:lineRule="auto"/>
      <w:ind w:left="426" w:leftChars="213" w:right="200"/>
    </w:pPr>
    <w:rPr>
      <w:szCs w:val="21"/>
    </w:rPr>
  </w:style>
  <w:style w:type="paragraph" w:customStyle="1" w:styleId="108">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9">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10">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1">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2">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3">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4">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5">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6">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7">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8">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9">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0">
    <w:name w:val="Char Char"/>
    <w:basedOn w:val="1"/>
    <w:qFormat/>
    <w:uiPriority w:val="99"/>
    <w:rPr>
      <w:rFonts w:ascii="Tahoma" w:hAnsi="Tahoma" w:eastAsia="宋体" w:cs="Times New Roman"/>
      <w:sz w:val="24"/>
      <w:szCs w:val="20"/>
    </w:rPr>
  </w:style>
  <w:style w:type="paragraph" w:customStyle="1" w:styleId="121">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2">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3">
    <w:name w:val="Char Char Char1 Char"/>
    <w:basedOn w:val="1"/>
    <w:qFormat/>
    <w:uiPriority w:val="99"/>
    <w:rPr>
      <w:rFonts w:ascii="仿宋_GB2312" w:hAnsi="Times New Roman" w:eastAsia="仿宋_GB2312" w:cs="Times New Roman"/>
      <w:b/>
      <w:sz w:val="32"/>
      <w:szCs w:val="32"/>
    </w:rPr>
  </w:style>
  <w:style w:type="paragraph" w:customStyle="1" w:styleId="124">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5">
    <w:name w:val="List Paragraph1"/>
    <w:basedOn w:val="1"/>
    <w:qFormat/>
    <w:uiPriority w:val="99"/>
    <w:pPr>
      <w:ind w:firstLine="420" w:firstLineChars="200"/>
    </w:pPr>
    <w:rPr>
      <w:rFonts w:ascii="Calibri" w:hAnsi="Calibri" w:eastAsia="宋体" w:cs="Calibri"/>
      <w:szCs w:val="21"/>
    </w:rPr>
  </w:style>
  <w:style w:type="paragraph" w:customStyle="1" w:styleId="12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7">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8">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0">
    <w:name w:val="Char Char Char Char"/>
    <w:basedOn w:val="16"/>
    <w:qFormat/>
    <w:uiPriority w:val="99"/>
    <w:pPr>
      <w:shd w:val="clear" w:color="auto" w:fill="000080"/>
      <w:adjustRightInd w:val="0"/>
      <w:snapToGrid w:val="0"/>
      <w:spacing w:line="360" w:lineRule="auto"/>
    </w:pPr>
    <w:rPr>
      <w:rFonts w:ascii="Tahoma" w:hAnsi="Tahoma"/>
      <w:sz w:val="24"/>
      <w:szCs w:val="24"/>
    </w:rPr>
  </w:style>
  <w:style w:type="paragraph" w:customStyle="1" w:styleId="131">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2">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3">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4">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6">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7">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8">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9">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40">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41">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2">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3">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4">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5">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6">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7">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8">
    <w:name w:val="ZTE标题6"/>
    <w:basedOn w:val="146"/>
    <w:qFormat/>
    <w:uiPriority w:val="99"/>
    <w:pPr>
      <w:tabs>
        <w:tab w:val="left" w:pos="1276"/>
      </w:tabs>
      <w:spacing w:before="120"/>
      <w:ind w:left="1276" w:hanging="1276"/>
    </w:pPr>
  </w:style>
  <w:style w:type="paragraph" w:customStyle="1" w:styleId="149">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0">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51">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2">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4">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6">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7">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8">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9">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60">
    <w:name w:val="正文 3"/>
    <w:basedOn w:val="131"/>
    <w:next w:val="131"/>
    <w:qFormat/>
    <w:uiPriority w:val="99"/>
    <w:pPr>
      <w:spacing w:before="120"/>
    </w:pPr>
    <w:rPr>
      <w:rFonts w:ascii="Garamond" w:hAnsi="Garamond"/>
      <w:color w:val="auto"/>
    </w:rPr>
  </w:style>
  <w:style w:type="paragraph" w:customStyle="1" w:styleId="161">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2">
    <w:name w:val="List Paragraph"/>
    <w:basedOn w:val="1"/>
    <w:link w:val="166"/>
    <w:qFormat/>
    <w:uiPriority w:val="99"/>
    <w:pPr>
      <w:ind w:firstLine="420" w:firstLineChars="200"/>
    </w:pPr>
    <w:rPr>
      <w:rFonts w:ascii="Calibri" w:hAnsi="Calibri" w:eastAsia="宋体" w:cs="Times New Roman"/>
    </w:rPr>
  </w:style>
  <w:style w:type="paragraph" w:customStyle="1" w:styleId="163">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4">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5">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6">
    <w:name w:val="列表段落 字符"/>
    <w:link w:val="162"/>
    <w:qFormat/>
    <w:locked/>
    <w:uiPriority w:val="99"/>
    <w:rPr>
      <w:rFonts w:ascii="Calibri" w:hAnsi="Calibri" w:eastAsia="宋体" w:cs="Times New Roman"/>
    </w:rPr>
  </w:style>
  <w:style w:type="paragraph" w:customStyle="1" w:styleId="167">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8">
    <w:name w:val="font81"/>
    <w:basedOn w:val="44"/>
    <w:qFormat/>
    <w:uiPriority w:val="0"/>
    <w:rPr>
      <w:rFonts w:hint="eastAsia" w:ascii="宋体" w:hAnsi="宋体" w:eastAsia="宋体" w:cs="宋体"/>
      <w:color w:val="000000"/>
      <w:sz w:val="20"/>
      <w:szCs w:val="20"/>
      <w:u w:val="none"/>
    </w:rPr>
  </w:style>
  <w:style w:type="character" w:customStyle="1" w:styleId="169">
    <w:name w:val="font71"/>
    <w:basedOn w:val="44"/>
    <w:qFormat/>
    <w:uiPriority w:val="0"/>
    <w:rPr>
      <w:rFonts w:ascii="Arial" w:hAnsi="Arial" w:cs="Arial"/>
      <w:color w:val="000000"/>
      <w:sz w:val="24"/>
      <w:szCs w:val="24"/>
      <w:u w:val="none"/>
    </w:rPr>
  </w:style>
  <w:style w:type="character" w:customStyle="1" w:styleId="170">
    <w:name w:val="font91"/>
    <w:basedOn w:val="44"/>
    <w:qFormat/>
    <w:uiPriority w:val="0"/>
    <w:rPr>
      <w:rFonts w:hint="default" w:ascii="Arial" w:hAnsi="Arial" w:cs="Arial"/>
      <w:color w:val="000000"/>
      <w:sz w:val="24"/>
      <w:szCs w:val="24"/>
      <w:u w:val="none"/>
    </w:rPr>
  </w:style>
  <w:style w:type="character" w:customStyle="1" w:styleId="171">
    <w:name w:val="font101"/>
    <w:basedOn w:val="44"/>
    <w:qFormat/>
    <w:uiPriority w:val="0"/>
    <w:rPr>
      <w:rFonts w:hint="eastAsia" w:ascii="宋体" w:hAnsi="宋体" w:eastAsia="宋体" w:cs="宋体"/>
      <w:color w:val="000000"/>
      <w:sz w:val="24"/>
      <w:szCs w:val="24"/>
      <w:u w:val="none"/>
    </w:rPr>
  </w:style>
  <w:style w:type="character" w:customStyle="1" w:styleId="172">
    <w:name w:val="标题 1 Char1"/>
    <w:basedOn w:val="44"/>
    <w:qFormat/>
    <w:uiPriority w:val="0"/>
    <w:rPr>
      <w:rFonts w:asciiTheme="minorHAnsi" w:hAnsiTheme="minorHAnsi" w:eastAsiaTheme="minorEastAsia" w:cstheme="minorBidi"/>
      <w:b/>
      <w:bCs/>
      <w:kern w:val="44"/>
      <w:sz w:val="44"/>
      <w:szCs w:val="44"/>
    </w:rPr>
  </w:style>
  <w:style w:type="character" w:customStyle="1" w:styleId="173">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4">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5">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6">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7">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8">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9">
    <w:name w:val="标题 8 Char1"/>
    <w:basedOn w:val="44"/>
    <w:semiHidden/>
    <w:qFormat/>
    <w:uiPriority w:val="0"/>
    <w:rPr>
      <w:rFonts w:asciiTheme="majorHAnsi" w:hAnsiTheme="majorHAnsi" w:eastAsiaTheme="majorEastAsia" w:cstheme="majorBidi"/>
      <w:kern w:val="2"/>
      <w:sz w:val="24"/>
      <w:szCs w:val="24"/>
    </w:rPr>
  </w:style>
  <w:style w:type="character" w:customStyle="1" w:styleId="180">
    <w:name w:val="标题 9 Char1"/>
    <w:basedOn w:val="44"/>
    <w:semiHidden/>
    <w:qFormat/>
    <w:uiPriority w:val="0"/>
    <w:rPr>
      <w:rFonts w:asciiTheme="majorHAnsi" w:hAnsiTheme="majorHAnsi" w:eastAsiaTheme="majorEastAsia" w:cstheme="majorBidi"/>
      <w:kern w:val="2"/>
      <w:sz w:val="21"/>
      <w:szCs w:val="21"/>
    </w:rPr>
  </w:style>
  <w:style w:type="paragraph" w:customStyle="1" w:styleId="181">
    <w:name w:val="列出段落11"/>
    <w:basedOn w:val="1"/>
    <w:qFormat/>
    <w:uiPriority w:val="99"/>
    <w:pPr>
      <w:ind w:firstLine="420" w:firstLineChars="200"/>
    </w:pPr>
    <w:rPr>
      <w:rFonts w:ascii="Calibri" w:hAnsi="Calibri" w:eastAsia="宋体" w:cs="Times New Roman"/>
    </w:rPr>
  </w:style>
  <w:style w:type="paragraph" w:customStyle="1" w:styleId="182">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3">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4">
    <w:name w:val="网格型1"/>
    <w:basedOn w:val="42"/>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5">
    <w:name w:val="网格型11"/>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TOC 标题1"/>
    <w:basedOn w:val="4"/>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列表段落1"/>
    <w:basedOn w:val="1"/>
    <w:qFormat/>
    <w:uiPriority w:val="0"/>
    <w:pPr>
      <w:ind w:firstLine="420" w:firstLineChars="200"/>
    </w:pPr>
    <w:rPr>
      <w:rFonts w:ascii="Calibri" w:hAnsi="Calibri" w:eastAsia="宋体" w:cs="Times New Roman"/>
    </w:rPr>
  </w:style>
  <w:style w:type="paragraph" w:customStyle="1" w:styleId="189">
    <w:name w:val="TOC 标题11"/>
    <w:basedOn w:val="4"/>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90">
    <w:name w:val="网格型2"/>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WPSOffice手动目录 1"/>
    <w:qFormat/>
    <w:uiPriority w:val="0"/>
    <w:pPr>
      <w:ind w:leftChars="0"/>
    </w:pPr>
    <w:rPr>
      <w:rFonts w:asciiTheme="minorHAnsi" w:hAnsiTheme="minorHAnsi" w:eastAsiaTheme="minorEastAsia" w:cstheme="minorBidi"/>
      <w:sz w:val="20"/>
      <w:szCs w:val="20"/>
    </w:rPr>
  </w:style>
  <w:style w:type="paragraph" w:customStyle="1" w:styleId="192">
    <w:name w:val="WPSOffice手动目录 2"/>
    <w:qFormat/>
    <w:uiPriority w:val="0"/>
    <w:pPr>
      <w:ind w:leftChars="200"/>
    </w:pPr>
    <w:rPr>
      <w:rFonts w:asciiTheme="minorHAnsi" w:hAnsiTheme="minorHAnsi" w:eastAsiaTheme="minorEastAsia" w:cstheme="minorBidi"/>
      <w:sz w:val="20"/>
      <w:szCs w:val="20"/>
    </w:rPr>
  </w:style>
  <w:style w:type="character" w:customStyle="1" w:styleId="193">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4">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5">
    <w:name w:val="179"/>
    <w:basedOn w:val="1"/>
    <w:qFormat/>
    <w:uiPriority w:val="0"/>
    <w:pPr>
      <w:spacing w:line="360" w:lineRule="auto"/>
      <w:ind w:firstLine="420" w:firstLineChars="200"/>
      <w:jc w:val="both"/>
      <w:textAlignment w:val="baseline"/>
    </w:pPr>
  </w:style>
  <w:style w:type="paragraph" w:customStyle="1" w:styleId="196">
    <w:name w:val="Heading3"/>
    <w:next w:val="197"/>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7">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8">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9">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200">
    <w:name w:val="Normal (Web)"/>
    <w:basedOn w:val="1"/>
    <w:qFormat/>
    <w:uiPriority w:val="0"/>
    <w:pPr>
      <w:widowControl/>
      <w:jc w:val="left"/>
    </w:pPr>
    <w:rPr>
      <w:rFonts w:hint="eastAsia" w:ascii="宋体" w:hAnsi="宋体" w:cs="Times New Roman"/>
      <w:kern w:val="0"/>
      <w:sz w:val="24"/>
    </w:rPr>
  </w:style>
  <w:style w:type="paragraph" w:customStyle="1" w:styleId="201">
    <w:name w:val="Other|1"/>
    <w:basedOn w:val="1"/>
    <w:qFormat/>
    <w:uiPriority w:val="0"/>
    <w:pPr>
      <w:widowControl w:val="0"/>
      <w:shd w:val="clear" w:color="auto" w:fill="auto"/>
      <w:jc w:val="center"/>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29742</Words>
  <Characters>32513</Characters>
  <Lines>210</Lines>
  <Paragraphs>59</Paragraphs>
  <TotalTime>24</TotalTime>
  <ScaleCrop>false</ScaleCrop>
  <LinksUpToDate>false</LinksUpToDate>
  <CharactersWithSpaces>32992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Administrator</cp:lastModifiedBy>
  <dcterms:modified xsi:type="dcterms:W3CDTF">2022-08-24T10:37:25Z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CAFEDF2BDD5547A7A58A5062B4E55C97</vt:lpwstr>
  </property>
</Properties>
</file>