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000000"/>
          <w:sz w:val="88"/>
          <w:szCs w:val="88"/>
        </w:rPr>
      </w:pPr>
      <w:bookmarkStart w:id="0" w:name="_Toc12619"/>
    </w:p>
    <w:p>
      <w:pPr>
        <w:jc w:val="center"/>
        <w:rPr>
          <w:rFonts w:ascii="黑体" w:hAnsi="黑体" w:eastAsia="黑体" w:cs="黑体"/>
          <w:b/>
          <w:bCs/>
          <w:color w:val="000000"/>
          <w:sz w:val="88"/>
          <w:szCs w:val="88"/>
        </w:rPr>
      </w:pPr>
      <w:r>
        <w:rPr>
          <w:rFonts w:hint="eastAsia" w:ascii="黑体" w:hAnsi="黑体" w:eastAsia="黑体" w:cs="黑体"/>
          <w:b/>
          <w:bCs/>
          <w:color w:val="000000"/>
          <w:sz w:val="88"/>
          <w:szCs w:val="88"/>
          <w:lang w:eastAsia="zh-CN"/>
        </w:rPr>
        <w:t>随县县</w:t>
      </w:r>
      <w:r>
        <w:rPr>
          <w:rFonts w:hint="eastAsia" w:ascii="黑体" w:hAnsi="黑体" w:eastAsia="黑体" w:cs="黑体"/>
          <w:b/>
          <w:bCs/>
          <w:color w:val="000000"/>
          <w:sz w:val="88"/>
          <w:szCs w:val="88"/>
        </w:rPr>
        <w:t>级政府采购</w:t>
      </w:r>
    </w:p>
    <w:p>
      <w:pPr>
        <w:ind w:right="-88" w:rightChars="-42"/>
        <w:jc w:val="center"/>
        <w:rPr>
          <w:rFonts w:ascii="黑体" w:hAnsi="黑体" w:eastAsia="黑体" w:cs="黑体"/>
          <w:b/>
          <w:bCs/>
          <w:sz w:val="84"/>
          <w:szCs w:val="84"/>
        </w:rPr>
      </w:pPr>
    </w:p>
    <w:p>
      <w:pPr>
        <w:jc w:val="center"/>
        <w:rPr>
          <w:rFonts w:ascii="黑体" w:hAnsi="黑体" w:eastAsia="黑体" w:cs="黑体"/>
          <w:b/>
          <w:bCs/>
          <w:color w:val="000000"/>
          <w:sz w:val="84"/>
          <w:szCs w:val="84"/>
        </w:rPr>
      </w:pPr>
      <w:r>
        <w:rPr>
          <w:rFonts w:hint="eastAsia" w:ascii="黑体" w:hAnsi="黑体" w:eastAsia="黑体" w:cs="黑体"/>
          <w:b/>
          <w:bCs/>
          <w:color w:val="000000"/>
          <w:sz w:val="84"/>
          <w:szCs w:val="84"/>
          <w:lang w:val="en-US" w:eastAsia="zh-CN"/>
        </w:rPr>
        <w:t>招标</w:t>
      </w:r>
      <w:r>
        <w:rPr>
          <w:rFonts w:hint="eastAsia" w:ascii="黑体" w:hAnsi="黑体" w:eastAsia="黑体" w:cs="黑体"/>
          <w:b/>
          <w:bCs/>
          <w:color w:val="000000"/>
          <w:sz w:val="84"/>
          <w:szCs w:val="84"/>
        </w:rPr>
        <w:t>文件</w:t>
      </w:r>
    </w:p>
    <w:p>
      <w:pPr>
        <w:pStyle w:val="17"/>
        <w:ind w:right="-88" w:rightChars="-42"/>
        <w:rPr>
          <w:rFonts w:ascii="仿宋" w:hAnsi="仿宋" w:eastAsia="仿宋" w:cs="黑体"/>
          <w:b/>
          <w:bCs/>
          <w:sz w:val="84"/>
          <w:szCs w:val="84"/>
        </w:rPr>
      </w:pPr>
    </w:p>
    <w:p/>
    <w:p>
      <w:pPr>
        <w:pStyle w:val="23"/>
        <w:tabs>
          <w:tab w:val="right" w:leader="dot" w:pos="8296"/>
        </w:tabs>
        <w:rPr>
          <w:rFonts w:ascii="仿宋" w:hAnsi="仿宋" w:eastAsia="仿宋"/>
          <w:i w:val="0"/>
          <w:iCs w:val="0"/>
          <w:sz w:val="32"/>
          <w:szCs w:val="32"/>
        </w:rPr>
      </w:pPr>
    </w:p>
    <w:p>
      <w:pPr>
        <w:keepNext w:val="0"/>
        <w:keepLines w:val="0"/>
        <w:pageBreakBefore w:val="0"/>
        <w:widowControl w:val="0"/>
        <w:kinsoku/>
        <w:wordWrap/>
        <w:overflowPunct/>
        <w:topLinePunct w:val="0"/>
        <w:autoSpaceDE/>
        <w:autoSpaceDN/>
        <w:bidi w:val="0"/>
        <w:adjustRightInd/>
        <w:snapToGrid/>
        <w:ind w:right="420" w:rightChars="200" w:firstLine="1280" w:firstLineChars="400"/>
        <w:jc w:val="left"/>
        <w:textAlignment w:val="auto"/>
        <w:rPr>
          <w:rFonts w:hint="default" w:ascii="Times New Roman" w:hAnsi="Times New Roman" w:cs="Times New Roman"/>
          <w:color w:val="auto"/>
          <w:sz w:val="32"/>
          <w:szCs w:val="32"/>
          <w:lang w:val="en-US" w:eastAsia="zh-CN"/>
        </w:rPr>
      </w:pPr>
      <w:r>
        <w:rPr>
          <w:rFonts w:hint="eastAsia" w:ascii="仿宋" w:hAnsi="仿宋" w:eastAsia="仿宋" w:cs="Times New Roman"/>
          <w:sz w:val="32"/>
          <w:szCs w:val="32"/>
        </w:rPr>
        <w:t>项目编号：</w:t>
      </w:r>
      <w:r>
        <w:rPr>
          <w:rFonts w:hint="eastAsia" w:ascii="Times New Roman" w:hAnsi="Times New Roman" w:cs="Times New Roman"/>
          <w:color w:val="auto"/>
          <w:sz w:val="32"/>
          <w:szCs w:val="32"/>
          <w:lang w:val="en-US" w:eastAsia="zh-CN"/>
        </w:rPr>
        <w:t>SXZC-2022-0012</w:t>
      </w:r>
    </w:p>
    <w:p>
      <w:pPr>
        <w:spacing w:line="360" w:lineRule="auto"/>
        <w:ind w:left="2877" w:leftChars="608" w:hanging="1600" w:hangingChars="500"/>
        <w:rPr>
          <w:rFonts w:hint="eastAsia" w:ascii="仿宋" w:hAnsi="仿宋" w:eastAsia="仿宋" w:cs="Times New Roman"/>
          <w:sz w:val="32"/>
          <w:szCs w:val="32"/>
          <w:lang w:val="en-US" w:eastAsia="zh-CN"/>
        </w:rPr>
      </w:pPr>
      <w:r>
        <w:rPr>
          <w:rFonts w:hint="eastAsia" w:ascii="仿宋" w:hAnsi="仿宋" w:eastAsia="仿宋" w:cs="Times New Roman"/>
          <w:sz w:val="32"/>
          <w:szCs w:val="32"/>
        </w:rPr>
        <w:t>项目名称：</w:t>
      </w:r>
      <w:r>
        <w:rPr>
          <w:rFonts w:hint="eastAsia" w:ascii="仿宋" w:hAnsi="仿宋" w:eastAsia="仿宋" w:cs="Times New Roman"/>
          <w:sz w:val="32"/>
          <w:szCs w:val="32"/>
          <w:lang w:val="en-US" w:eastAsia="zh-CN"/>
        </w:rPr>
        <w:t>洪山、万和应急救援中心配套执勤信息化消防指挥平台及会议系统采购项目</w:t>
      </w:r>
    </w:p>
    <w:p>
      <w:pPr>
        <w:spacing w:line="360" w:lineRule="auto"/>
        <w:ind w:left="2877" w:leftChars="608" w:hanging="1600" w:hangingChars="5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招标</w:t>
      </w:r>
      <w:r>
        <w:rPr>
          <w:rFonts w:hint="eastAsia" w:ascii="仿宋" w:hAnsi="仿宋" w:eastAsia="仿宋" w:cs="Times New Roman"/>
          <w:sz w:val="32"/>
          <w:szCs w:val="32"/>
        </w:rPr>
        <w:t>内容：</w:t>
      </w:r>
      <w:r>
        <w:rPr>
          <w:rFonts w:hint="eastAsia" w:ascii="仿宋" w:hAnsi="仿宋" w:eastAsia="仿宋" w:cs="Times New Roman"/>
          <w:sz w:val="32"/>
          <w:szCs w:val="32"/>
          <w:lang w:val="en-US" w:eastAsia="zh-CN"/>
        </w:rPr>
        <w:t>信息化消防指挥平台及会议系统</w:t>
      </w:r>
    </w:p>
    <w:p>
      <w:pPr>
        <w:spacing w:line="360" w:lineRule="auto"/>
        <w:ind w:firstLine="1273" w:firstLineChars="398"/>
        <w:rPr>
          <w:rFonts w:ascii="仿宋" w:hAnsi="仿宋" w:eastAsia="仿宋" w:cs="Times New Roman"/>
          <w:sz w:val="32"/>
          <w:szCs w:val="32"/>
        </w:rPr>
      </w:pPr>
    </w:p>
    <w:p>
      <w:pPr>
        <w:spacing w:line="360" w:lineRule="auto"/>
        <w:ind w:right="-88" w:rightChars="-42" w:firstLine="1280" w:firstLineChars="400"/>
        <w:rPr>
          <w:rFonts w:ascii="仿宋" w:hAnsi="仿宋" w:eastAsia="仿宋" w:cs="Times New Roman"/>
          <w:sz w:val="32"/>
          <w:szCs w:val="32"/>
        </w:rPr>
      </w:pPr>
    </w:p>
    <w:p>
      <w:pPr>
        <w:pStyle w:val="23"/>
        <w:tabs>
          <w:tab w:val="right" w:leader="dot" w:pos="8296"/>
        </w:tabs>
        <w:ind w:left="0" w:leftChars="0" w:right="-88" w:rightChars="-42" w:firstLine="0" w:firstLineChars="0"/>
        <w:rPr>
          <w:rFonts w:ascii="仿宋" w:hAnsi="仿宋" w:eastAsia="仿宋"/>
          <w:i w:val="0"/>
        </w:rPr>
      </w:pPr>
    </w:p>
    <w:p>
      <w:pPr>
        <w:rPr>
          <w:rFonts w:ascii="仿宋" w:hAnsi="仿宋" w:eastAsia="仿宋"/>
          <w:i w:val="0"/>
        </w:rPr>
      </w:pPr>
    </w:p>
    <w:p>
      <w:pPr>
        <w:pStyle w:val="19"/>
      </w:pPr>
    </w:p>
    <w:p>
      <w:pPr>
        <w:tabs>
          <w:tab w:val="left" w:pos="2625"/>
          <w:tab w:val="left" w:pos="7939"/>
        </w:tabs>
        <w:spacing w:line="360" w:lineRule="auto"/>
        <w:ind w:right="-88" w:rightChars="-42"/>
        <w:jc w:val="center"/>
        <w:rPr>
          <w:rFonts w:ascii="仿宋" w:hAnsi="仿宋" w:eastAsia="仿宋" w:cs="Times New Roman"/>
          <w:b/>
          <w:bCs/>
          <w:sz w:val="32"/>
          <w:szCs w:val="32"/>
        </w:rPr>
      </w:pPr>
      <w:r>
        <w:rPr>
          <w:rFonts w:hint="eastAsia" w:ascii="仿宋" w:hAnsi="仿宋" w:eastAsia="仿宋" w:cs="Times New Roman"/>
          <w:b/>
          <w:bCs/>
          <w:sz w:val="32"/>
          <w:szCs w:val="32"/>
          <w:lang w:eastAsia="zh-CN"/>
        </w:rPr>
        <w:t>随县</w:t>
      </w:r>
      <w:r>
        <w:rPr>
          <w:rFonts w:hint="eastAsia" w:ascii="仿宋" w:hAnsi="仿宋" w:eastAsia="仿宋" w:cs="Times New Roman"/>
          <w:b/>
          <w:bCs/>
          <w:sz w:val="32"/>
          <w:szCs w:val="32"/>
        </w:rPr>
        <w:t>政府采购中心</w:t>
      </w:r>
    </w:p>
    <w:p>
      <w:pPr>
        <w:tabs>
          <w:tab w:val="left" w:pos="2625"/>
          <w:tab w:val="left" w:pos="7939"/>
        </w:tabs>
        <w:spacing w:line="360" w:lineRule="auto"/>
        <w:ind w:right="-88" w:rightChars="-42"/>
        <w:jc w:val="center"/>
        <w:rPr>
          <w:rFonts w:hint="eastAsia" w:ascii="仿宋" w:hAnsi="仿宋" w:eastAsia="仿宋" w:cs="Times New Roman"/>
          <w:b/>
          <w:bCs/>
          <w:sz w:val="32"/>
          <w:szCs w:val="32"/>
        </w:rPr>
      </w:pPr>
      <w:bookmarkStart w:id="1" w:name="_Toc97735148"/>
      <w:r>
        <w:rPr>
          <w:rFonts w:ascii="仿宋" w:hAnsi="仿宋" w:eastAsia="仿宋" w:cs="Times New Roman"/>
          <w:b/>
          <w:bCs/>
          <w:sz w:val="32"/>
          <w:szCs w:val="32"/>
        </w:rPr>
        <w:t>202</w:t>
      </w:r>
      <w:r>
        <w:rPr>
          <w:rFonts w:hint="eastAsia" w:ascii="仿宋" w:hAnsi="仿宋" w:eastAsia="仿宋" w:cs="Times New Roman"/>
          <w:b/>
          <w:bCs/>
          <w:sz w:val="32"/>
          <w:szCs w:val="32"/>
        </w:rPr>
        <w:t>2年</w:t>
      </w:r>
      <w:r>
        <w:rPr>
          <w:rFonts w:hint="eastAsia" w:ascii="仿宋" w:hAnsi="仿宋" w:eastAsia="仿宋" w:cs="Times New Roman"/>
          <w:b/>
          <w:bCs/>
          <w:sz w:val="32"/>
          <w:szCs w:val="32"/>
          <w:lang w:val="en-US" w:eastAsia="zh-CN"/>
        </w:rPr>
        <w:t>12</w:t>
      </w:r>
      <w:r>
        <w:rPr>
          <w:rFonts w:hint="eastAsia" w:ascii="仿宋" w:hAnsi="仿宋" w:eastAsia="仿宋" w:cs="Times New Roman"/>
          <w:b/>
          <w:bCs/>
          <w:sz w:val="32"/>
          <w:szCs w:val="32"/>
        </w:rPr>
        <w:t>月</w:t>
      </w:r>
      <w:bookmarkEnd w:id="1"/>
    </w:p>
    <w:p>
      <w:pPr>
        <w:pStyle w:val="19"/>
        <w:rPr>
          <w:rFonts w:hint="eastAsia" w:ascii="仿宋" w:hAnsi="仿宋" w:eastAsia="仿宋" w:cs="Times New Roman"/>
          <w:b/>
          <w:bCs/>
          <w:sz w:val="32"/>
          <w:szCs w:val="32"/>
        </w:rPr>
      </w:pPr>
    </w:p>
    <w:p>
      <w:pPr>
        <w:widowControl/>
        <w:suppressLineNumbers/>
        <w:spacing w:line="360" w:lineRule="auto"/>
        <w:ind w:right="-19"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pPr>
        <w:pStyle w:val="23"/>
        <w:tabs>
          <w:tab w:val="right" w:leader="dot" w:pos="8296"/>
        </w:tabs>
        <w:ind w:left="840"/>
        <w:rPr>
          <w:lang w:val="zh-CN"/>
        </w:rPr>
      </w:pP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一、一 律不接受纸质投标文件，只接受具备法律效力的电子投标文件。供应商参加投标前，应当</w:t>
      </w:r>
      <w:r>
        <w:rPr>
          <w:rFonts w:hint="eastAsia" w:ascii="仿宋" w:hAnsi="仿宋" w:eastAsia="仿宋" w:cs="仿宋"/>
          <w:b/>
          <w:bCs/>
          <w:sz w:val="24"/>
          <w:szCs w:val="24"/>
        </w:rPr>
        <w:t>在湖北省政府电子采购平台进行注册并</w:t>
      </w:r>
      <w:r>
        <w:rPr>
          <w:rFonts w:hint="eastAsia" w:ascii="仿宋" w:hAnsi="仿宋" w:eastAsia="仿宋" w:cs="仿宋"/>
          <w:b/>
          <w:bCs/>
          <w:sz w:val="24"/>
          <w:szCs w:val="24"/>
          <w:lang w:val="zh-CN"/>
        </w:rPr>
        <w:t>办理CA数字证书和电子签章。</w:t>
      </w: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三、 供应商应于投标截止前上传电子投标文件,同时供应商应充分考虑上传电子投标文件时的不可预见因素，逾期或错误投递的投标文件恕不接收。</w:t>
      </w:r>
    </w:p>
    <w:p>
      <w:pPr>
        <w:widowControl/>
        <w:suppressLineNumbers/>
        <w:spacing w:line="480" w:lineRule="auto"/>
        <w:ind w:right="-19" w:rightChars="-9" w:firstLine="422" w:firstLineChars="175"/>
        <w:jc w:val="left"/>
        <w:rPr>
          <w:rFonts w:ascii="仿宋" w:hAnsi="仿宋" w:eastAsia="仿宋" w:cs="仿宋"/>
          <w:sz w:val="24"/>
          <w:szCs w:val="24"/>
          <w:lang w:val="zh-CN"/>
        </w:rPr>
      </w:pPr>
      <w:r>
        <w:rPr>
          <w:rFonts w:hint="eastAsia" w:ascii="仿宋" w:hAnsi="仿宋" w:eastAsia="仿宋" w:cs="仿宋"/>
          <w:b/>
          <w:bCs/>
          <w:sz w:val="24"/>
          <w:szCs w:val="24"/>
          <w:lang w:val="zh-CN"/>
        </w:rPr>
        <w:t>四、供应商应按照</w:t>
      </w:r>
      <w:r>
        <w:rPr>
          <w:rFonts w:hint="eastAsia" w:ascii="仿宋" w:hAnsi="仿宋" w:eastAsia="仿宋" w:cs="仿宋"/>
          <w:b/>
          <w:bCs/>
          <w:sz w:val="24"/>
          <w:szCs w:val="24"/>
          <w:lang w:val="en-US" w:eastAsia="zh-CN"/>
        </w:rPr>
        <w:t>随县</w:t>
      </w:r>
      <w:r>
        <w:rPr>
          <w:rFonts w:hint="eastAsia" w:ascii="仿宋" w:hAnsi="仿宋" w:eastAsia="仿宋" w:cs="仿宋"/>
          <w:b/>
          <w:bCs/>
          <w:sz w:val="24"/>
          <w:szCs w:val="24"/>
        </w:rPr>
        <w:t>政府电子采购平台</w:t>
      </w:r>
      <w:r>
        <w:rPr>
          <w:rFonts w:hint="eastAsia" w:ascii="仿宋" w:hAnsi="仿宋" w:eastAsia="仿宋" w:cs="仿宋"/>
          <w:b/>
          <w:bCs/>
          <w:sz w:val="24"/>
          <w:szCs w:val="24"/>
          <w:lang w:val="zh-CN"/>
        </w:rPr>
        <w:t>的要求, 对</w:t>
      </w:r>
      <w:r>
        <w:rPr>
          <w:rFonts w:hint="eastAsia" w:ascii="仿宋" w:hAnsi="仿宋" w:eastAsia="仿宋" w:cs="仿宋"/>
          <w:b/>
          <w:bCs/>
          <w:sz w:val="24"/>
          <w:szCs w:val="24"/>
        </w:rPr>
        <w:t>平台</w:t>
      </w:r>
      <w:r>
        <w:rPr>
          <w:rFonts w:hint="eastAsia" w:ascii="仿宋" w:hAnsi="仿宋" w:eastAsia="仿宋" w:cs="仿宋"/>
          <w:b/>
          <w:bCs/>
          <w:sz w:val="24"/>
          <w:szCs w:val="24"/>
          <w:lang w:val="zh-CN"/>
        </w:rPr>
        <w:t>每一项要求上传对应的证明文件或投标内容。如未按照</w:t>
      </w:r>
      <w:r>
        <w:rPr>
          <w:rFonts w:hint="eastAsia" w:ascii="仿宋" w:hAnsi="仿宋" w:eastAsia="仿宋" w:cs="仿宋"/>
          <w:b/>
          <w:bCs/>
          <w:sz w:val="24"/>
          <w:szCs w:val="24"/>
        </w:rPr>
        <w:t>平台</w:t>
      </w:r>
      <w:r>
        <w:rPr>
          <w:rFonts w:hint="eastAsia" w:ascii="仿宋" w:hAnsi="仿宋" w:eastAsia="仿宋" w:cs="仿宋"/>
          <w:b/>
          <w:bCs/>
          <w:sz w:val="24"/>
          <w:szCs w:val="24"/>
          <w:lang w:val="zh-CN"/>
        </w:rPr>
        <w:t>要求对应上传的，采购代理机构、评标委员会可视为其未提供该项的证明文件或投标内容。</w:t>
      </w:r>
    </w:p>
    <w:p>
      <w:pPr>
        <w:widowControl/>
        <w:suppressLineNumbers/>
        <w:spacing w:line="480" w:lineRule="auto"/>
        <w:ind w:right="-19" w:rightChars="-9" w:firstLine="422" w:firstLineChars="175"/>
        <w:jc w:val="left"/>
        <w:rPr>
          <w:rFonts w:ascii="仿宋" w:hAnsi="仿宋" w:eastAsia="仿宋" w:cs="仿宋"/>
          <w:b/>
          <w:sz w:val="24"/>
          <w:szCs w:val="24"/>
          <w:lang w:val="zh-CN"/>
        </w:rPr>
      </w:pPr>
      <w:r>
        <w:rPr>
          <w:rFonts w:hint="eastAsia" w:ascii="仿宋" w:hAnsi="仿宋" w:eastAsia="仿宋" w:cs="仿宋"/>
          <w:b/>
          <w:bCs/>
          <w:sz w:val="24"/>
          <w:szCs w:val="24"/>
          <w:lang w:val="zh-CN"/>
        </w:rPr>
        <w:t>五、</w:t>
      </w:r>
      <w:r>
        <w:rPr>
          <w:rFonts w:hint="eastAsia" w:ascii="仿宋" w:hAnsi="仿宋" w:eastAsia="仿宋" w:cs="仿宋"/>
          <w:b/>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pPr>
        <w:widowControl/>
        <w:suppressLineNumbers/>
        <w:spacing w:line="480" w:lineRule="auto"/>
        <w:ind w:right="-19"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lang w:val="zh-CN" w:eastAsia="zh-CN"/>
        </w:rPr>
        <w:t>六</w:t>
      </w:r>
      <w:r>
        <w:rPr>
          <w:rFonts w:hint="eastAsia" w:ascii="仿宋" w:hAnsi="仿宋" w:eastAsia="仿宋" w:cs="仿宋"/>
          <w:b/>
          <w:sz w:val="24"/>
          <w:szCs w:val="24"/>
          <w:lang w:val="zh-CN"/>
        </w:rPr>
        <w:t>、</w:t>
      </w:r>
      <w:r>
        <w:rPr>
          <w:rFonts w:hint="eastAsia" w:ascii="仿宋" w:hAnsi="仿宋" w:eastAsia="仿宋" w:cs="仿宋"/>
          <w:b/>
          <w:sz w:val="24"/>
          <w:szCs w:val="24"/>
          <w:lang w:eastAsia="zh-CN"/>
        </w:rPr>
        <w:t>随县</w:t>
      </w:r>
      <w:r>
        <w:rPr>
          <w:rFonts w:hint="eastAsia" w:ascii="仿宋" w:hAnsi="仿宋" w:eastAsia="仿宋" w:cs="仿宋"/>
          <w:b/>
          <w:sz w:val="24"/>
          <w:szCs w:val="24"/>
          <w:lang w:val="zh-CN"/>
        </w:rPr>
        <w:t>政府采购中心为采购代理机构，不对供应商提交的相关资料的真实性负责，如供应商发现相关资料被盗用或复制，应遵循法律途径解决，追究侵权者责任。</w:t>
      </w:r>
    </w:p>
    <w:p>
      <w:pPr>
        <w:rPr>
          <w:rFonts w:hint="eastAsia" w:ascii="仿宋" w:hAnsi="仿宋" w:eastAsia="仿宋" w:cs="Times New Roman"/>
          <w:b/>
          <w:bCs/>
          <w:sz w:val="32"/>
          <w:szCs w:val="32"/>
        </w:rPr>
      </w:pPr>
      <w:r>
        <w:rPr>
          <w:rFonts w:hint="eastAsia" w:ascii="仿宋" w:hAnsi="仿宋" w:eastAsia="仿宋" w:cs="仿宋"/>
          <w:b/>
          <w:sz w:val="24"/>
          <w:szCs w:val="24"/>
          <w:lang w:val="zh-CN"/>
        </w:rPr>
        <w:t>(本提示内容非招标文件的组成部分，仅为善意提醒。</w:t>
      </w:r>
      <w:r>
        <w:rPr>
          <w:rFonts w:hint="eastAsia" w:ascii="仿宋" w:hAnsi="仿宋" w:eastAsia="仿宋" w:cs="仿宋"/>
          <w:b/>
          <w:bCs/>
          <w:sz w:val="24"/>
          <w:szCs w:val="24"/>
          <w:lang w:val="zh-CN"/>
        </w:rPr>
        <w:t>如有不一致，以招标文件为准。</w:t>
      </w:r>
      <w:r>
        <w:rPr>
          <w:rFonts w:hint="eastAsia" w:ascii="仿宋" w:hAnsi="仿宋" w:eastAsia="仿宋" w:cs="仿宋"/>
          <w:sz w:val="24"/>
          <w:szCs w:val="24"/>
          <w:lang w:val="zh-CN"/>
        </w:rPr>
        <w:t>)</w:t>
      </w:r>
    </w:p>
    <w:p>
      <w:pPr>
        <w:pStyle w:val="19"/>
        <w:rPr>
          <w:rFonts w:hint="eastAsia" w:ascii="仿宋" w:hAnsi="仿宋" w:eastAsia="仿宋" w:cs="Times New Roman"/>
          <w:b/>
          <w:bCs/>
          <w:sz w:val="32"/>
          <w:szCs w:val="32"/>
        </w:rPr>
      </w:pPr>
    </w:p>
    <w:p>
      <w:pPr>
        <w:rPr>
          <w:rFonts w:hint="eastAsia" w:ascii="仿宋" w:hAnsi="仿宋" w:eastAsia="仿宋" w:cs="Times New Roman"/>
          <w:b/>
          <w:bCs/>
          <w:sz w:val="32"/>
          <w:szCs w:val="32"/>
        </w:rPr>
      </w:pPr>
    </w:p>
    <w:p>
      <w:pPr>
        <w:pStyle w:val="19"/>
        <w:rPr>
          <w:rFonts w:hint="eastAsia" w:ascii="仿宋" w:hAnsi="仿宋" w:eastAsia="仿宋" w:cs="Times New Roman"/>
          <w:b/>
          <w:bCs/>
          <w:sz w:val="32"/>
          <w:szCs w:val="32"/>
        </w:rPr>
      </w:pPr>
    </w:p>
    <w:p>
      <w:pPr>
        <w:rPr>
          <w:rFonts w:hint="eastAsia" w:ascii="仿宋" w:hAnsi="仿宋" w:eastAsia="仿宋" w:cs="Times New Roman"/>
          <w:b/>
          <w:bCs/>
          <w:sz w:val="32"/>
          <w:szCs w:val="32"/>
        </w:rPr>
      </w:pPr>
    </w:p>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pPr>
            <w:pStyle w:val="192"/>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 xml:space="preserve">第一章 </w:t>
          </w:r>
          <w:r>
            <w:rPr>
              <w:rFonts w:hint="eastAsia" w:ascii="Times New Roman" w:hAnsi="Times New Roman" w:cs="Times New Roman"/>
              <w:b/>
              <w:color w:val="auto"/>
              <w:sz w:val="30"/>
              <w:szCs w:val="30"/>
              <w:lang w:val="en-US" w:eastAsia="zh-CN" w:bidi="ar-EG"/>
            </w:rPr>
            <w:t xml:space="preserve"> </w:t>
          </w:r>
          <w:r>
            <w:rPr>
              <w:rFonts w:hint="eastAsia" w:ascii="Times New Roman" w:hAnsi="Times New Roman" w:cs="Times New Roman"/>
              <w:b/>
              <w:color w:val="auto"/>
              <w:sz w:val="30"/>
              <w:szCs w:val="30"/>
              <w:lang w:val="hr-HR" w:bidi="ar-EG"/>
            </w:rPr>
            <w:t>邀请</w:t>
          </w:r>
          <w:r>
            <w:rPr>
              <w:rFonts w:hint="eastAsia"/>
              <w:b/>
              <w:color w:val="auto"/>
              <w:sz w:val="30"/>
              <w:szCs w:val="30"/>
              <w:lang w:val="en-US" w:eastAsia="zh-CN"/>
            </w:rPr>
            <w:t>函</w:t>
          </w:r>
          <w:r>
            <w:rPr>
              <w:b/>
              <w:color w:val="auto"/>
              <w:sz w:val="30"/>
              <w:szCs w:val="30"/>
            </w:rPr>
            <w:fldChar w:fldCharType="end"/>
          </w:r>
        </w:p>
        <w:p>
          <w:pPr>
            <w:pStyle w:val="192"/>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w:t>
          </w:r>
          <w:r>
            <w:rPr>
              <w:rFonts w:hint="eastAsia" w:ascii="Times New Roman" w:hAnsi="Times New Roman" w:cs="Times New Roman"/>
              <w:b/>
              <w:color w:val="auto"/>
              <w:sz w:val="30"/>
              <w:szCs w:val="30"/>
              <w:lang w:val="en-US" w:eastAsia="zh-CN" w:bidi="ar-EG"/>
            </w:rPr>
            <w:t xml:space="preserve">  </w:t>
          </w:r>
          <w:r>
            <w:rPr>
              <w:rFonts w:hint="eastAsia" w:ascii="Times New Roman" w:hAnsi="Times New Roman" w:cs="Times New Roman"/>
              <w:b/>
              <w:color w:val="auto"/>
              <w:sz w:val="30"/>
              <w:szCs w:val="30"/>
              <w:lang w:val="hr-HR" w:bidi="ar-EG"/>
            </w:rPr>
            <w:t>磋商须知</w:t>
          </w:r>
          <w:r>
            <w:rPr>
              <w:b/>
              <w:color w:val="auto"/>
              <w:sz w:val="30"/>
              <w:szCs w:val="30"/>
            </w:rPr>
            <w:fldChar w:fldCharType="end"/>
          </w:r>
        </w:p>
        <w:p>
          <w:pPr>
            <w:pStyle w:val="192"/>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en-US" w:eastAsia="zh-CN"/>
            </w:rPr>
            <w:t xml:space="preserve">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pPr>
            <w:pStyle w:val="192"/>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pPr>
            <w:pStyle w:val="192"/>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pPr>
            <w:pStyle w:val="192"/>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w:t>
          </w:r>
          <w:r>
            <w:rPr>
              <w:rFonts w:hint="eastAsia" w:ascii="Times New Roman" w:hAnsi="Times New Roman" w:cs="Times New Roman"/>
              <w:b/>
              <w:color w:val="auto"/>
              <w:sz w:val="30"/>
              <w:szCs w:val="30"/>
              <w:lang w:val="en-US" w:eastAsia="zh-CN"/>
            </w:rPr>
            <w:t xml:space="preserve">  </w:t>
          </w:r>
          <w:r>
            <w:rPr>
              <w:rFonts w:hint="eastAsia" w:ascii="Times New Roman" w:hAnsi="Times New Roman" w:cs="Times New Roman"/>
              <w:b/>
              <w:color w:val="auto"/>
              <w:sz w:val="30"/>
              <w:szCs w:val="30"/>
            </w:rPr>
            <w:t>响应文件格式</w:t>
          </w:r>
          <w:r>
            <w:rPr>
              <w:b/>
              <w:color w:val="auto"/>
              <w:sz w:val="30"/>
              <w:szCs w:val="30"/>
            </w:rPr>
            <w:fldChar w:fldCharType="end"/>
          </w: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rPr>
              <w:color w:val="auto"/>
            </w:rPr>
          </w:pPr>
        </w:p>
        <w:p>
          <w:pPr>
            <w:pStyle w:val="193"/>
            <w:tabs>
              <w:tab w:val="right" w:leader="dot" w:pos="8820"/>
            </w:tabs>
            <w:ind w:left="0" w:leftChars="0" w:firstLine="0" w:firstLineChars="0"/>
            <w:rPr>
              <w:color w:val="auto"/>
            </w:rPr>
          </w:pPr>
        </w:p>
        <w:p>
          <w:pPr>
            <w:pStyle w:val="193"/>
            <w:tabs>
              <w:tab w:val="right" w:leader="dot" w:pos="8820"/>
            </w:tabs>
            <w:ind w:left="0" w:leftChars="0" w:firstLine="0" w:firstLineChars="0"/>
            <w:rPr>
              <w:color w:val="auto"/>
            </w:rPr>
          </w:pPr>
        </w:p>
        <w:p>
          <w:pPr>
            <w:pStyle w:val="193"/>
            <w:tabs>
              <w:tab w:val="right" w:leader="dot" w:pos="8820"/>
            </w:tabs>
            <w:rPr>
              <w:color w:val="auto"/>
            </w:rPr>
          </w:pPr>
        </w:p>
        <w:p>
          <w:pPr>
            <w:rPr>
              <w:b/>
              <w:color w:val="auto"/>
            </w:rPr>
          </w:pPr>
          <w:r>
            <w:rPr>
              <w:b/>
              <w:color w:val="auto"/>
            </w:rPr>
            <w:fldChar w:fldCharType="end"/>
          </w:r>
        </w:p>
        <w:p>
          <w:pPr>
            <w:rPr>
              <w:color w:val="auto"/>
            </w:rPr>
          </w:pPr>
        </w:p>
      </w:sdtContent>
    </w:sdt>
    <w:p>
      <w:pPr>
        <w:numPr>
          <w:ilvl w:val="0"/>
          <w:numId w:val="0"/>
        </w:numPr>
        <w:spacing w:line="500" w:lineRule="exact"/>
        <w:jc w:val="both"/>
        <w:outlineLvl w:val="0"/>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en-US" w:eastAsia="zh-CN" w:bidi="ar-EG"/>
        </w:rPr>
        <w:t xml:space="preserve">                  第一章 </w:t>
      </w:r>
      <w:r>
        <w:rPr>
          <w:rFonts w:hint="eastAsia" w:ascii="Times New Roman" w:hAnsi="Times New Roman" w:cs="Times New Roman"/>
          <w:b/>
          <w:color w:val="auto"/>
          <w:sz w:val="36"/>
          <w:szCs w:val="36"/>
          <w:lang w:val="hr-HR" w:bidi="ar-EG"/>
        </w:rPr>
        <w:t xml:space="preserve"> </w:t>
      </w:r>
      <w:bookmarkStart w:id="2" w:name="_Toc27578"/>
      <w:r>
        <w:rPr>
          <w:rFonts w:hint="eastAsia" w:ascii="Times New Roman" w:hAnsi="Times New Roman" w:cs="Times New Roman"/>
          <w:b/>
          <w:color w:val="auto"/>
          <w:sz w:val="36"/>
          <w:szCs w:val="36"/>
          <w:lang w:val="hr-HR" w:bidi="ar-EG"/>
        </w:rPr>
        <w:t>邀请函</w:t>
      </w:r>
      <w:bookmarkEnd w:id="0"/>
      <w:bookmarkEnd w:id="2"/>
    </w:p>
    <w:p>
      <w:pPr>
        <w:pStyle w:val="23"/>
        <w:numPr>
          <w:ilvl w:val="0"/>
          <w:numId w:val="0"/>
        </w:numPr>
        <w:rPr>
          <w:color w:val="auto"/>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jc w:val="left"/>
        <w:textAlignment w:val="auto"/>
        <w:rPr>
          <w:rFonts w:hint="eastAsia"/>
          <w:lang w:eastAsia="zh-CN"/>
        </w:rPr>
      </w:pPr>
      <w:r>
        <w:rPr>
          <w:rFonts w:hint="eastAsia" w:ascii="宋体" w:hAnsi="宋体" w:eastAsia="宋体" w:cs="宋体"/>
          <w:sz w:val="24"/>
          <w:szCs w:val="24"/>
          <w:lang w:eastAsia="zh-CN"/>
        </w:rPr>
        <w:t>随县</w:t>
      </w:r>
      <w:r>
        <w:rPr>
          <w:rFonts w:hint="eastAsia" w:ascii="宋体" w:hAnsi="宋体" w:eastAsia="宋体" w:cs="宋体"/>
          <w:sz w:val="24"/>
          <w:szCs w:val="24"/>
          <w:lang w:val="en-US" w:eastAsia="zh-CN"/>
        </w:rPr>
        <w:t>消防救援大队本级洪山、万和应急救援中心配套执勤信息化消防指挥平台及会议系统采购项目</w:t>
      </w:r>
      <w:r>
        <w:rPr>
          <w:rFonts w:hint="eastAsia" w:ascii="宋体" w:hAnsi="宋体" w:eastAsia="宋体" w:cs="宋体"/>
          <w:sz w:val="24"/>
          <w:szCs w:val="24"/>
        </w:rPr>
        <w:t>的潜在供应</w:t>
      </w:r>
      <w:r>
        <w:rPr>
          <w:rFonts w:hint="eastAsia" w:ascii="宋体" w:hAnsi="宋体" w:eastAsia="宋体" w:cs="宋体"/>
          <w:sz w:val="24"/>
          <w:szCs w:val="24"/>
          <w:lang w:val="en-US" w:eastAsia="zh-CN"/>
        </w:rPr>
        <w:t>商应在随县政府电子采购平台</w:t>
      </w:r>
      <w:r>
        <w:rPr>
          <w:rFonts w:hint="eastAsia" w:ascii="宋体" w:hAnsi="宋体" w:eastAsia="宋体" w:cs="宋体"/>
          <w:sz w:val="24"/>
          <w:szCs w:val="24"/>
          <w:lang w:eastAsia="zh-CN"/>
        </w:rPr>
        <w:t>（https://dzcg.hubeigp.gov.cn/assets/special/100/hbenterpoint.html）获取采购</w:t>
      </w:r>
      <w:r>
        <w:rPr>
          <w:rFonts w:hint="eastAsia" w:ascii="宋体" w:hAnsi="宋体" w:eastAsia="宋体" w:cs="宋体"/>
          <w:sz w:val="24"/>
          <w:szCs w:val="24"/>
          <w:lang w:val="en-US" w:eastAsia="zh-CN"/>
        </w:rPr>
        <w:t>文件，并于2022年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日9点30分</w:t>
      </w:r>
      <w:r>
        <w:rPr>
          <w:rFonts w:hint="eastAsia" w:ascii="宋体" w:hAnsi="宋体" w:eastAsia="宋体" w:cs="宋体"/>
          <w:sz w:val="24"/>
          <w:szCs w:val="24"/>
          <w:lang w:eastAsia="zh-CN"/>
        </w:rPr>
        <w:t>前提交响应文件并签到。</w:t>
      </w: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hint="eastAsia" w:ascii="Times New Roman" w:hAnsi="Times New Roman" w:eastAsia="宋体" w:cs="Times New Roman"/>
          <w:b/>
          <w:bCs/>
          <w:color w:val="auto"/>
          <w:sz w:val="24"/>
          <w:szCs w:val="24"/>
        </w:rPr>
      </w:pPr>
      <w:bookmarkStart w:id="3" w:name="_Toc35393798"/>
      <w:bookmarkStart w:id="4" w:name="_Toc28359012"/>
      <w:bookmarkStart w:id="5" w:name="_Toc28359089"/>
      <w:bookmarkStart w:id="6" w:name="_Toc35393629"/>
      <w:bookmarkStart w:id="7" w:name="_Toc17951"/>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一、项目基本情况</w:t>
      </w:r>
      <w:bookmarkEnd w:id="3"/>
      <w:bookmarkEnd w:id="4"/>
      <w:bookmarkEnd w:id="5"/>
      <w:bookmarkEnd w:id="6"/>
      <w:bookmarkEnd w:id="7"/>
    </w:p>
    <w:p>
      <w:pPr>
        <w:spacing w:line="360" w:lineRule="auto"/>
        <w:ind w:right="-88" w:rightChars="-42" w:firstLine="420" w:firstLineChars="175"/>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sz w:val="24"/>
          <w:szCs w:val="24"/>
          <w:lang w:val="en-US" w:eastAsia="zh-CN"/>
        </w:rPr>
        <w:t>SXZC</w:t>
      </w:r>
      <w:r>
        <w:rPr>
          <w:rFonts w:hint="eastAsia" w:ascii="宋体" w:hAnsi="宋体" w:eastAsia="宋体" w:cs="宋体"/>
          <w:sz w:val="24"/>
          <w:szCs w:val="24"/>
        </w:rPr>
        <w:t>-</w:t>
      </w:r>
      <w:r>
        <w:rPr>
          <w:rFonts w:hint="eastAsia" w:ascii="宋体" w:hAnsi="宋体" w:eastAsia="宋体" w:cs="宋体"/>
          <w:sz w:val="24"/>
          <w:szCs w:val="24"/>
          <w:lang w:val="en-US" w:eastAsia="zh-CN"/>
        </w:rPr>
        <w:t>2022-00</w:t>
      </w:r>
      <w:r>
        <w:rPr>
          <w:rFonts w:hint="eastAsia" w:ascii="宋体" w:hAnsi="宋体" w:cs="宋体"/>
          <w:sz w:val="24"/>
          <w:szCs w:val="24"/>
          <w:lang w:val="en-US" w:eastAsia="zh-CN"/>
        </w:rPr>
        <w:t>12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cs="宋体"/>
          <w:sz w:val="24"/>
          <w:szCs w:val="24"/>
          <w:lang w:val="en-US" w:eastAsia="zh-CN"/>
        </w:rPr>
        <w:t>421321-2022-01632</w:t>
      </w:r>
    </w:p>
    <w:p>
      <w:pPr>
        <w:ind w:firstLine="424" w:firstLineChars="177"/>
        <w:rPr>
          <w:rFonts w:hint="eastAsia" w:ascii="宋体" w:hAnsi="宋体" w:eastAsia="宋体" w:cs="宋体"/>
          <w:sz w:val="24"/>
          <w:szCs w:val="24"/>
        </w:rPr>
      </w:pPr>
      <w:r>
        <w:rPr>
          <w:rFonts w:hint="eastAsia" w:ascii="宋体" w:hAnsi="宋体" w:eastAsia="宋体" w:cs="宋体"/>
          <w:color w:val="auto"/>
          <w:sz w:val="24"/>
          <w:szCs w:val="24"/>
        </w:rPr>
        <w:t>项目名称：</w:t>
      </w:r>
      <w:r>
        <w:rPr>
          <w:rFonts w:hint="eastAsia" w:ascii="宋体" w:hAnsi="宋体" w:eastAsia="宋体" w:cs="宋体"/>
          <w:sz w:val="24"/>
          <w:szCs w:val="24"/>
          <w:lang w:val="en-US" w:eastAsia="zh-CN"/>
        </w:rPr>
        <w:t>洪山、万和应急救援中心配套执勤信息化消防指挥平台及会议系统采购项目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rPr>
      </w:pPr>
      <w:r>
        <w:rPr>
          <w:rFonts w:hint="eastAsia" w:ascii="Times New Roman" w:hAnsi="Times New Roman" w:eastAsia="宋体" w:cs="Times New Roman"/>
          <w:color w:val="auto"/>
          <w:sz w:val="24"/>
          <w:szCs w:val="24"/>
        </w:rPr>
        <w:t>预算金额：</w:t>
      </w:r>
      <w:r>
        <w:rPr>
          <w:rFonts w:hint="eastAsia" w:ascii="宋体" w:hAnsi="宋体" w:eastAsia="宋体" w:cs="宋体"/>
          <w:sz w:val="24"/>
          <w:szCs w:val="24"/>
        </w:rPr>
        <w:t>人民币</w:t>
      </w:r>
      <w:r>
        <w:rPr>
          <w:rFonts w:hint="eastAsia" w:ascii="宋体" w:hAnsi="宋体" w:eastAsia="宋体" w:cs="宋体"/>
          <w:color w:val="auto"/>
          <w:sz w:val="24"/>
          <w:szCs w:val="24"/>
          <w:lang w:val="en-US" w:eastAsia="zh-CN"/>
        </w:rPr>
        <w:t>93.5</w:t>
      </w:r>
      <w:r>
        <w:rPr>
          <w:rFonts w:hint="eastAsia" w:ascii="宋体" w:hAnsi="宋体" w:eastAsia="宋体" w:cs="宋体"/>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宋体" w:hAnsi="宋体" w:eastAsia="宋体" w:cs="宋体"/>
          <w:sz w:val="24"/>
          <w:szCs w:val="24"/>
          <w:lang w:val="en-US" w:eastAsia="zh-CN"/>
        </w:rPr>
        <w:t>最高限价</w:t>
      </w:r>
      <w:r>
        <w:rPr>
          <w:rFonts w:hint="eastAsia" w:ascii="宋体" w:hAnsi="宋体" w:eastAsia="宋体" w:cs="宋体"/>
          <w:sz w:val="24"/>
          <w:szCs w:val="24"/>
        </w:rPr>
        <w:t>：人民币</w:t>
      </w:r>
      <w:r>
        <w:rPr>
          <w:rFonts w:hint="eastAsia" w:ascii="宋体" w:hAnsi="宋体" w:cs="宋体"/>
          <w:sz w:val="24"/>
          <w:szCs w:val="24"/>
          <w:lang w:val="en-US" w:eastAsia="zh-CN"/>
        </w:rPr>
        <w:t>93.5</w:t>
      </w:r>
      <w:r>
        <w:rPr>
          <w:rFonts w:hint="eastAsia" w:ascii="宋体" w:hAnsi="宋体" w:eastAsia="宋体" w:cs="宋体"/>
          <w:sz w:val="24"/>
          <w:szCs w:val="24"/>
        </w:rPr>
        <w:t>万元</w:t>
      </w:r>
      <w:r>
        <w:rPr>
          <w:rFonts w:hint="eastAsia" w:ascii="Times New Roman" w:hAnsi="Times New Roman" w:eastAsia="宋体" w:cs="Times New Roman"/>
          <w:color w:val="auto"/>
          <w:sz w:val="24"/>
          <w:szCs w:val="24"/>
        </w:rPr>
        <w:t xml:space="preserve">   </w:t>
      </w:r>
    </w:p>
    <w:p>
      <w:pPr>
        <w:widowControl/>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eastAsia="宋体" w:cs="宋体"/>
          <w:sz w:val="24"/>
          <w:szCs w:val="24"/>
          <w:lang w:val="en-US" w:eastAsia="zh-CN"/>
        </w:rPr>
        <w:t>信息化消防指挥平台及会议系统</w:t>
      </w:r>
      <w:r>
        <w:rPr>
          <w:rFonts w:hint="eastAsia" w:ascii="宋体" w:hAnsi="宋体" w:eastAsia="宋体" w:cs="宋体"/>
          <w:color w:val="auto"/>
          <w:sz w:val="24"/>
          <w:szCs w:val="24"/>
          <w:lang w:eastAsia="zh-CN"/>
        </w:rPr>
        <w:t>（具体内容</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rPr>
        <w:t>合同履行期限：</w:t>
      </w:r>
      <w:r>
        <w:rPr>
          <w:rFonts w:hint="eastAsia" w:ascii="Times New Roman" w:hAnsi="Times New Roman" w:eastAsia="宋体" w:cs="Times New Roman"/>
          <w:color w:val="auto"/>
          <w:sz w:val="24"/>
          <w:szCs w:val="24"/>
        </w:rPr>
        <w:t>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60个日历天内完成</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lang w:val="en-US" w:eastAsia="zh-CN"/>
        </w:rPr>
      </w:pPr>
      <w:r>
        <w:rPr>
          <w:rFonts w:hint="eastAsia" w:ascii="宋体" w:hAnsi="宋体" w:cs="宋体"/>
          <w:sz w:val="24"/>
          <w:szCs w:val="24"/>
        </w:rPr>
        <w:t>本项目（是/否）专门面向中小微企业：</w:t>
      </w:r>
      <w:r>
        <w:rPr>
          <w:rFonts w:hint="eastAsia" w:ascii="宋体" w:hAnsi="宋体" w:eastAsia="宋体" w:cs="宋体"/>
          <w:b/>
          <w:bCs/>
          <w:color w:val="auto"/>
          <w:sz w:val="24"/>
          <w:szCs w:val="24"/>
          <w:lang w:val="en-US" w:eastAsia="zh-CN"/>
        </w:rPr>
        <w:t>是</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8" w:name="_Toc28359090"/>
      <w:bookmarkStart w:id="9" w:name="_Toc35393799"/>
      <w:bookmarkStart w:id="10" w:name="_Toc35393630"/>
      <w:bookmarkStart w:id="11" w:name="_Toc30736"/>
      <w:bookmarkStart w:id="12" w:name="_Toc28359013"/>
      <w:r>
        <w:rPr>
          <w:rFonts w:hint="eastAsia" w:ascii="Times New Roman" w:hAnsi="Times New Roman" w:eastAsia="宋体" w:cs="Times New Roman"/>
          <w:b/>
          <w:bCs/>
          <w:color w:val="auto"/>
          <w:sz w:val="24"/>
          <w:szCs w:val="24"/>
        </w:rPr>
        <w:t>二、申请人的资格要求：</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3" w:name="_Toc28359091"/>
      <w:bookmarkStart w:id="14" w:name="_Toc28359014"/>
      <w:r>
        <w:rPr>
          <w:rFonts w:hint="eastAsia" w:ascii="宋体" w:hAnsi="宋体" w:eastAsia="宋体" w:cs="宋体"/>
          <w:color w:val="auto"/>
          <w:sz w:val="24"/>
          <w:szCs w:val="24"/>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b/>
          <w:bCs/>
          <w:color w:val="auto"/>
          <w:sz w:val="24"/>
          <w:szCs w:val="24"/>
          <w:lang w:eastAsia="zh-CN"/>
        </w:rPr>
        <w:t>专门面向中小企业</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6、本项目的特定资格要求：无</w:t>
      </w:r>
      <w:r>
        <w:rPr>
          <w:rFonts w:hint="eastAsia" w:ascii="宋体" w:hAnsi="宋体" w:eastAsia="宋体" w:cs="宋体"/>
          <w:color w:val="auto"/>
          <w:sz w:val="24"/>
          <w:szCs w:val="24"/>
          <w:lang w:eastAsia="zh-CN"/>
        </w:rPr>
        <w:t>。</w:t>
      </w:r>
    </w:p>
    <w:bookmarkEnd w:id="13"/>
    <w:bookmarkEnd w:id="14"/>
    <w:p>
      <w:pPr>
        <w:adjustRightInd w:val="0"/>
        <w:spacing w:line="360" w:lineRule="auto"/>
        <w:ind w:right="-88" w:rightChars="-42"/>
        <w:outlineLvl w:val="1"/>
        <w:rPr>
          <w:rFonts w:hint="eastAsia" w:ascii="宋体" w:hAnsi="宋体" w:eastAsia="宋体" w:cs="宋体"/>
          <w:b/>
          <w:bCs/>
          <w:sz w:val="24"/>
          <w:szCs w:val="24"/>
        </w:rPr>
      </w:pPr>
      <w:bookmarkStart w:id="15" w:name="_Toc22032"/>
      <w:r>
        <w:rPr>
          <w:rFonts w:hint="eastAsia" w:ascii="宋体" w:hAnsi="宋体" w:eastAsia="宋体" w:cs="宋体"/>
          <w:b/>
          <w:bCs/>
          <w:sz w:val="24"/>
          <w:szCs w:val="24"/>
        </w:rPr>
        <w:t>三、获取采购文件</w:t>
      </w:r>
    </w:p>
    <w:p>
      <w:pPr>
        <w:pStyle w:val="17"/>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b/>
          <w:bCs/>
          <w:sz w:val="24"/>
          <w:szCs w:val="24"/>
          <w:u w:val="single"/>
        </w:rPr>
        <w:t>2022年</w:t>
      </w:r>
      <w:r>
        <w:rPr>
          <w:rFonts w:hint="eastAsia" w:ascii="宋体" w:hAnsi="宋体" w:cs="宋体"/>
          <w:b/>
          <w:bCs/>
          <w:sz w:val="24"/>
          <w:szCs w:val="24"/>
          <w:u w:val="single"/>
          <w:lang w:val="en-US" w:eastAsia="zh-CN"/>
        </w:rPr>
        <w:t>12</w:t>
      </w:r>
      <w:r>
        <w:rPr>
          <w:rFonts w:hint="eastAsia" w:ascii="宋体" w:hAnsi="宋体" w:eastAsia="宋体" w:cs="宋体"/>
          <w:b/>
          <w:bCs/>
          <w:sz w:val="24"/>
          <w:szCs w:val="24"/>
          <w:u w:val="single"/>
        </w:rPr>
        <w:t>月</w:t>
      </w:r>
      <w:r>
        <w:rPr>
          <w:rFonts w:hint="eastAsia" w:ascii="宋体" w:hAnsi="宋体" w:cs="宋体"/>
          <w:b/>
          <w:bCs/>
          <w:sz w:val="24"/>
          <w:szCs w:val="24"/>
          <w:u w:val="single"/>
          <w:lang w:val="en-US" w:eastAsia="zh-CN"/>
        </w:rPr>
        <w:t>12</w:t>
      </w:r>
      <w:r>
        <w:rPr>
          <w:rFonts w:hint="eastAsia" w:ascii="宋体" w:hAnsi="宋体" w:eastAsia="宋体" w:cs="宋体"/>
          <w:b/>
          <w:bCs/>
          <w:sz w:val="24"/>
          <w:szCs w:val="24"/>
          <w:u w:val="single"/>
        </w:rPr>
        <w:t>日</w:t>
      </w:r>
      <w:r>
        <w:rPr>
          <w:rFonts w:hint="eastAsia" w:ascii="宋体" w:hAnsi="宋体" w:eastAsia="宋体" w:cs="宋体"/>
          <w:b/>
          <w:bCs/>
          <w:sz w:val="24"/>
          <w:szCs w:val="24"/>
        </w:rPr>
        <w:t xml:space="preserve">至 </w:t>
      </w:r>
      <w:r>
        <w:rPr>
          <w:rFonts w:hint="eastAsia" w:ascii="宋体" w:hAnsi="宋体" w:eastAsia="宋体" w:cs="宋体"/>
          <w:b/>
          <w:bCs/>
          <w:sz w:val="24"/>
          <w:szCs w:val="24"/>
          <w:u w:val="single"/>
        </w:rPr>
        <w:t>2022 年</w:t>
      </w:r>
      <w:r>
        <w:rPr>
          <w:rFonts w:hint="eastAsia" w:ascii="宋体" w:hAnsi="宋体" w:cs="宋体"/>
          <w:b/>
          <w:bCs/>
          <w:sz w:val="24"/>
          <w:szCs w:val="24"/>
          <w:u w:val="single"/>
          <w:lang w:val="en-US" w:eastAsia="zh-CN"/>
        </w:rPr>
        <w:t>12</w:t>
      </w:r>
      <w:r>
        <w:rPr>
          <w:rFonts w:hint="eastAsia" w:ascii="宋体" w:hAnsi="宋体" w:eastAsia="宋体" w:cs="宋体"/>
          <w:b/>
          <w:bCs/>
          <w:sz w:val="24"/>
          <w:szCs w:val="24"/>
          <w:u w:val="single"/>
        </w:rPr>
        <w:t>月</w:t>
      </w:r>
      <w:r>
        <w:rPr>
          <w:rFonts w:hint="eastAsia" w:ascii="宋体" w:hAnsi="宋体" w:cs="宋体"/>
          <w:b/>
          <w:bCs/>
          <w:sz w:val="24"/>
          <w:szCs w:val="24"/>
          <w:u w:val="single"/>
          <w:lang w:val="en-US" w:eastAsia="zh-CN"/>
        </w:rPr>
        <w:t>16</w:t>
      </w:r>
      <w:r>
        <w:rPr>
          <w:rFonts w:hint="eastAsia" w:ascii="宋体" w:hAnsi="宋体" w:eastAsia="宋体" w:cs="宋体"/>
          <w:b/>
          <w:bCs/>
          <w:sz w:val="24"/>
          <w:szCs w:val="24"/>
          <w:u w:val="single"/>
        </w:rPr>
        <w:t>日</w:t>
      </w:r>
      <w:r>
        <w:rPr>
          <w:rFonts w:hint="eastAsia" w:ascii="宋体" w:hAnsi="宋体" w:eastAsia="宋体" w:cs="宋体"/>
          <w:b/>
          <w:bCs/>
          <w:sz w:val="24"/>
          <w:szCs w:val="24"/>
        </w:rPr>
        <w:t>，</w:t>
      </w:r>
      <w:r>
        <w:rPr>
          <w:rFonts w:hint="eastAsia" w:ascii="宋体" w:hAnsi="宋体" w:eastAsia="宋体" w:cs="宋体"/>
          <w:sz w:val="24"/>
          <w:szCs w:val="24"/>
        </w:rPr>
        <w:t>每天上午 00:00 至 12:00，下午 12:00至 24:00（北京时间，法定节假日除外 ）</w:t>
      </w:r>
    </w:p>
    <w:p>
      <w:pPr>
        <w:spacing w:line="360" w:lineRule="auto"/>
        <w:ind w:right="-88" w:rightChars="-42" w:firstLine="480" w:firstLineChars="200"/>
        <w:rPr>
          <w:rFonts w:hint="eastAsia" w:ascii="宋体" w:hAnsi="宋体" w:eastAsia="宋体" w:cs="宋体"/>
          <w:spacing w:val="-2"/>
          <w:sz w:val="24"/>
          <w:szCs w:val="24"/>
        </w:rPr>
      </w:pPr>
      <w:r>
        <w:rPr>
          <w:rFonts w:hint="eastAsia" w:ascii="宋体" w:hAnsi="宋体" w:eastAsia="宋体" w:cs="宋体"/>
          <w:sz w:val="24"/>
          <w:szCs w:val="24"/>
        </w:rPr>
        <w:t>2、方式：网上下载获取，</w:t>
      </w:r>
      <w:r>
        <w:rPr>
          <w:rFonts w:hint="eastAsia" w:ascii="宋体" w:hAnsi="宋体" w:eastAsia="宋体" w:cs="宋体"/>
          <w:spacing w:val="-2"/>
          <w:sz w:val="24"/>
          <w:szCs w:val="24"/>
        </w:rPr>
        <w:t>登录</w:t>
      </w:r>
      <w:r>
        <w:rPr>
          <w:rFonts w:hint="eastAsia" w:ascii="宋体" w:hAnsi="宋体" w:eastAsia="宋体" w:cs="宋体"/>
          <w:spacing w:val="-2"/>
          <w:sz w:val="24"/>
          <w:szCs w:val="24"/>
          <w:lang w:eastAsia="zh-CN"/>
        </w:rPr>
        <w:t>随县</w:t>
      </w:r>
      <w:r>
        <w:rPr>
          <w:rFonts w:hint="eastAsia" w:ascii="宋体" w:hAnsi="宋体" w:eastAsia="宋体" w:cs="宋体"/>
          <w:spacing w:val="-2"/>
          <w:sz w:val="24"/>
          <w:szCs w:val="24"/>
        </w:rPr>
        <w:t>政府电子采购平台</w:t>
      </w:r>
      <w:r>
        <w:rPr>
          <w:rFonts w:hint="eastAsia" w:ascii="宋体" w:hAnsi="宋体" w:eastAsia="宋体" w:cs="宋体"/>
          <w:sz w:val="24"/>
          <w:szCs w:val="24"/>
        </w:rPr>
        <w:t>直接获取。</w:t>
      </w:r>
      <w:r>
        <w:rPr>
          <w:rFonts w:hint="eastAsia" w:ascii="宋体" w:hAnsi="宋体" w:eastAsia="宋体" w:cs="宋体"/>
          <w:spacing w:val="-3"/>
          <w:sz w:val="24"/>
          <w:szCs w:val="24"/>
        </w:rPr>
        <w:t>（https://dzcg.hubeigp.gov.cn/assets/special/100/hbenterpoint.html）流程如下：</w:t>
      </w:r>
    </w:p>
    <w:p>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3"/>
          <w:sz w:val="24"/>
          <w:szCs w:val="24"/>
        </w:rPr>
        <w:t>未注册账号的供应商。先完成账号注册，经审核通过后办理ＣＡ锁。方式：点击http://jycg.hubei.gov.cn进入湖北省公共资源电子交易（采购）平台，点击“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pacing w:line="360" w:lineRule="auto"/>
        <w:ind w:right="-88" w:rightChars="-42"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2）已办理 CA 的供应商。登录</w:t>
      </w:r>
      <w:r>
        <w:rPr>
          <w:rFonts w:hint="eastAsia" w:ascii="宋体" w:hAnsi="宋体" w:eastAsia="宋体" w:cs="宋体"/>
          <w:spacing w:val="-3"/>
          <w:sz w:val="24"/>
          <w:szCs w:val="24"/>
          <w:lang w:eastAsia="zh-CN"/>
        </w:rPr>
        <w:t>随县</w:t>
      </w:r>
      <w:r>
        <w:rPr>
          <w:rFonts w:hint="eastAsia" w:ascii="宋体" w:hAnsi="宋体" w:eastAsia="宋体" w:cs="宋体"/>
          <w:spacing w:val="-3"/>
          <w:sz w:val="24"/>
          <w:szCs w:val="24"/>
        </w:rPr>
        <w:t>政府电子采购平台，可在获取文件有效时间内直接下载采购文件。</w:t>
      </w:r>
    </w:p>
    <w:p>
      <w:pPr>
        <w:pStyle w:val="17"/>
        <w:tabs>
          <w:tab w:val="center" w:pos="4623"/>
        </w:tabs>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3、售价：0 元</w:t>
      </w:r>
      <w:r>
        <w:rPr>
          <w:rFonts w:hint="eastAsia" w:ascii="宋体" w:hAnsi="宋体" w:eastAsia="宋体" w:cs="宋体"/>
          <w:sz w:val="24"/>
          <w:szCs w:val="24"/>
        </w:rPr>
        <w:tab/>
      </w:r>
    </w:p>
    <w:p>
      <w:pPr>
        <w:spacing w:line="360" w:lineRule="auto"/>
        <w:ind w:right="-88" w:rightChars="-42"/>
        <w:outlineLvl w:val="1"/>
        <w:rPr>
          <w:rFonts w:hint="eastAsia" w:ascii="宋体" w:hAnsi="宋体" w:eastAsia="宋体" w:cs="宋体"/>
          <w:b/>
          <w:bCs/>
          <w:sz w:val="24"/>
          <w:szCs w:val="24"/>
        </w:rPr>
      </w:pPr>
      <w:bookmarkStart w:id="16" w:name="_Toc19714"/>
      <w:bookmarkStart w:id="17" w:name="_Toc2263"/>
      <w:r>
        <w:rPr>
          <w:rFonts w:hint="eastAsia" w:ascii="宋体" w:hAnsi="宋体" w:eastAsia="宋体" w:cs="宋体"/>
          <w:b/>
          <w:bCs/>
          <w:sz w:val="24"/>
          <w:szCs w:val="24"/>
        </w:rPr>
        <w:t>四、响应文件提交</w:t>
      </w:r>
      <w:bookmarkEnd w:id="16"/>
      <w:bookmarkEnd w:id="17"/>
    </w:p>
    <w:p>
      <w:pPr>
        <w:spacing w:line="360" w:lineRule="auto"/>
        <w:ind w:right="-88" w:rightChars="-42" w:firstLine="424" w:firstLineChars="177"/>
        <w:rPr>
          <w:rFonts w:hint="eastAsia" w:ascii="宋体" w:hAnsi="宋体" w:eastAsia="宋体" w:cs="宋体"/>
          <w:sz w:val="24"/>
          <w:szCs w:val="24"/>
        </w:rPr>
      </w:pPr>
      <w:r>
        <w:rPr>
          <w:rFonts w:hint="eastAsia" w:ascii="宋体" w:hAnsi="宋体" w:eastAsia="宋体" w:cs="宋体"/>
          <w:sz w:val="24"/>
          <w:szCs w:val="24"/>
        </w:rPr>
        <w:t>1、开始时间：</w:t>
      </w:r>
      <w:r>
        <w:rPr>
          <w:rFonts w:hint="eastAsia" w:ascii="宋体" w:hAnsi="宋体" w:eastAsia="宋体" w:cs="宋体"/>
          <w:b/>
          <w:bCs/>
          <w:sz w:val="24"/>
          <w:szCs w:val="24"/>
          <w:u w:val="single"/>
        </w:rPr>
        <w:t>2022</w:t>
      </w:r>
      <w:r>
        <w:rPr>
          <w:rFonts w:hint="eastAsia" w:ascii="宋体" w:hAnsi="宋体" w:eastAsia="宋体" w:cs="宋体"/>
          <w:b/>
          <w:bCs/>
          <w:sz w:val="24"/>
          <w:szCs w:val="24"/>
        </w:rPr>
        <w:t>年</w:t>
      </w:r>
      <w:r>
        <w:rPr>
          <w:rFonts w:hint="eastAsia" w:ascii="宋体" w:hAnsi="宋体" w:cs="宋体"/>
          <w:b/>
          <w:bCs/>
          <w:sz w:val="24"/>
          <w:szCs w:val="24"/>
          <w:u w:val="single"/>
          <w:lang w:val="en-US" w:eastAsia="zh-CN"/>
        </w:rPr>
        <w:t>12</w:t>
      </w:r>
      <w:r>
        <w:rPr>
          <w:rFonts w:hint="eastAsia" w:ascii="宋体" w:hAnsi="宋体" w:eastAsia="宋体" w:cs="宋体"/>
          <w:b/>
          <w:bCs/>
          <w:sz w:val="24"/>
          <w:szCs w:val="24"/>
        </w:rPr>
        <w:t>月</w:t>
      </w:r>
      <w:r>
        <w:rPr>
          <w:rFonts w:hint="eastAsia" w:ascii="宋体" w:hAnsi="宋体" w:cs="宋体"/>
          <w:b/>
          <w:bCs/>
          <w:sz w:val="24"/>
          <w:szCs w:val="24"/>
          <w:u w:val="single"/>
          <w:lang w:val="en-US" w:eastAsia="zh-CN"/>
        </w:rPr>
        <w:t>17</w:t>
      </w:r>
      <w:r>
        <w:rPr>
          <w:rFonts w:hint="eastAsia" w:ascii="宋体" w:hAnsi="宋体" w:eastAsia="宋体" w:cs="宋体"/>
          <w:b/>
          <w:bCs/>
          <w:sz w:val="24"/>
          <w:szCs w:val="24"/>
        </w:rPr>
        <w:t>日</w:t>
      </w:r>
      <w:r>
        <w:rPr>
          <w:rFonts w:hint="eastAsia" w:ascii="宋体" w:hAnsi="宋体" w:eastAsia="宋体" w:cs="宋体"/>
          <w:b/>
          <w:bCs/>
          <w:sz w:val="24"/>
          <w:szCs w:val="24"/>
          <w:u w:val="single"/>
        </w:rPr>
        <w:t>0</w:t>
      </w:r>
      <w:r>
        <w:rPr>
          <w:rFonts w:hint="eastAsia" w:ascii="宋体" w:hAnsi="宋体" w:eastAsia="宋体" w:cs="宋体"/>
          <w:b/>
          <w:bCs/>
          <w:sz w:val="24"/>
          <w:szCs w:val="24"/>
          <w:u w:val="single"/>
          <w:lang w:val="en-US" w:eastAsia="zh-CN"/>
        </w:rPr>
        <w:t>0</w:t>
      </w:r>
      <w:r>
        <w:rPr>
          <w:rFonts w:hint="eastAsia" w:ascii="宋体" w:hAnsi="宋体" w:eastAsia="宋体" w:cs="宋体"/>
          <w:b/>
          <w:bCs/>
          <w:sz w:val="24"/>
          <w:szCs w:val="24"/>
        </w:rPr>
        <w:t>点</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0</w:t>
      </w:r>
      <w:r>
        <w:rPr>
          <w:rFonts w:hint="eastAsia" w:ascii="宋体" w:hAnsi="宋体" w:eastAsia="宋体" w:cs="宋体"/>
          <w:b/>
          <w:bCs/>
          <w:sz w:val="24"/>
          <w:szCs w:val="24"/>
        </w:rPr>
        <w:t>分</w:t>
      </w:r>
      <w:r>
        <w:rPr>
          <w:rFonts w:hint="eastAsia" w:ascii="宋体" w:hAnsi="宋体" w:eastAsia="宋体" w:cs="宋体"/>
          <w:sz w:val="24"/>
          <w:szCs w:val="24"/>
        </w:rPr>
        <w:t>（北京时间）。</w:t>
      </w:r>
    </w:p>
    <w:p>
      <w:pPr>
        <w:spacing w:line="360" w:lineRule="auto"/>
        <w:ind w:right="-88" w:rightChars="-42" w:firstLine="424" w:firstLineChars="177"/>
        <w:rPr>
          <w:rFonts w:hint="eastAsia" w:ascii="宋体" w:hAnsi="宋体" w:eastAsia="宋体" w:cs="宋体"/>
          <w:sz w:val="24"/>
          <w:szCs w:val="24"/>
        </w:rPr>
      </w:pPr>
      <w:r>
        <w:rPr>
          <w:rFonts w:hint="eastAsia" w:ascii="宋体" w:hAnsi="宋体" w:eastAsia="宋体" w:cs="宋体"/>
          <w:sz w:val="24"/>
          <w:szCs w:val="24"/>
        </w:rPr>
        <w:t>2、截止时间：</w:t>
      </w:r>
      <w:r>
        <w:rPr>
          <w:rFonts w:hint="eastAsia" w:ascii="宋体" w:hAnsi="宋体" w:eastAsia="宋体" w:cs="宋体"/>
          <w:b/>
          <w:bCs/>
          <w:sz w:val="24"/>
          <w:szCs w:val="24"/>
          <w:u w:val="single"/>
        </w:rPr>
        <w:t>2022</w:t>
      </w:r>
      <w:r>
        <w:rPr>
          <w:rFonts w:hint="eastAsia" w:ascii="宋体" w:hAnsi="宋体" w:eastAsia="宋体" w:cs="宋体"/>
          <w:b/>
          <w:bCs/>
          <w:sz w:val="24"/>
          <w:szCs w:val="24"/>
        </w:rPr>
        <w:t>年</w:t>
      </w:r>
      <w:r>
        <w:rPr>
          <w:rFonts w:hint="eastAsia" w:ascii="宋体" w:hAnsi="宋体" w:cs="宋体"/>
          <w:b/>
          <w:bCs/>
          <w:sz w:val="24"/>
          <w:szCs w:val="24"/>
          <w:u w:val="single"/>
          <w:lang w:val="en-US" w:eastAsia="zh-CN"/>
        </w:rPr>
        <w:t>12</w:t>
      </w:r>
      <w:r>
        <w:rPr>
          <w:rFonts w:hint="eastAsia" w:ascii="宋体" w:hAnsi="宋体" w:eastAsia="宋体" w:cs="宋体"/>
          <w:b/>
          <w:bCs/>
          <w:sz w:val="24"/>
          <w:szCs w:val="24"/>
        </w:rPr>
        <w:t>月</w:t>
      </w:r>
      <w:r>
        <w:rPr>
          <w:rFonts w:hint="eastAsia" w:ascii="宋体" w:hAnsi="宋体" w:cs="宋体"/>
          <w:b/>
          <w:bCs/>
          <w:sz w:val="24"/>
          <w:szCs w:val="24"/>
          <w:u w:val="single"/>
          <w:lang w:val="en-US" w:eastAsia="zh-CN"/>
        </w:rPr>
        <w:t>23</w:t>
      </w:r>
      <w:r>
        <w:rPr>
          <w:rFonts w:hint="eastAsia" w:ascii="宋体" w:hAnsi="宋体" w:eastAsia="宋体" w:cs="宋体"/>
          <w:b/>
          <w:bCs/>
          <w:sz w:val="24"/>
          <w:szCs w:val="24"/>
        </w:rPr>
        <w:t>日</w:t>
      </w:r>
      <w:r>
        <w:rPr>
          <w:rFonts w:hint="eastAsia" w:ascii="宋体" w:hAnsi="宋体" w:eastAsia="宋体" w:cs="宋体"/>
          <w:b/>
          <w:bCs/>
          <w:sz w:val="24"/>
          <w:szCs w:val="24"/>
          <w:u w:val="single"/>
          <w:lang w:val="en-US" w:eastAsia="zh-CN"/>
        </w:rPr>
        <w:t>09</w:t>
      </w:r>
      <w:r>
        <w:rPr>
          <w:rFonts w:hint="eastAsia" w:ascii="宋体" w:hAnsi="宋体" w:eastAsia="宋体" w:cs="宋体"/>
          <w:b/>
          <w:bCs/>
          <w:sz w:val="24"/>
          <w:szCs w:val="24"/>
        </w:rPr>
        <w:t>点</w:t>
      </w:r>
      <w:r>
        <w:rPr>
          <w:rFonts w:hint="eastAsia" w:ascii="宋体" w:hAnsi="宋体" w:eastAsia="宋体" w:cs="宋体"/>
          <w:b/>
          <w:bCs/>
          <w:sz w:val="24"/>
          <w:szCs w:val="24"/>
          <w:u w:val="single"/>
        </w:rPr>
        <w:t>30</w:t>
      </w:r>
      <w:r>
        <w:rPr>
          <w:rFonts w:hint="eastAsia" w:ascii="宋体" w:hAnsi="宋体" w:eastAsia="宋体" w:cs="宋体"/>
          <w:b/>
          <w:bCs/>
          <w:sz w:val="24"/>
          <w:szCs w:val="24"/>
        </w:rPr>
        <w:t>分</w:t>
      </w:r>
      <w:r>
        <w:rPr>
          <w:rFonts w:hint="eastAsia" w:ascii="宋体" w:hAnsi="宋体" w:eastAsia="宋体" w:cs="宋体"/>
          <w:sz w:val="24"/>
          <w:szCs w:val="24"/>
        </w:rPr>
        <w:t>（北京时间）。</w:t>
      </w:r>
    </w:p>
    <w:p>
      <w:pPr>
        <w:spacing w:line="360" w:lineRule="auto"/>
        <w:ind w:right="-88" w:rightChars="-42" w:firstLine="480" w:firstLineChars="200"/>
        <w:jc w:val="left"/>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随县</w:t>
      </w:r>
      <w:r>
        <w:rPr>
          <w:rFonts w:hint="eastAsia" w:ascii="宋体" w:hAnsi="宋体" w:eastAsia="宋体" w:cs="宋体"/>
          <w:sz w:val="24"/>
          <w:szCs w:val="24"/>
        </w:rPr>
        <w:t>政府电子采购平台”（https://dzcg.hubeigp.gov.cn/assets/special/100/hbenterpoint.html）提交。</w:t>
      </w:r>
    </w:p>
    <w:p>
      <w:pPr>
        <w:spacing w:line="360" w:lineRule="auto"/>
        <w:ind w:right="-88" w:rightChars="-42"/>
        <w:outlineLvl w:val="1"/>
        <w:rPr>
          <w:rFonts w:hint="eastAsia" w:ascii="宋体" w:hAnsi="宋体" w:eastAsia="宋体" w:cs="宋体"/>
          <w:b/>
          <w:bCs/>
          <w:sz w:val="24"/>
          <w:szCs w:val="24"/>
        </w:rPr>
      </w:pPr>
      <w:bookmarkStart w:id="18" w:name="_Toc10375"/>
      <w:bookmarkStart w:id="19" w:name="_Toc14498"/>
      <w:r>
        <w:rPr>
          <w:rFonts w:hint="eastAsia" w:ascii="宋体" w:hAnsi="宋体" w:eastAsia="宋体" w:cs="宋体"/>
          <w:b/>
          <w:bCs/>
          <w:sz w:val="24"/>
          <w:szCs w:val="24"/>
        </w:rPr>
        <w:t>五、开启</w:t>
      </w:r>
      <w:bookmarkEnd w:id="18"/>
      <w:bookmarkEnd w:id="19"/>
    </w:p>
    <w:p>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b/>
          <w:bCs/>
          <w:sz w:val="24"/>
          <w:szCs w:val="24"/>
          <w:u w:val="single"/>
        </w:rPr>
        <w:t>2022</w:t>
      </w:r>
      <w:r>
        <w:rPr>
          <w:rFonts w:hint="eastAsia" w:ascii="宋体" w:hAnsi="宋体" w:eastAsia="宋体" w:cs="宋体"/>
          <w:b/>
          <w:bCs/>
          <w:sz w:val="24"/>
          <w:szCs w:val="24"/>
        </w:rPr>
        <w:t>年</w:t>
      </w:r>
      <w:r>
        <w:rPr>
          <w:rFonts w:hint="eastAsia" w:ascii="宋体" w:hAnsi="宋体" w:cs="宋体"/>
          <w:b/>
          <w:bCs/>
          <w:sz w:val="24"/>
          <w:szCs w:val="24"/>
          <w:u w:val="single"/>
          <w:lang w:val="en-US" w:eastAsia="zh-CN"/>
        </w:rPr>
        <w:t>12</w:t>
      </w:r>
      <w:r>
        <w:rPr>
          <w:rFonts w:hint="eastAsia" w:ascii="宋体" w:hAnsi="宋体" w:eastAsia="宋体" w:cs="宋体"/>
          <w:b/>
          <w:bCs/>
          <w:sz w:val="24"/>
          <w:szCs w:val="24"/>
        </w:rPr>
        <w:t>月</w:t>
      </w:r>
      <w:r>
        <w:rPr>
          <w:rFonts w:hint="eastAsia" w:ascii="宋体" w:hAnsi="宋体" w:cs="宋体"/>
          <w:b/>
          <w:bCs/>
          <w:sz w:val="24"/>
          <w:szCs w:val="24"/>
          <w:u w:val="single"/>
          <w:lang w:val="en-US" w:eastAsia="zh-CN"/>
        </w:rPr>
        <w:t>23</w:t>
      </w:r>
      <w:r>
        <w:rPr>
          <w:rFonts w:hint="eastAsia" w:ascii="宋体" w:hAnsi="宋体" w:eastAsia="宋体" w:cs="宋体"/>
          <w:b/>
          <w:bCs/>
          <w:sz w:val="24"/>
          <w:szCs w:val="24"/>
        </w:rPr>
        <w:t>日</w:t>
      </w:r>
      <w:r>
        <w:rPr>
          <w:rFonts w:hint="eastAsia" w:ascii="宋体" w:hAnsi="宋体" w:eastAsia="宋体" w:cs="宋体"/>
          <w:b/>
          <w:bCs/>
          <w:sz w:val="24"/>
          <w:szCs w:val="24"/>
          <w:u w:val="single"/>
          <w:lang w:val="en-US" w:eastAsia="zh-CN"/>
        </w:rPr>
        <w:t>09</w:t>
      </w:r>
      <w:r>
        <w:rPr>
          <w:rFonts w:hint="eastAsia" w:ascii="宋体" w:hAnsi="宋体" w:eastAsia="宋体" w:cs="宋体"/>
          <w:b/>
          <w:bCs/>
          <w:sz w:val="24"/>
          <w:szCs w:val="24"/>
        </w:rPr>
        <w:t>点</w:t>
      </w:r>
      <w:r>
        <w:rPr>
          <w:rFonts w:hint="eastAsia" w:ascii="宋体" w:hAnsi="宋体" w:eastAsia="宋体" w:cs="宋体"/>
          <w:b/>
          <w:bCs/>
          <w:sz w:val="24"/>
          <w:szCs w:val="24"/>
          <w:u w:val="single"/>
        </w:rPr>
        <w:t>30</w:t>
      </w:r>
      <w:r>
        <w:rPr>
          <w:rFonts w:hint="eastAsia" w:ascii="宋体" w:hAnsi="宋体" w:eastAsia="宋体" w:cs="宋体"/>
          <w:b/>
          <w:bCs/>
          <w:sz w:val="24"/>
          <w:szCs w:val="24"/>
        </w:rPr>
        <w:t>分（北京时间）。</w:t>
      </w:r>
    </w:p>
    <w:p>
      <w:pPr>
        <w:spacing w:line="360" w:lineRule="auto"/>
        <w:ind w:right="-88" w:rightChars="-42" w:firstLine="480" w:firstLineChars="200"/>
        <w:jc w:val="left"/>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sz w:val="24"/>
          <w:szCs w:val="24"/>
          <w:lang w:eastAsia="zh-CN"/>
        </w:rPr>
        <w:t>随县</w:t>
      </w:r>
      <w:r>
        <w:rPr>
          <w:rFonts w:hint="eastAsia" w:ascii="宋体" w:hAnsi="宋体" w:eastAsia="宋体" w:cs="宋体"/>
          <w:sz w:val="24"/>
          <w:szCs w:val="24"/>
        </w:rPr>
        <w:t>政府电子采购平台”。（https://dzcg.hubeigp.gov.cn/assets/special/100/hbenterpoint.html）</w:t>
      </w:r>
    </w:p>
    <w:p>
      <w:pPr>
        <w:spacing w:line="360" w:lineRule="auto"/>
        <w:ind w:right="-88" w:rightChars="-42"/>
        <w:jc w:val="left"/>
        <w:outlineLvl w:val="1"/>
        <w:rPr>
          <w:rFonts w:hint="eastAsia" w:ascii="宋体" w:hAnsi="宋体" w:eastAsia="宋体" w:cs="宋体"/>
          <w:b/>
          <w:bCs/>
          <w:sz w:val="24"/>
          <w:szCs w:val="24"/>
        </w:rPr>
      </w:pPr>
      <w:bookmarkStart w:id="20" w:name="_Toc14345"/>
      <w:bookmarkStart w:id="21" w:name="_Toc15197"/>
      <w:r>
        <w:rPr>
          <w:rFonts w:hint="eastAsia" w:ascii="宋体" w:hAnsi="宋体" w:eastAsia="宋体" w:cs="宋体"/>
          <w:b/>
          <w:bCs/>
          <w:sz w:val="24"/>
          <w:szCs w:val="24"/>
        </w:rPr>
        <w:t>六、公告期限</w:t>
      </w:r>
      <w:bookmarkEnd w:id="20"/>
      <w:bookmarkEnd w:id="21"/>
    </w:p>
    <w:p>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pPr>
        <w:numPr>
          <w:ilvl w:val="0"/>
          <w:numId w:val="4"/>
        </w:numPr>
        <w:spacing w:line="360" w:lineRule="auto"/>
        <w:ind w:right="-88" w:rightChars="-42"/>
        <w:outlineLvl w:val="1"/>
        <w:rPr>
          <w:rFonts w:hint="eastAsia" w:ascii="宋体" w:hAnsi="宋体" w:eastAsia="宋体" w:cs="宋体"/>
          <w:b/>
          <w:bCs/>
          <w:sz w:val="24"/>
          <w:szCs w:val="24"/>
        </w:rPr>
      </w:pPr>
      <w:bookmarkStart w:id="22" w:name="_Toc1583"/>
      <w:bookmarkStart w:id="23" w:name="_Toc10908"/>
      <w:r>
        <w:rPr>
          <w:rFonts w:hint="eastAsia" w:ascii="宋体" w:hAnsi="宋体" w:eastAsia="宋体" w:cs="宋体"/>
          <w:b/>
          <w:bCs/>
          <w:sz w:val="24"/>
          <w:szCs w:val="24"/>
        </w:rPr>
        <w:t>其它补充事宜</w:t>
      </w:r>
      <w:bookmarkEnd w:id="22"/>
      <w:bookmarkEnd w:id="23"/>
    </w:p>
    <w:p>
      <w:pPr>
        <w:pStyle w:val="17"/>
        <w:spacing w:line="360" w:lineRule="auto"/>
        <w:ind w:right="-88" w:rightChars="-42"/>
        <w:rPr>
          <w:rFonts w:hint="eastAsia" w:ascii="宋体" w:hAnsi="宋体" w:eastAsia="宋体" w:cs="宋体"/>
          <w:sz w:val="24"/>
          <w:szCs w:val="24"/>
        </w:rPr>
      </w:pPr>
      <w:r>
        <w:rPr>
          <w:rFonts w:hint="eastAsia" w:ascii="宋体" w:hAnsi="宋体" w:eastAsia="宋体" w:cs="宋体"/>
          <w:b/>
          <w:bCs/>
          <w:sz w:val="24"/>
          <w:szCs w:val="24"/>
        </w:rPr>
        <w:t xml:space="preserve">    1、</w:t>
      </w:r>
      <w:r>
        <w:rPr>
          <w:rFonts w:hint="eastAsia" w:ascii="宋体" w:hAnsi="宋体" w:eastAsia="宋体" w:cs="宋体"/>
          <w:sz w:val="24"/>
          <w:szCs w:val="24"/>
        </w:rPr>
        <w:t>供应商无需提交纸质响应文件，需于截止时间前在</w:t>
      </w:r>
      <w:r>
        <w:rPr>
          <w:rFonts w:hint="eastAsia" w:ascii="宋体" w:hAnsi="宋体" w:eastAsia="宋体" w:cs="宋体"/>
          <w:sz w:val="24"/>
          <w:szCs w:val="24"/>
          <w:lang w:eastAsia="zh-CN"/>
        </w:rPr>
        <w:t>随县</w:t>
      </w:r>
      <w:r>
        <w:rPr>
          <w:rFonts w:hint="eastAsia" w:ascii="宋体" w:hAnsi="宋体" w:eastAsia="宋体" w:cs="宋体"/>
          <w:sz w:val="24"/>
          <w:szCs w:val="24"/>
        </w:rPr>
        <w:t>政府电子采购平台上传电子响应文件一份。投标过程中如遇系统操作问题可咨询：0722-</w:t>
      </w:r>
      <w:r>
        <w:rPr>
          <w:rFonts w:hint="eastAsia" w:ascii="宋体" w:hAnsi="宋体" w:eastAsia="宋体" w:cs="宋体"/>
          <w:sz w:val="24"/>
          <w:szCs w:val="24"/>
          <w:lang w:val="en-US" w:eastAsia="zh-CN"/>
        </w:rPr>
        <w:t>3563205</w:t>
      </w:r>
      <w:r>
        <w:rPr>
          <w:rFonts w:hint="eastAsia" w:ascii="宋体" w:hAnsi="宋体" w:eastAsia="宋体" w:cs="宋体"/>
          <w:sz w:val="24"/>
          <w:szCs w:val="24"/>
        </w:rPr>
        <w:t>、全省供应商QQ群：463671735 / 966545752，联系电话：4009913966</w:t>
      </w:r>
    </w:p>
    <w:p>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2、政府采购相关政策执行：落实政府采购强制优先采购节能产品政策；政府采购优先采购环保产品政策；政府采购促进中小企业发展（监狱企业、残疾人福利性单位视同小微企业）等政策。</w:t>
      </w:r>
    </w:p>
    <w:p>
      <w:pPr>
        <w:pStyle w:val="17"/>
        <w:spacing w:line="360" w:lineRule="auto"/>
        <w:ind w:right="-88" w:rightChars="-42" w:firstLine="480" w:firstLineChars="200"/>
        <w:rPr>
          <w:rFonts w:hint="eastAsia" w:ascii="宋体" w:hAnsi="宋体" w:eastAsia="宋体" w:cs="宋体"/>
          <w:sz w:val="24"/>
          <w:szCs w:val="24"/>
          <w:lang w:val="en-US" w:eastAsia="zh-CN"/>
        </w:rPr>
      </w:pPr>
      <w:bookmarkStart w:id="24" w:name="_Toc35393636"/>
      <w:bookmarkStart w:id="25" w:name="_Toc28359095"/>
      <w:bookmarkStart w:id="26" w:name="_Toc28359018"/>
      <w:bookmarkStart w:id="27" w:name="_Toc24012"/>
      <w:bookmarkStart w:id="28" w:name="_Toc3223"/>
      <w:bookmarkStart w:id="29" w:name="_Toc20538"/>
      <w:bookmarkStart w:id="30" w:name="_Toc35393805"/>
      <w:r>
        <w:rPr>
          <w:rFonts w:hint="eastAsia" w:ascii="宋体" w:hAnsi="宋体" w:eastAsia="宋体" w:cs="宋体"/>
          <w:sz w:val="24"/>
          <w:szCs w:val="24"/>
          <w:lang w:val="en-US" w:eastAsia="zh-CN"/>
        </w:rPr>
        <w:t>3、为支持扶持中小微企业及推进“政采贷”政策落实，目前随县已开通的“政采</w:t>
      </w:r>
    </w:p>
    <w:p>
      <w:pPr>
        <w:pStyle w:val="17"/>
        <w:spacing w:line="360" w:lineRule="auto"/>
        <w:ind w:right="-88" w:rightChars="-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贷”银行有2家，联系方式如下：（1）建设银行随县支行：0722-3338009；（2）邮储银行随县支行：0722-3338922。</w:t>
      </w:r>
    </w:p>
    <w:p>
      <w:pPr>
        <w:pStyle w:val="17"/>
        <w:numPr>
          <w:ilvl w:val="0"/>
          <w:numId w:val="5"/>
        </w:num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质疑：供应商对采购文</w:t>
      </w:r>
      <w:r>
        <w:rPr>
          <w:rFonts w:hint="eastAsia" w:ascii="宋体" w:hAnsi="宋体" w:eastAsia="宋体" w:cs="宋体"/>
          <w:sz w:val="24"/>
          <w:szCs w:val="24"/>
        </w:rPr>
        <w:t>件、采购过程和中标结果使自己的权益受到损害的，可以在知道或者应知其权益受到损害之日起7个工作日内，向</w:t>
      </w:r>
      <w:r>
        <w:rPr>
          <w:rFonts w:hint="eastAsia" w:ascii="宋体" w:hAnsi="宋体" w:eastAsia="宋体" w:cs="宋体"/>
          <w:sz w:val="24"/>
          <w:szCs w:val="24"/>
          <w:lang w:eastAsia="zh-CN"/>
        </w:rPr>
        <w:t>随县政府采购</w:t>
      </w:r>
      <w:r>
        <w:rPr>
          <w:rFonts w:hint="eastAsia" w:ascii="宋体" w:hAnsi="宋体" w:eastAsia="宋体" w:cs="宋体"/>
          <w:sz w:val="24"/>
          <w:szCs w:val="24"/>
        </w:rPr>
        <w:t>中心提出质疑。质疑提出时间以提供书面质疑书记载为准。联系人</w:t>
      </w:r>
      <w:r>
        <w:rPr>
          <w:rFonts w:hint="eastAsia" w:ascii="宋体" w:hAnsi="宋体" w:eastAsia="宋体" w:cs="宋体"/>
          <w:sz w:val="24"/>
          <w:szCs w:val="24"/>
          <w:lang w:eastAsia="zh-CN"/>
        </w:rPr>
        <w:t>：钦盼</w:t>
      </w:r>
      <w:r>
        <w:rPr>
          <w:rFonts w:hint="eastAsia" w:ascii="宋体" w:hAnsi="宋体" w:eastAsia="宋体" w:cs="宋体"/>
          <w:sz w:val="24"/>
          <w:szCs w:val="24"/>
        </w:rPr>
        <w:t>；联系电话：0722-</w:t>
      </w:r>
      <w:r>
        <w:rPr>
          <w:rFonts w:hint="eastAsia" w:ascii="宋体" w:hAnsi="宋体" w:eastAsia="宋体" w:cs="宋体"/>
          <w:sz w:val="24"/>
          <w:szCs w:val="24"/>
          <w:lang w:val="en-US" w:eastAsia="zh-CN"/>
        </w:rPr>
        <w:t>3563205</w:t>
      </w:r>
      <w:r>
        <w:rPr>
          <w:rFonts w:hint="eastAsia" w:ascii="宋体" w:hAnsi="宋体" w:eastAsia="宋体" w:cs="宋体"/>
          <w:sz w:val="24"/>
          <w:szCs w:val="24"/>
        </w:rPr>
        <w:t>； 联系地址：</w:t>
      </w:r>
      <w:r>
        <w:rPr>
          <w:rFonts w:hint="eastAsia" w:ascii="宋体" w:hAnsi="宋体" w:eastAsia="宋体" w:cs="宋体"/>
          <w:sz w:val="24"/>
          <w:szCs w:val="24"/>
          <w:lang w:eastAsia="zh-CN"/>
        </w:rPr>
        <w:t>随县新民主路</w:t>
      </w:r>
      <w:r>
        <w:rPr>
          <w:rFonts w:hint="eastAsia" w:ascii="宋体" w:hAnsi="宋体" w:eastAsia="宋体" w:cs="宋体"/>
          <w:sz w:val="24"/>
          <w:szCs w:val="24"/>
        </w:rPr>
        <w:t>（随县政府大楼南侧）</w:t>
      </w:r>
    </w:p>
    <w:p>
      <w:pPr>
        <w:pStyle w:val="17"/>
        <w:numPr>
          <w:ilvl w:val="0"/>
          <w:numId w:val="0"/>
        </w:numPr>
        <w:spacing w:line="360" w:lineRule="auto"/>
        <w:ind w:right="-88" w:rightChars="-42" w:firstLine="482" w:firstLineChars="200"/>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24"/>
      <w:bookmarkEnd w:id="25"/>
      <w:bookmarkEnd w:id="26"/>
      <w:bookmarkEnd w:id="27"/>
      <w:bookmarkEnd w:id="28"/>
      <w:bookmarkEnd w:id="29"/>
      <w:bookmarkEnd w:id="30"/>
    </w:p>
    <w:p>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pStyle w:val="36"/>
        <w:ind w:left="0" w:right="420" w:rightChars="20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随县</w:t>
      </w:r>
      <w:r>
        <w:rPr>
          <w:rFonts w:hint="eastAsia" w:ascii="宋体" w:hAnsi="宋体" w:cs="宋体"/>
          <w:sz w:val="24"/>
          <w:szCs w:val="24"/>
          <w:lang w:val="en-US" w:eastAsia="zh-CN"/>
        </w:rPr>
        <w:t>消防救援大队本级</w:t>
      </w:r>
    </w:p>
    <w:p>
      <w:pPr>
        <w:spacing w:line="360" w:lineRule="auto"/>
        <w:ind w:right="-88" w:rightChars="-42"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sz w:val="24"/>
          <w:szCs w:val="24"/>
        </w:rPr>
        <w:t>地    址：</w:t>
      </w:r>
      <w:r>
        <w:rPr>
          <w:rFonts w:hint="eastAsia" w:ascii="宋体" w:hAnsi="宋体" w:eastAsia="宋体" w:cs="宋体"/>
          <w:kern w:val="2"/>
          <w:sz w:val="24"/>
          <w:szCs w:val="24"/>
          <w:lang w:val="en-US" w:eastAsia="zh-CN" w:bidi="ar-SA"/>
        </w:rPr>
        <w:t>随县厉山镇</w:t>
      </w:r>
      <w:r>
        <w:rPr>
          <w:rFonts w:hint="eastAsia" w:ascii="宋体" w:hAnsi="宋体" w:cs="宋体"/>
          <w:kern w:val="2"/>
          <w:sz w:val="24"/>
          <w:szCs w:val="24"/>
          <w:lang w:val="en-US" w:eastAsia="zh-CN" w:bidi="ar-SA"/>
        </w:rPr>
        <w:t>星升社区</w:t>
      </w:r>
    </w:p>
    <w:p>
      <w:pPr>
        <w:spacing w:line="360" w:lineRule="auto"/>
        <w:ind w:right="-88" w:rightChars="-42" w:firstLine="480" w:firstLineChars="200"/>
        <w:rPr>
          <w:rFonts w:hint="default" w:ascii="宋体" w:hAnsi="宋体" w:cs="宋体"/>
          <w:kern w:val="2"/>
          <w:sz w:val="24"/>
          <w:szCs w:val="24"/>
          <w:lang w:val="en-US" w:eastAsia="zh-CN" w:bidi="ar-SA"/>
        </w:rPr>
      </w:pPr>
      <w:r>
        <w:rPr>
          <w:rFonts w:hint="eastAsia" w:ascii="宋体" w:hAnsi="宋体" w:eastAsia="宋体" w:cs="宋体"/>
          <w:sz w:val="24"/>
          <w:szCs w:val="24"/>
          <w:lang w:eastAsia="zh-CN"/>
        </w:rPr>
        <w:t>联系人：</w:t>
      </w:r>
      <w:r>
        <w:rPr>
          <w:rFonts w:hint="eastAsia" w:ascii="宋体" w:hAnsi="宋体" w:cs="宋体"/>
          <w:sz w:val="24"/>
          <w:szCs w:val="24"/>
          <w:lang w:val="en-US" w:eastAsia="zh-CN"/>
        </w:rPr>
        <w:t>谢*</w:t>
      </w:r>
      <w:bookmarkStart w:id="113" w:name="_GoBack"/>
      <w:bookmarkEnd w:id="113"/>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kern w:val="2"/>
          <w:sz w:val="24"/>
          <w:szCs w:val="24"/>
          <w:lang w:val="en-US" w:eastAsia="zh-CN" w:bidi="ar-SA"/>
        </w:rPr>
        <w:t>：</w:t>
      </w:r>
      <w:bookmarkStart w:id="31" w:name="_Toc28359097"/>
      <w:bookmarkStart w:id="32" w:name="_Toc35393638"/>
      <w:bookmarkStart w:id="33" w:name="_Toc35393807"/>
      <w:bookmarkStart w:id="34" w:name="_Toc28359020"/>
      <w:r>
        <w:rPr>
          <w:rFonts w:hint="eastAsia" w:ascii="宋体" w:hAnsi="宋体" w:cs="宋体"/>
          <w:kern w:val="2"/>
          <w:sz w:val="24"/>
          <w:szCs w:val="24"/>
          <w:lang w:val="en-US" w:eastAsia="zh-CN" w:bidi="ar-SA"/>
        </w:rPr>
        <w:t>18727987227</w:t>
      </w:r>
    </w:p>
    <w:p>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bookmarkEnd w:id="31"/>
      <w:bookmarkEnd w:id="32"/>
      <w:bookmarkEnd w:id="33"/>
      <w:bookmarkEnd w:id="34"/>
    </w:p>
    <w:p>
      <w:pPr>
        <w:spacing w:line="360" w:lineRule="auto"/>
        <w:ind w:right="-88" w:rightChars="-42"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随县政府采购中心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：随县新民主路（随县政府大楼南侧）</w:t>
      </w:r>
    </w:p>
    <w:p>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万栋                </w:t>
      </w:r>
      <w:r>
        <w:rPr>
          <w:rFonts w:hint="eastAsia" w:ascii="宋体" w:hAnsi="宋体" w:eastAsia="宋体" w:cs="宋体"/>
          <w:sz w:val="24"/>
          <w:szCs w:val="24"/>
        </w:rPr>
        <w:t>联系电话：0722-</w:t>
      </w:r>
      <w:r>
        <w:rPr>
          <w:rFonts w:hint="eastAsia" w:ascii="宋体" w:hAnsi="宋体" w:eastAsia="宋体" w:cs="宋体"/>
          <w:sz w:val="24"/>
          <w:szCs w:val="24"/>
          <w:lang w:val="en-US" w:eastAsia="zh-CN"/>
        </w:rPr>
        <w:t>3563205</w:t>
      </w:r>
      <w:r>
        <w:rPr>
          <w:rFonts w:hint="eastAsia" w:ascii="宋体" w:hAnsi="宋体" w:eastAsia="宋体" w:cs="宋体"/>
          <w:sz w:val="24"/>
          <w:szCs w:val="24"/>
        </w:rPr>
        <w:t xml:space="preserve"> </w:t>
      </w:r>
    </w:p>
    <w:p>
      <w:pPr>
        <w:spacing w:line="360" w:lineRule="auto"/>
        <w:ind w:right="-88" w:rightChars="-42" w:firstLine="480" w:firstLineChars="200"/>
        <w:jc w:val="right"/>
        <w:rPr>
          <w:rFonts w:hint="eastAsia" w:ascii="宋体" w:hAnsi="宋体" w:eastAsia="宋体" w:cs="宋体"/>
          <w:sz w:val="24"/>
          <w:szCs w:val="24"/>
        </w:rPr>
      </w:pPr>
    </w:p>
    <w:p>
      <w:pPr>
        <w:pStyle w:val="19"/>
        <w:rPr>
          <w:rFonts w:hint="eastAsia" w:ascii="宋体" w:hAnsi="宋体" w:eastAsia="宋体" w:cs="宋体"/>
          <w:sz w:val="24"/>
          <w:szCs w:val="24"/>
        </w:rPr>
      </w:pPr>
    </w:p>
    <w:p>
      <w:pPr>
        <w:spacing w:line="360" w:lineRule="auto"/>
        <w:ind w:right="-88" w:rightChars="-42" w:firstLine="480" w:firstLineChars="20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随县</w:t>
      </w:r>
      <w:r>
        <w:rPr>
          <w:rFonts w:hint="eastAsia" w:ascii="宋体" w:hAnsi="宋体" w:eastAsia="宋体" w:cs="宋体"/>
          <w:sz w:val="24"/>
          <w:szCs w:val="24"/>
        </w:rPr>
        <w:t>政府采购中心</w:t>
      </w:r>
    </w:p>
    <w:p>
      <w:pPr>
        <w:spacing w:line="360" w:lineRule="auto"/>
        <w:ind w:right="-88" w:rightChars="-42" w:firstLine="6960" w:firstLineChars="2900"/>
        <w:rPr>
          <w:rFonts w:hint="eastAsia" w:ascii="宋体" w:hAnsi="宋体" w:eastAsia="宋体" w:cs="宋体"/>
          <w:sz w:val="24"/>
          <w:szCs w:val="24"/>
        </w:rPr>
      </w:pPr>
      <w:r>
        <w:rPr>
          <w:rFonts w:hint="eastAsia" w:ascii="宋体" w:hAnsi="宋体" w:eastAsia="宋体" w:cs="宋体"/>
          <w:sz w:val="24"/>
          <w:szCs w:val="24"/>
        </w:rPr>
        <w:t>2022年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7</w:t>
      </w:r>
      <w:r>
        <w:rPr>
          <w:rFonts w:hint="eastAsia" w:ascii="宋体" w:hAnsi="宋体" w:eastAsia="宋体" w:cs="宋体"/>
          <w:sz w:val="24"/>
          <w:szCs w:val="24"/>
        </w:rPr>
        <w:t>日</w:t>
      </w:r>
    </w:p>
    <w:p>
      <w:pPr>
        <w:rPr>
          <w:color w:val="auto"/>
        </w:rPr>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9"/>
      </w:pPr>
    </w:p>
    <w:p>
      <w:pPr>
        <w:pStyle w:val="30"/>
      </w:pPr>
    </w:p>
    <w:p/>
    <w:p>
      <w:pPr>
        <w:pStyle w:val="2"/>
      </w:pPr>
    </w:p>
    <w:p/>
    <w:p>
      <w:pPr>
        <w:pStyle w:val="2"/>
      </w:pPr>
    </w:p>
    <w:p/>
    <w:p>
      <w:pPr>
        <w:pStyle w:val="29"/>
      </w:pP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5" w:name="_Toc6368"/>
      <w:r>
        <w:rPr>
          <w:rFonts w:hint="eastAsia" w:ascii="Times New Roman" w:hAnsi="Times New Roman" w:cs="Times New Roman"/>
          <w:b/>
          <w:color w:val="auto"/>
          <w:sz w:val="36"/>
          <w:szCs w:val="36"/>
          <w:lang w:val="hr-HR" w:bidi="ar-EG"/>
        </w:rPr>
        <w:t>第二章磋商须知</w:t>
      </w:r>
      <w:bookmarkEnd w:id="35"/>
    </w:p>
    <w:p>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pPr>
        <w:pStyle w:val="163"/>
        <w:keepNext w:val="0"/>
        <w:keepLines w:val="0"/>
        <w:pageBreakBefore w:val="0"/>
        <w:widowControl w:val="0"/>
        <w:numPr>
          <w:ilvl w:val="0"/>
          <w:numId w:val="6"/>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pPr>
        <w:pStyle w:val="163"/>
        <w:ind w:left="480" w:firstLine="0" w:firstLineChars="0"/>
        <w:rPr>
          <w:rFonts w:ascii="Times New Roman" w:hAnsi="Times New Roman"/>
          <w:color w:val="auto"/>
          <w:sz w:val="24"/>
          <w:szCs w:val="24"/>
        </w:rPr>
      </w:pPr>
    </w:p>
    <w:tbl>
      <w:tblPr>
        <w:tblStyle w:val="4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hint="eastAsia" w:ascii="宋体" w:hAnsi="宋体" w:cs="宋体"/>
                <w:sz w:val="24"/>
                <w:szCs w:val="24"/>
                <w:lang w:val="en-US" w:eastAsia="zh-CN"/>
              </w:rPr>
              <w:t>421321-2022-01632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sz w:val="24"/>
                <w:szCs w:val="24"/>
                <w:lang w:val="en-US" w:eastAsia="zh-CN"/>
              </w:rPr>
              <w:t>洪山、万和应急救援中心配套执勤信息化消防指挥平台及会议系统采购项目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93.5</w:t>
            </w:r>
            <w:r>
              <w:rPr>
                <w:rFonts w:hint="eastAsia" w:ascii="Times New Roman" w:hAnsi="Times New Roman" w:eastAsia="宋体" w:cs="Times New Roman"/>
                <w:color w:val="auto"/>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pPr>
              <w:pStyle w:val="36"/>
              <w:ind w:left="0" w:leftChars="0" w:right="420" w:rightChars="200" w:firstLine="0" w:firstLineChars="0"/>
              <w:rPr>
                <w:rFonts w:hint="default" w:ascii="宋体" w:hAnsi="宋体" w:eastAsia="宋体" w:cs="宋体"/>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sz w:val="24"/>
                <w:szCs w:val="24"/>
                <w:lang w:eastAsia="zh-CN"/>
              </w:rPr>
              <w:t>随县</w:t>
            </w:r>
            <w:r>
              <w:rPr>
                <w:rFonts w:hint="eastAsia" w:ascii="宋体" w:hAnsi="宋体" w:cs="宋体"/>
                <w:sz w:val="24"/>
                <w:szCs w:val="24"/>
                <w:lang w:val="en-US" w:eastAsia="zh-CN"/>
              </w:rPr>
              <w:t>消防救援大队本级</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cs="宋体"/>
                <w:color w:val="auto"/>
                <w:sz w:val="24"/>
                <w:szCs w:val="24"/>
              </w:rPr>
            </w:pPr>
            <w:r>
              <w:rPr>
                <w:rFonts w:hint="eastAsia" w:ascii="宋体" w:hAnsi="宋体" w:cs="宋体"/>
                <w:color w:val="auto"/>
                <w:sz w:val="24"/>
                <w:szCs w:val="24"/>
              </w:rPr>
              <w:t>地 址：</w:t>
            </w:r>
            <w:r>
              <w:rPr>
                <w:rFonts w:hint="eastAsia" w:ascii="宋体" w:hAnsi="宋体" w:eastAsia="宋体" w:cs="宋体"/>
                <w:kern w:val="2"/>
                <w:sz w:val="24"/>
                <w:szCs w:val="24"/>
                <w:lang w:val="en-US" w:eastAsia="zh-CN" w:bidi="ar-SA"/>
              </w:rPr>
              <w:t>随县厉山镇</w:t>
            </w:r>
            <w:r>
              <w:rPr>
                <w:rFonts w:hint="eastAsia" w:ascii="宋体" w:hAnsi="宋体" w:cs="宋体"/>
                <w:kern w:val="2"/>
                <w:sz w:val="24"/>
                <w:szCs w:val="24"/>
                <w:lang w:val="en-US" w:eastAsia="zh-CN" w:bidi="ar-SA"/>
              </w:rPr>
              <w:t>星升社区</w:t>
            </w:r>
            <w:r>
              <w:rPr>
                <w:rFonts w:hint="eastAsia" w:ascii="宋体" w:hAnsi="宋体"/>
                <w:sz w:val="24"/>
                <w:lang w:eastAsia="zh-CN"/>
              </w:rPr>
              <w:t>　</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cs="宋体"/>
                <w:sz w:val="24"/>
                <w:szCs w:val="24"/>
                <w:lang w:val="en-US" w:eastAsia="zh-CN"/>
              </w:rPr>
              <w:t>谢波</w:t>
            </w:r>
            <w:r>
              <w:rPr>
                <w:rFonts w:hint="eastAsia" w:ascii="宋体" w:hAnsi="宋体" w:eastAsia="宋体" w:cs="宋体"/>
                <w:color w:val="auto"/>
                <w:sz w:val="24"/>
                <w:szCs w:val="24"/>
                <w:lang w:val="en-US" w:eastAsia="zh-CN"/>
              </w:rPr>
              <w:tab/>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rPr>
              <w:t>联系电话：</w:t>
            </w:r>
            <w:r>
              <w:rPr>
                <w:rFonts w:hint="eastAsia" w:ascii="宋体" w:hAnsi="宋体" w:cs="宋体"/>
                <w:kern w:val="2"/>
                <w:sz w:val="24"/>
                <w:szCs w:val="24"/>
                <w:lang w:val="en-US" w:eastAsia="zh-CN" w:bidi="ar-SA"/>
              </w:rPr>
              <w:t>18727987227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eastAsia="zh-CN"/>
              </w:rPr>
              <w:t>钦盼</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pPr>
              <w:ind w:left="638" w:leftChars="0" w:hanging="638" w:hangingChars="266"/>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（1）应具备《中华人民共和国政府采购法》第二十二条第一款规定的条件。</w:t>
            </w:r>
          </w:p>
          <w:p>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（2）未被列入“信用中国”、“中国政府采购网”失信被执行人、重大税收违法案件当事人名单、政府采购严重违法失信行为记录名单。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pStyle w:val="91"/>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pPr>
              <w:pStyle w:val="91"/>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91"/>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pPr>
              <w:pStyle w:val="91"/>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pPr>
              <w:pStyle w:val="91"/>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由采购人代表和</w:t>
            </w:r>
            <w:r>
              <w:rPr>
                <w:rFonts w:ascii="Times New Roman" w:hAnsi="Times New Roman" w:cs="Times New Roman"/>
                <w:color w:val="auto"/>
                <w:sz w:val="24"/>
                <w:szCs w:val="24"/>
                <w:u w:val="single"/>
                <w:lang w:val="en-US"/>
              </w:rPr>
              <w:t xml:space="preserve"> 2 </w:t>
            </w:r>
            <w:r>
              <w:rPr>
                <w:rFonts w:ascii="Times New Roman" w:hAnsi="Times New Roman" w:cs="Times New Roman"/>
                <w:color w:val="auto"/>
                <w:sz w:val="24"/>
                <w:szCs w:val="24"/>
                <w:lang w:val="en-US"/>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pPr>
              <w:pStyle w:val="91"/>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val="0"/>
                <w:bCs w:val="0"/>
                <w:color w:val="auto"/>
                <w:kern w:val="0"/>
                <w:sz w:val="24"/>
                <w:szCs w:val="24"/>
              </w:rPr>
              <w:t>磋商时间</w:t>
            </w:r>
            <w:r>
              <w:rPr>
                <w:rFonts w:hint="eastAsia" w:ascii="Times New Roman" w:hAnsi="Times New Roman" w:eastAsia="宋体" w:cs="Times New Roman"/>
                <w:b/>
                <w:bCs/>
                <w:color w:val="auto"/>
                <w:kern w:val="0"/>
                <w:sz w:val="24"/>
                <w:szCs w:val="24"/>
              </w:rPr>
              <w:t>：</w:t>
            </w:r>
            <w:r>
              <w:rPr>
                <w:rFonts w:hint="eastAsia" w:ascii="宋体" w:hAnsi="宋体" w:eastAsia="宋体" w:cs="宋体"/>
                <w:color w:val="auto"/>
                <w:sz w:val="24"/>
                <w:szCs w:val="24"/>
                <w:lang w:val="en-US" w:eastAsia="zh-CN"/>
              </w:rPr>
              <w:t>详见竞争性磋商公告。</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磋商地点：详见竞争性磋商公告。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pPr>
              <w:pStyle w:val="91"/>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pPr>
              <w:pStyle w:val="91"/>
              <w:numPr>
                <w:ilvl w:val="0"/>
                <w:numId w:val="7"/>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本项目专门面向中小企业</w:t>
            </w:r>
          </w:p>
          <w:p>
            <w:pPr>
              <w:pStyle w:val="91"/>
              <w:numPr>
                <w:ilvl w:val="0"/>
                <w:numId w:val="7"/>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pPr>
              <w:pStyle w:val="91"/>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hint="eastAsia" w:ascii="Times New Roman" w:hAnsi="Times New Roman" w:cs="Times New Roman"/>
                <w:color w:val="auto"/>
                <w:sz w:val="24"/>
                <w:szCs w:val="24"/>
                <w:lang w:val="en-US" w:eastAsia="zh-CN"/>
              </w:rPr>
              <w:t>10</w:t>
            </w:r>
            <w:r>
              <w:rPr>
                <w:rFonts w:ascii="Times New Roman" w:hAnsi="Times New Roman" w:cs="Times New Roman"/>
                <w:color w:val="auto"/>
                <w:sz w:val="24"/>
                <w:szCs w:val="24"/>
              </w:rPr>
              <w:t>%</w:t>
            </w:r>
            <w:r>
              <w:rPr>
                <w:rFonts w:hint="eastAsia" w:ascii="Times New Roman" w:hAnsi="Times New Roman" w:cs="Times New Roman"/>
                <w:color w:val="auto"/>
                <w:sz w:val="24"/>
                <w:szCs w:val="24"/>
              </w:rPr>
              <w:t>的价格扣除。</w:t>
            </w:r>
          </w:p>
          <w:p>
            <w:pPr>
              <w:pStyle w:val="91"/>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pPr>
              <w:pStyle w:val="91"/>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pPr>
              <w:pStyle w:val="91"/>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pPr>
              <w:pStyle w:val="91"/>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pPr>
              <w:pStyle w:val="91"/>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pPr>
              <w:pStyle w:val="91"/>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50"/>
                <w:rFonts w:hint="eastAsia"/>
                <w:color w:val="auto"/>
                <w:sz w:val="24"/>
              </w:rPr>
              <w:t>https://dzcg.hubeigp.gov.cn/assets/special/100/hbenterpoint.html</w:t>
            </w:r>
            <w:r>
              <w:rPr>
                <w:rStyle w:val="50"/>
                <w:rFonts w:hint="eastAsia"/>
                <w:color w:val="auto"/>
                <w:sz w:val="24"/>
                <w:lang w:eastAsia="zh-CN"/>
              </w:rPr>
              <w:t>）</w:t>
            </w:r>
            <w:r>
              <w:rPr>
                <w:rStyle w:val="50"/>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pPr>
              <w:ind w:left="278" w:hanging="278" w:hangingChars="116"/>
              <w:rPr>
                <w:color w:val="auto"/>
                <w:sz w:val="24"/>
              </w:rPr>
            </w:pPr>
            <w:r>
              <w:rPr>
                <w:color w:val="auto"/>
                <w:sz w:val="24"/>
              </w:rPr>
              <w:t>（3）交易平台环境要求：</w:t>
            </w:r>
          </w:p>
          <w:p>
            <w:pPr>
              <w:ind w:left="214" w:leftChars="85" w:hanging="36" w:hangingChars="15"/>
              <w:rPr>
                <w:color w:val="auto"/>
                <w:sz w:val="24"/>
              </w:rPr>
            </w:pPr>
            <w:r>
              <w:rPr>
                <w:color w:val="auto"/>
                <w:sz w:val="24"/>
              </w:rPr>
              <w:t>①操作系统：Windows 7及以上版本；</w:t>
            </w:r>
          </w:p>
          <w:p>
            <w:pPr>
              <w:ind w:left="214" w:leftChars="85" w:hanging="36" w:hangingChars="15"/>
              <w:rPr>
                <w:color w:val="auto"/>
                <w:sz w:val="24"/>
              </w:rPr>
            </w:pPr>
            <w:r>
              <w:rPr>
                <w:color w:val="auto"/>
                <w:sz w:val="24"/>
              </w:rPr>
              <w:t>②浏览器：360浏览器、Internet Explorer 11、10；</w:t>
            </w:r>
          </w:p>
          <w:p>
            <w:pPr>
              <w:ind w:left="214" w:leftChars="85" w:hanging="36" w:hangingChars="15"/>
              <w:rPr>
                <w:color w:val="auto"/>
                <w:sz w:val="24"/>
              </w:rPr>
            </w:pPr>
            <w:r>
              <w:rPr>
                <w:color w:val="auto"/>
                <w:sz w:val="24"/>
              </w:rPr>
              <w:t>③办公软件：Microsoft Office 2007-2016完整版、WPS Office 2019个人版、WPS Office 企业版；</w:t>
            </w:r>
          </w:p>
          <w:p>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pPr>
        <w:pStyle w:val="6"/>
        <w:numPr>
          <w:ilvl w:val="3"/>
          <w:numId w:val="0"/>
        </w:numPr>
        <w:rPr>
          <w:rFonts w:ascii="仿宋" w:hAnsi="仿宋" w:eastAsia="仿宋" w:cs="仿宋"/>
          <w:sz w:val="24"/>
          <w:szCs w:val="24"/>
        </w:rPr>
      </w:pPr>
      <w:r>
        <w:rPr>
          <w:rFonts w:hint="eastAsia" w:ascii="仿宋" w:hAnsi="仿宋" w:eastAsia="仿宋" w:cs="仿宋"/>
          <w:sz w:val="24"/>
          <w:szCs w:val="24"/>
        </w:rPr>
        <w:t>说明：如有供应商须知正文条款与供应商须知前附表不一致，以供应商须知前附表为准。</w:t>
      </w:r>
    </w:p>
    <w:p>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pPr>
        <w:spacing w:line="500" w:lineRule="exact"/>
        <w:jc w:val="center"/>
        <w:rPr>
          <w:rFonts w:ascii="Times New Roman" w:hAnsi="Times New Roman" w:cs="Times New Roman"/>
          <w:b/>
          <w:color w:val="auto"/>
          <w:sz w:val="24"/>
          <w:szCs w:val="24"/>
          <w:lang w:val="hr-HR" w:bidi="ar-EG"/>
        </w:rPr>
      </w:pPr>
      <w:r>
        <w:rPr>
          <w:rFonts w:hint="eastAsia" w:ascii="Times New Roman" w:hAnsi="Times New Roman" w:cs="Times New Roman"/>
          <w:b/>
          <w:color w:val="auto"/>
          <w:sz w:val="24"/>
          <w:szCs w:val="24"/>
          <w:lang w:val="hr-HR" w:bidi="ar-EG"/>
        </w:rPr>
        <w:t>二、供应商须知</w:t>
      </w:r>
    </w:p>
    <w:p>
      <w:pPr>
        <w:spacing w:line="440" w:lineRule="exact"/>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并提供相关证明材料</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lang w:eastAsia="zh-CN"/>
        </w:rPr>
        <w:t>五日</w:t>
      </w:r>
      <w:r>
        <w:rPr>
          <w:rFonts w:hint="eastAsia" w:ascii="Times New Roman" w:hAnsi="Times New Roman" w:cs="Times New Roman"/>
          <w:color w:val="auto"/>
          <w:sz w:val="24"/>
          <w:szCs w:val="24"/>
        </w:rPr>
        <w:t>前以书面形式要求采购单位作出书面澄清。对于在此时间之后递交的询问或质疑，不予受理。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pPr>
        <w:pStyle w:val="23"/>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textAlignment w:val="auto"/>
        <w:rPr>
          <w:rFonts w:hint="eastAsia" w:eastAsiaTheme="minorEastAsia"/>
          <w:lang w:val="en-US" w:eastAsia="zh-CN"/>
        </w:rPr>
      </w:pP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“★”号条款响应、偏离说明表(附件7)</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8</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hint="eastAsia" w:ascii="Times New Roman" w:hAnsi="Times New Roman" w:cs="Times New Roman"/>
          <w:bCs/>
          <w:color w:val="auto"/>
          <w:sz w:val="24"/>
          <w:szCs w:val="24"/>
          <w:lang w:val="en-US" w:eastAsia="zh-CN"/>
        </w:rPr>
        <w:t>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9</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hint="eastAsia" w:ascii="Times New Roman" w:hAnsi="Times New Roman" w:cs="Times New Roman"/>
          <w:bCs/>
          <w:color w:val="auto"/>
          <w:sz w:val="24"/>
          <w:szCs w:val="24"/>
          <w:lang w:val="en-US" w:eastAsia="zh-CN"/>
        </w:rPr>
        <w:t>9</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10</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hint="eastAsia" w:ascii="Times New Roman" w:hAnsi="Times New Roman" w:cs="Times New Roman"/>
          <w:bCs/>
          <w:color w:val="auto"/>
          <w:sz w:val="24"/>
          <w:szCs w:val="24"/>
          <w:lang w:val="en-US" w:eastAsia="zh-CN"/>
        </w:rPr>
        <w:t>10</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3</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pStyle w:val="29"/>
      </w:pPr>
      <w:r>
        <w:rPr>
          <w:rFonts w:hint="eastAsia" w:asciiTheme="minorEastAsia" w:hAnsiTheme="minorEastAsia" w:cstheme="minorEastAsia"/>
          <w:bCs/>
          <w:sz w:val="24"/>
          <w:szCs w:val="24"/>
          <w:lang w:val="en-US" w:eastAsia="zh-CN"/>
        </w:rPr>
        <w:t>14）</w:t>
      </w:r>
      <w:r>
        <w:rPr>
          <w:rFonts w:hint="eastAsia" w:asciiTheme="minorEastAsia" w:hAnsiTheme="minorEastAsia" w:eastAsiaTheme="minorEastAsia" w:cstheme="minorEastAsia"/>
          <w:bCs/>
          <w:sz w:val="24"/>
          <w:szCs w:val="24"/>
        </w:rPr>
        <w:t>“无政府采购回避事项的声明”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）供应商认为需要提供的其他资格证明文件及资料。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6" w:name="_Toc9068"/>
      <w:bookmarkStart w:id="37" w:name="_Toc3291"/>
      <w:r>
        <w:rPr>
          <w:rFonts w:hint="eastAsia" w:ascii="Times New Roman" w:hAnsi="Times New Roman" w:eastAsia="黑体" w:cs="Times New Roman"/>
          <w:color w:val="auto"/>
          <w:sz w:val="24"/>
          <w:szCs w:val="24"/>
        </w:rPr>
        <w:t>四、报价要求</w:t>
      </w:r>
      <w:bookmarkEnd w:id="36"/>
      <w:bookmarkEnd w:id="37"/>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pPr>
        <w:pStyle w:val="54"/>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bCs/>
          <w:color w:val="auto"/>
          <w:sz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pPr>
        <w:pStyle w:val="17"/>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8"/>
          <w:szCs w:val="28"/>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pStyle w:val="23"/>
        <w:rPr>
          <w:color w:val="auto"/>
        </w:rPr>
      </w:pPr>
    </w:p>
    <w:p>
      <w:pPr>
        <w:rPr>
          <w:color w:val="auto"/>
        </w:rPr>
      </w:pPr>
    </w:p>
    <w:p>
      <w:pPr>
        <w:pStyle w:val="23"/>
        <w:rPr>
          <w:color w:val="auto"/>
        </w:rPr>
      </w:pPr>
    </w:p>
    <w:p>
      <w:pPr>
        <w:rPr>
          <w:color w:val="auto"/>
        </w:rPr>
      </w:pPr>
    </w:p>
    <w:p>
      <w:pPr>
        <w:pStyle w:val="23"/>
        <w:ind w:left="0" w:leftChars="0" w:firstLine="0" w:firstLineChars="0"/>
        <w:rPr>
          <w:color w:val="auto"/>
        </w:rPr>
      </w:pPr>
    </w:p>
    <w:p>
      <w:pPr>
        <w:rPr>
          <w:color w:val="auto"/>
        </w:rPr>
      </w:pPr>
    </w:p>
    <w:p>
      <w:pPr>
        <w:rPr>
          <w:color w:val="auto"/>
        </w:rPr>
      </w:pPr>
    </w:p>
    <w:p>
      <w:pPr>
        <w:numPr>
          <w:ilvl w:val="0"/>
          <w:numId w:val="8"/>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8"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15"/>
      <w:bookmarkEnd w:id="38"/>
      <w:bookmarkStart w:id="39" w:name="_Toc432753211"/>
      <w:bookmarkStart w:id="40" w:name="_Toc1458930"/>
      <w:bookmarkStart w:id="41" w:name="_Toc78299292"/>
    </w:p>
    <w:p>
      <w:pPr>
        <w:pStyle w:val="23"/>
        <w:numPr>
          <w:ilvl w:val="0"/>
          <w:numId w:val="0"/>
        </w:numPr>
        <w:rPr>
          <w:color w:val="auto"/>
          <w:lang w:val="hr-HR"/>
        </w:rPr>
      </w:pPr>
    </w:p>
    <w:bookmarkEnd w:id="39"/>
    <w:bookmarkEnd w:id="40"/>
    <w:bookmarkEnd w:id="41"/>
    <w:p>
      <w:pPr>
        <w:pStyle w:val="4"/>
        <w:pageBreakBefore w:val="0"/>
        <w:widowControl w:val="0"/>
        <w:numPr>
          <w:ilvl w:val="0"/>
          <w:numId w:val="9"/>
        </w:numPr>
        <w:kinsoku/>
        <w:wordWrap/>
        <w:overflowPunct/>
        <w:topLinePunct w:val="0"/>
        <w:autoSpaceDE/>
        <w:autoSpaceDN/>
        <w:bidi w:val="0"/>
        <w:adjustRightInd/>
        <w:snapToGrid/>
        <w:ind w:right="0" w:rightChars="0"/>
        <w:textAlignment w:val="auto"/>
        <w:rPr>
          <w:rFonts w:hint="eastAsia"/>
          <w:color w:val="auto"/>
        </w:rPr>
      </w:pPr>
      <w:bookmarkStart w:id="42" w:name="_Toc23295"/>
      <w:bookmarkStart w:id="43" w:name="_Toc2507"/>
      <w:r>
        <w:rPr>
          <w:rFonts w:hint="eastAsia"/>
          <w:color w:val="auto"/>
        </w:rPr>
        <w:t>采购清单</w:t>
      </w:r>
    </w:p>
    <w:tbl>
      <w:tblPr>
        <w:tblStyle w:val="44"/>
        <w:tblW w:w="4998" w:type="pct"/>
        <w:tblInd w:w="0" w:type="dxa"/>
        <w:tblLayout w:type="autofit"/>
        <w:tblCellMar>
          <w:top w:w="0" w:type="dxa"/>
          <w:left w:w="108" w:type="dxa"/>
          <w:bottom w:w="0" w:type="dxa"/>
          <w:right w:w="108" w:type="dxa"/>
        </w:tblCellMar>
      </w:tblPr>
      <w:tblGrid>
        <w:gridCol w:w="1247"/>
        <w:gridCol w:w="3037"/>
        <w:gridCol w:w="2101"/>
        <w:gridCol w:w="1433"/>
        <w:gridCol w:w="1434"/>
      </w:tblGrid>
      <w:tr>
        <w:tblPrEx>
          <w:tblCellMar>
            <w:top w:w="0" w:type="dxa"/>
            <w:left w:w="108" w:type="dxa"/>
            <w:bottom w:w="0" w:type="dxa"/>
            <w:right w:w="108" w:type="dxa"/>
          </w:tblCellMar>
        </w:tblPrEx>
        <w:trPr>
          <w:trHeight w:val="285" w:hRule="atLeast"/>
        </w:trPr>
        <w:tc>
          <w:tcPr>
            <w:tcW w:w="674"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pPr>
              <w:spacing w:line="360" w:lineRule="auto"/>
              <w:ind w:left="-48" w:leftChars="-23" w:right="-48" w:rightChars="-23"/>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序号</w:t>
            </w: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DDD9C4"/>
            <w:noWrap/>
            <w:vAlign w:val="center"/>
          </w:tcPr>
          <w:p>
            <w:pPr>
              <w:spacing w:line="360" w:lineRule="auto"/>
              <w:ind w:left="-48" w:leftChars="-23" w:right="-48" w:rightChars="-23"/>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采购内容</w:t>
            </w:r>
          </w:p>
        </w:tc>
        <w:tc>
          <w:tcPr>
            <w:tcW w:w="774"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pPr>
              <w:spacing w:line="360" w:lineRule="auto"/>
              <w:ind w:left="-48" w:leftChars="-23" w:right="-48" w:rightChars="-23"/>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单位</w:t>
            </w:r>
          </w:p>
        </w:tc>
        <w:tc>
          <w:tcPr>
            <w:tcW w:w="775"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pPr>
              <w:spacing w:line="360" w:lineRule="auto"/>
              <w:ind w:left="-48" w:leftChars="-23" w:right="-48" w:rightChars="-23"/>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数量</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终端联动控制器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IP电话</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处警终端（电脑）</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9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显示器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6</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路由器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4</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防火墙</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4</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交换机</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4</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辅助材料</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项</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4</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一体式视频会议终端</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台</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安装部署服务</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287"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综合布线</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链路租赁服务</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嵌入式5G布控球</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9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消防站视频指挥系统</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2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3"/>
              <w:numPr>
                <w:ilvl w:val="0"/>
                <w:numId w:val="10"/>
              </w:numPr>
              <w:tabs>
                <w:tab w:val="left" w:pos="33"/>
              </w:tabs>
              <w:ind w:left="0" w:hanging="3" w:firstLineChars="0"/>
              <w:jc w:val="center"/>
              <w:rPr>
                <w:rFonts w:ascii="宋体" w:hAnsi="宋体" w:eastAsia="宋体" w:cs="Times New Roman"/>
                <w:sz w:val="24"/>
                <w:szCs w:val="24"/>
              </w:rPr>
            </w:pPr>
          </w:p>
        </w:tc>
        <w:tc>
          <w:tcPr>
            <w:tcW w:w="2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5G单兵图传</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部</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560" w:hRule="atLeast"/>
        </w:trPr>
        <w:tc>
          <w:tcPr>
            <w:tcW w:w="2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工期要求</w:t>
            </w:r>
          </w:p>
        </w:tc>
        <w:tc>
          <w:tcPr>
            <w:tcW w:w="26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合同签订之日起</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0个日历天</w:t>
            </w:r>
          </w:p>
        </w:tc>
      </w:tr>
      <w:tr>
        <w:tblPrEx>
          <w:tblCellMar>
            <w:top w:w="0" w:type="dxa"/>
            <w:left w:w="108" w:type="dxa"/>
            <w:bottom w:w="0" w:type="dxa"/>
            <w:right w:w="108" w:type="dxa"/>
          </w:tblCellMar>
        </w:tblPrEx>
        <w:trPr>
          <w:trHeight w:val="560" w:hRule="atLeast"/>
        </w:trPr>
        <w:tc>
          <w:tcPr>
            <w:tcW w:w="2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质保期</w:t>
            </w:r>
          </w:p>
        </w:tc>
        <w:tc>
          <w:tcPr>
            <w:tcW w:w="26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一年</w:t>
            </w:r>
          </w:p>
        </w:tc>
      </w:tr>
      <w:tr>
        <w:tblPrEx>
          <w:tblCellMar>
            <w:top w:w="0" w:type="dxa"/>
            <w:left w:w="108" w:type="dxa"/>
            <w:bottom w:w="0" w:type="dxa"/>
            <w:right w:w="108" w:type="dxa"/>
          </w:tblCellMar>
        </w:tblPrEx>
        <w:trPr>
          <w:trHeight w:val="560" w:hRule="atLeast"/>
        </w:trPr>
        <w:tc>
          <w:tcPr>
            <w:tcW w:w="2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核心产品</w:t>
            </w:r>
          </w:p>
        </w:tc>
        <w:tc>
          <w:tcPr>
            <w:tcW w:w="26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left="-48" w:leftChars="-23" w:right="-48" w:rightChars="-23"/>
              <w:jc w:val="center"/>
              <w:rPr>
                <w:rFonts w:ascii="宋体" w:hAnsi="宋体" w:eastAsia="宋体" w:cs="Times New Roman"/>
                <w:sz w:val="24"/>
                <w:szCs w:val="24"/>
              </w:rPr>
            </w:pPr>
            <w:r>
              <w:rPr>
                <w:rFonts w:hint="eastAsia" w:ascii="宋体" w:hAnsi="宋体" w:eastAsia="宋体" w:cs="Times New Roman"/>
                <w:sz w:val="24"/>
                <w:szCs w:val="24"/>
              </w:rPr>
              <w:t>无</w:t>
            </w:r>
          </w:p>
        </w:tc>
      </w:tr>
    </w:tbl>
    <w:p>
      <w:pPr>
        <w:rPr>
          <w:sz w:val="28"/>
          <w:szCs w:val="28"/>
        </w:rPr>
      </w:pPr>
      <w:r>
        <w:rPr>
          <w:rFonts w:hint="eastAsia"/>
          <w:sz w:val="28"/>
          <w:szCs w:val="28"/>
          <w:lang w:val="zh-CN"/>
        </w:rPr>
        <w:t>说明：招标文件中标注的技术、服务及商务要求</w:t>
      </w:r>
      <w:r>
        <w:rPr>
          <w:rFonts w:hint="eastAsia"/>
          <w:sz w:val="28"/>
          <w:szCs w:val="28"/>
        </w:rPr>
        <w:t>中废标项用</w:t>
      </w:r>
      <w:r>
        <w:rPr>
          <w:rFonts w:hint="eastAsia"/>
          <w:sz w:val="28"/>
          <w:szCs w:val="28"/>
          <w:lang w:val="zh-CN"/>
        </w:rPr>
        <w:t>“★”</w:t>
      </w:r>
      <w:r>
        <w:rPr>
          <w:rFonts w:hint="eastAsia"/>
          <w:sz w:val="28"/>
          <w:szCs w:val="28"/>
        </w:rPr>
        <w:t>表示</w:t>
      </w:r>
      <w:r>
        <w:rPr>
          <w:rFonts w:hint="eastAsia"/>
          <w:sz w:val="28"/>
          <w:szCs w:val="28"/>
          <w:lang w:val="zh-CN"/>
        </w:rPr>
        <w:t>，</w:t>
      </w:r>
      <w:r>
        <w:rPr>
          <w:rFonts w:hint="eastAsia"/>
          <w:sz w:val="28"/>
          <w:szCs w:val="28"/>
        </w:rPr>
        <w:t>重要评审因素用“▲”表示。</w:t>
      </w:r>
    </w:p>
    <w:p>
      <w:pPr>
        <w:rPr>
          <w:rFonts w:hint="eastAsia"/>
        </w:rPr>
      </w:pPr>
    </w:p>
    <w:p>
      <w:pPr>
        <w:pStyle w:val="4"/>
        <w:pageBreakBefore w:val="0"/>
        <w:widowControl w:val="0"/>
        <w:numPr>
          <w:ilvl w:val="0"/>
          <w:numId w:val="9"/>
        </w:numPr>
        <w:kinsoku/>
        <w:wordWrap/>
        <w:overflowPunct/>
        <w:topLinePunct w:val="0"/>
        <w:autoSpaceDE/>
        <w:autoSpaceDN/>
        <w:bidi w:val="0"/>
        <w:adjustRightInd/>
        <w:snapToGrid/>
        <w:ind w:left="432" w:leftChars="0" w:right="0" w:rightChars="0" w:hanging="432" w:firstLineChars="0"/>
        <w:textAlignment w:val="auto"/>
        <w:rPr>
          <w:rFonts w:hint="eastAsia"/>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项目概述及简介</w:t>
      </w:r>
      <w:bookmarkStart w:id="44" w:name="_Toc494665933"/>
      <w:bookmarkStart w:id="45" w:name="_Toc494665536"/>
      <w:bookmarkStart w:id="46" w:name="_Toc509992675"/>
      <w:bookmarkStart w:id="47" w:name="_Toc1458934"/>
      <w:bookmarkStart w:id="48" w:name="_Toc494721083"/>
      <w:bookmarkStart w:id="49" w:name="_Toc494745300"/>
      <w:bookmarkStart w:id="50" w:name="_Toc509997287"/>
      <w:bookmarkStart w:id="51" w:name="_Toc1421486"/>
      <w:bookmarkStart w:id="52" w:name="_Toc494664983"/>
      <w:bookmarkStart w:id="53" w:name="_Toc494702253"/>
      <w:bookmarkStart w:id="54" w:name="_Toc75007954"/>
    </w:p>
    <w:bookmarkEnd w:id="44"/>
    <w:bookmarkEnd w:id="45"/>
    <w:bookmarkEnd w:id="46"/>
    <w:bookmarkEnd w:id="47"/>
    <w:bookmarkEnd w:id="48"/>
    <w:bookmarkEnd w:id="49"/>
    <w:bookmarkEnd w:id="50"/>
    <w:bookmarkEnd w:id="51"/>
    <w:bookmarkEnd w:id="52"/>
    <w:bookmarkEnd w:id="53"/>
    <w:bookmarkEnd w:id="54"/>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rPr>
          <w:rFonts w:hint="eastAsia" w:ascii="Times New Roman" w:hAnsi="Times New Roman" w:cs="Times New Roman"/>
          <w:bCs/>
          <w:color w:val="auto"/>
          <w:sz w:val="24"/>
          <w:szCs w:val="24"/>
          <w:lang w:val="zh-CN"/>
        </w:rPr>
      </w:pPr>
      <w:r>
        <w:rPr>
          <w:rFonts w:hint="eastAsia" w:ascii="Times New Roman" w:hAnsi="Times New Roman" w:cs="Times New Roman"/>
          <w:bCs/>
          <w:color w:val="auto"/>
          <w:sz w:val="24"/>
          <w:szCs w:val="24"/>
          <w:lang w:val="zh-CN"/>
        </w:rPr>
        <w:t>为提升洪山、万和应急救援中心应急救援和作战指挥的信息化、智能化、专业化效能，进一步适应‘全灾种、大应急’实战需要，根据年度重点任务，需开展消防智能接处警和智能指挥系统建设。主要建设目标包括全面建成接处警系统、智能指挥系统和会议通讯系统。</w:t>
      </w:r>
    </w:p>
    <w:p>
      <w:pPr>
        <w:pStyle w:val="4"/>
        <w:pageBreakBefore w:val="0"/>
        <w:widowControl w:val="0"/>
        <w:numPr>
          <w:ilvl w:val="0"/>
          <w:numId w:val="9"/>
        </w:numPr>
        <w:kinsoku/>
        <w:wordWrap/>
        <w:overflowPunct/>
        <w:topLinePunct w:val="0"/>
        <w:autoSpaceDE/>
        <w:autoSpaceDN/>
        <w:bidi w:val="0"/>
        <w:adjustRightInd/>
        <w:snapToGrid/>
        <w:ind w:left="432" w:leftChars="0" w:right="0" w:rightChars="0" w:hanging="432" w:firstLine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国家相关行政主管部门颁布的标准、规范</w:t>
      </w:r>
    </w:p>
    <w:p>
      <w:pPr>
        <w:snapToGrid/>
        <w:spacing w:before="0" w:beforeAutospacing="0" w:after="0" w:afterAutospacing="0" w:line="240" w:lineRule="auto"/>
        <w:ind w:firstLine="480" w:firstLineChars="200"/>
        <w:jc w:val="both"/>
        <w:textAlignment w:val="baseline"/>
        <w:rPr>
          <w:rFonts w:hint="eastAsia"/>
          <w:lang w:val="en-US" w:eastAsia="zh-CN"/>
        </w:rPr>
      </w:pPr>
      <w:r>
        <w:rPr>
          <w:rStyle w:val="194"/>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4"/>
          <w:rFonts w:hint="eastAsia" w:asciiTheme="minorEastAsia" w:hAnsiTheme="minorEastAsia" w:cstheme="minorEastAsia"/>
          <w:b w:val="0"/>
          <w:i w:val="0"/>
          <w:caps w:val="0"/>
          <w:spacing w:val="0"/>
          <w:w w:val="100"/>
          <w:kern w:val="2"/>
          <w:sz w:val="24"/>
          <w:szCs w:val="24"/>
          <w:lang w:val="zh-CN" w:eastAsia="zh-CN" w:bidi="ar-SA"/>
        </w:rPr>
        <w:t>。</w:t>
      </w:r>
    </w:p>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四、技术、服务要求</w:t>
      </w:r>
    </w:p>
    <w:p>
      <w:pPr>
        <w:spacing w:line="360" w:lineRule="auto"/>
        <w:rPr>
          <w:rFonts w:ascii="宋体" w:hAnsi="宋体" w:eastAsia="宋体" w:cs="宋体"/>
          <w:color w:val="000000"/>
          <w:sz w:val="24"/>
          <w:szCs w:val="24"/>
        </w:rPr>
      </w:pPr>
      <w:bookmarkStart w:id="55" w:name="_Toc1458936"/>
      <w:bookmarkStart w:id="56" w:name="_Toc75007956"/>
      <w:r>
        <w:rPr>
          <w:rFonts w:hint="eastAsia" w:ascii="宋体" w:hAnsi="宋体" w:eastAsia="宋体" w:cs="宋体"/>
          <w:color w:val="000000"/>
          <w:sz w:val="24"/>
          <w:szCs w:val="24"/>
        </w:rPr>
        <w:t>说明：投标人将在投标文件《技术、服务要求响应、偏离说明表》中对以下技术、服务要求逐条进行响应描述或偏离说明并提供证明资料，请采购人对不满足即为废标项的进行注明。</w:t>
      </w:r>
    </w:p>
    <w:tbl>
      <w:tblPr>
        <w:tblStyle w:val="44"/>
        <w:tblW w:w="4998" w:type="pct"/>
        <w:tblInd w:w="0" w:type="dxa"/>
        <w:tblLayout w:type="autofit"/>
        <w:tblCellMar>
          <w:top w:w="0" w:type="dxa"/>
          <w:left w:w="108" w:type="dxa"/>
          <w:bottom w:w="0" w:type="dxa"/>
          <w:right w:w="108" w:type="dxa"/>
        </w:tblCellMar>
      </w:tblPr>
      <w:tblGrid>
        <w:gridCol w:w="700"/>
        <w:gridCol w:w="1090"/>
        <w:gridCol w:w="7462"/>
      </w:tblGrid>
      <w:tr>
        <w:tblPrEx>
          <w:tblCellMar>
            <w:top w:w="0" w:type="dxa"/>
            <w:left w:w="108" w:type="dxa"/>
            <w:bottom w:w="0" w:type="dxa"/>
            <w:right w:w="108" w:type="dxa"/>
          </w:tblCellMar>
        </w:tblPrEx>
        <w:trPr>
          <w:trHeight w:val="4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DDD9C4"/>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589" w:type="pct"/>
            <w:tcBorders>
              <w:top w:val="single" w:color="000000" w:sz="4" w:space="0"/>
              <w:left w:val="single" w:color="000000" w:sz="4" w:space="0"/>
              <w:bottom w:val="single" w:color="000000" w:sz="4" w:space="0"/>
              <w:right w:val="single" w:color="000000" w:sz="4" w:space="0"/>
            </w:tcBorders>
            <w:shd w:val="clear" w:color="auto" w:fill="DDD9C4"/>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采购品目名称</w:t>
            </w:r>
          </w:p>
        </w:tc>
        <w:tc>
          <w:tcPr>
            <w:tcW w:w="4031" w:type="pct"/>
            <w:tcBorders>
              <w:top w:val="single" w:color="000000" w:sz="4" w:space="0"/>
              <w:left w:val="single" w:color="000000" w:sz="4" w:space="0"/>
              <w:bottom w:val="single" w:color="000000" w:sz="4" w:space="0"/>
              <w:right w:val="single" w:color="000000" w:sz="4" w:space="0"/>
            </w:tcBorders>
            <w:shd w:val="clear" w:color="auto" w:fill="DDD9C4"/>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项目内容及参数要求</w:t>
            </w:r>
          </w:p>
        </w:tc>
      </w:tr>
      <w:tr>
        <w:tblPrEx>
          <w:tblCellMar>
            <w:top w:w="0" w:type="dxa"/>
            <w:left w:w="108" w:type="dxa"/>
            <w:bottom w:w="0" w:type="dxa"/>
            <w:right w:w="108" w:type="dxa"/>
          </w:tblCellMar>
        </w:tblPrEx>
        <w:trPr>
          <w:trHeight w:val="27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终端联动控制器</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 网络：RJ45接口，支持TCP/IP协议；</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 电源逻辑控制：工业级继电器×8；</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 支持电路控制功能应用扩展；</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 支持TCP/IP网络协议，稳定支持在指挥调度网内，智能接处警系统推送联动指令控制继电器电路；</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 接收警情时自动联动控制消防救援站的营区广播、警灯、警铃、车库门等设备；</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 工业级制作工艺，可稳定运行在-25℃~+85℃环境</w:t>
            </w:r>
          </w:p>
        </w:tc>
      </w:tr>
      <w:tr>
        <w:tblPrEx>
          <w:tblCellMar>
            <w:top w:w="0" w:type="dxa"/>
            <w:left w:w="108" w:type="dxa"/>
            <w:bottom w:w="0" w:type="dxa"/>
            <w:right w:w="108" w:type="dxa"/>
          </w:tblCellMar>
        </w:tblPrEx>
        <w:trPr>
          <w:trHeight w:val="27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IP电话</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 宽频编解码：Opus，G.722；</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 窄频编解码：G.711(A/μ)， G.723.1， G.729， G.729A， G.726， iLBC；</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 支持SIP 协议；</w:t>
            </w:r>
          </w:p>
        </w:tc>
      </w:tr>
      <w:tr>
        <w:tblPrEx>
          <w:tblCellMar>
            <w:top w:w="0" w:type="dxa"/>
            <w:left w:w="108" w:type="dxa"/>
            <w:bottom w:w="0" w:type="dxa"/>
            <w:right w:w="108" w:type="dxa"/>
          </w:tblCellMar>
        </w:tblPrEx>
        <w:trPr>
          <w:trHeight w:val="27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处警终端（电脑）</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 配置：Intel 11700 CPU</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 16G内存，1T+256G 3060 12G显卡，千兆网卡</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 含键盘鼠标；</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 win10专业版操作系统；</w:t>
            </w: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显示器</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 1920*1080分辨率显示器</w:t>
            </w:r>
          </w:p>
        </w:tc>
      </w:tr>
      <w:tr>
        <w:tblPrEx>
          <w:tblCellMar>
            <w:top w:w="0" w:type="dxa"/>
            <w:left w:w="108" w:type="dxa"/>
            <w:bottom w:w="0" w:type="dxa"/>
            <w:right w:w="108" w:type="dxa"/>
          </w:tblCellMar>
        </w:tblPrEx>
        <w:trPr>
          <w:trHeight w:val="27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路由器</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 转发性能≥30Mpps，提供第三方证明材料；</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 设备CPU和交换芯片均为国产</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 实配不少于4个三层万兆口，4个三层千兆电口，4个三层千兆光口</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 实配不少于12个二层千兆电口，支持LAN/WAN切换</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 ▲存储 ≥8GB, 内存DRAM≥4GB，并提供第三方检测报告</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 ▲支持电源冗余，并支持电源模块热插拔</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 支持L3路由国际标准协议：RIP/RIPv2，OSPF，BGP4、IPv4,IPv6、支持PIM、IGMPv3、DHCP等协议</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 ▲支持国密局商密算法SM3/SM4</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 投标产品提供工信部入网证书。</w:t>
            </w:r>
          </w:p>
        </w:tc>
      </w:tr>
      <w:tr>
        <w:tblPrEx>
          <w:tblCellMar>
            <w:top w:w="0" w:type="dxa"/>
            <w:left w:w="108" w:type="dxa"/>
            <w:bottom w:w="0" w:type="dxa"/>
            <w:right w:w="108" w:type="dxa"/>
          </w:tblCellMar>
        </w:tblPrEx>
        <w:trPr>
          <w:trHeight w:val="27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防火墙</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 支持双机故障自动切换，配置文件和运行参数自动同步</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 ▲网络层吞吐量：3G；应用层吞吐量≥600M；并发连接数≥80W；新建连接数≥18000；千兆电口≥6个，内存大小≥2G，硬盘容量≥64G SSD，标准1U设备；</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 支持RIPv1/v2，OSPFv2/v3，BGP等动态路由协议；</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 支持多链路出站负载，支持基于源/目的IP、源/目的端口、协议、ISP、应用类型以及国家/地域来进行选路的策略路由选路功能；</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 支持IPv4／v6 NAT地址转换，支持源地址转换，目的地址转换和双向地址转换，支持针对源IP、目的IP和双向IP连接数控制；支持NAT64、NAT46 地址转换；</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 访问控制规则支持模拟策略匹配，输入源目的IP、端口、协议五元组信息，模拟策略匹配方式，给出最可能的匹配结果，方便排查故障，或环境部署前的调试；</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6.7 支持基于应用类型，网站类型，文件类型进行流量控制，支持基于IP段、时间、国家/地区、认证用户、子接口和VLAN进行流量控制；</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 ▲支持采用无特征AI检测技术对恶意勒索病毒及挖矿病毒等热点病毒进行检测，给出基于AI技术的病毒检测报告；（需提供相关功能截图证明并加盖厂商公章）</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 支持SYN Flood、ICMP Flood、UDP Flood、DNS Flood、ARP Flood攻击防护；</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6.10 支持内网访问控制，配置内网区域只允许指定的IP地址或IP范围对外进行访问，防止内部伪造源IP对外DoS攻击的情况；</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6.11 ▲具备勒索软件通信防护功能，提供第三方权威机构关于“勒索软件通信防护”产品功能检测报告。</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6.12 支持对终端已被种植了远控木马或者病毒等恶意软件进行检测，并且能够对检测到的恶意软件行为进行深入的分析，展示和外部命令控制服务器的交互行为和其他可疑行为；</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6.13 ▲产品支持Cookie攻击防护功能，并通过日志记录Cookie被篡改。所投产品必须提供第三方权威机构关于“Cookie攻击防护”功能项的产品检测报告。</w:t>
            </w:r>
          </w:p>
        </w:tc>
      </w:tr>
      <w:tr>
        <w:tblPrEx>
          <w:tblCellMar>
            <w:top w:w="0" w:type="dxa"/>
            <w:left w:w="108" w:type="dxa"/>
            <w:bottom w:w="0" w:type="dxa"/>
            <w:right w:w="108" w:type="dxa"/>
          </w:tblCellMar>
        </w:tblPrEx>
        <w:trPr>
          <w:trHeight w:val="120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 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6.15 支持与业界主流的上网行为管理或同品牌上网行为管理系统实现认证联动，同时部署产品后，可以实现认证同步机制，实现单点登录；</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6.16 ▲具备网端云协同联动功能，提供第三方权威机构关于“网端云协同联动”产品功能检测报告；</w:t>
            </w:r>
          </w:p>
        </w:tc>
      </w:tr>
      <w:tr>
        <w:tblPrEx>
          <w:tblCellMar>
            <w:top w:w="0" w:type="dxa"/>
            <w:left w:w="108" w:type="dxa"/>
            <w:bottom w:w="0" w:type="dxa"/>
            <w:right w:w="108" w:type="dxa"/>
          </w:tblCellMar>
        </w:tblPrEx>
        <w:trPr>
          <w:trHeight w:val="27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 交换容量≥432G，包转发率≥144Mpps；</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 固化10/100/1000M以太网端口≥48，固化10G/1G SFP+光接口≥4个；</w:t>
            </w:r>
          </w:p>
        </w:tc>
      </w:tr>
      <w:tr>
        <w:tblPrEx>
          <w:tblCellMar>
            <w:top w:w="0" w:type="dxa"/>
            <w:left w:w="108" w:type="dxa"/>
            <w:bottom w:w="0" w:type="dxa"/>
            <w:right w:w="108" w:type="dxa"/>
          </w:tblCellMar>
        </w:tblPrEx>
        <w:trPr>
          <w:trHeight w:val="9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 支持生成树协议STP(IEEE 802.1d)，RSTP(IEEE 802.1w)和MSTP(IEEE 802.1s)，完全保证快速收敛，提高容错能力，保证网络的稳定运行和链路的负载均衡，合理使用网络通道，提供冗余链路利用率。</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7.4 支持IPV4/IPV6静态路由，RIP、RIPng</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 ▲支持特有的CPU保护策略，对发往CPU的数据流，进行流区分和优先级队列分级处理，并根据需要实施带宽限速，充分保护CPU不被非法流量占用、恶意攻击和资源消耗</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 ▲支持快速链路检测协议，可快速检测链路的通断和光纤链路的单向性，并支持端口下的环路检测功能，防止端口下因私接Hub等设备形成的环路而导致网络故障的现象。</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7.7 ▲为保证设备在受到外界机械碰撞时能够正常运行，要求所投交换机IK防护测试级别至少达到IK05，提供国家认可的检测机构出具的IK防护等级测试报告并加盖产品厂商公章</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7.8 提供工信部设备进网许可证</w:t>
            </w: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辅助材料</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8.1 2个接入点，线材，标签纸，电源线及插排等</w:t>
            </w:r>
          </w:p>
        </w:tc>
      </w:tr>
      <w:tr>
        <w:tblPrEx>
          <w:tblCellMar>
            <w:top w:w="0" w:type="dxa"/>
            <w:left w:w="108" w:type="dxa"/>
            <w:bottom w:w="0" w:type="dxa"/>
            <w:right w:w="108" w:type="dxa"/>
          </w:tblCellMar>
        </w:tblPrEx>
        <w:trPr>
          <w:trHeight w:val="48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一体式视频会议终端</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 采用嵌入式硬件一体化结构，内置1080p高清摄像头，部署便捷。</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9.2 会议速率支持128Kbps—8Mbps。</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9.3 ▲终端需无缝接入支队MCU（投标人需提供原厂技术承诺函）。</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9.4 支持ITU-T H.323和IETF SIP通信标准。</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 支持H.263、H.264、H.264 High Profile等视频编解码协议。</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9.6 支持G.711、G.722、G.728、G.722.1AnnexC、G.719、MPEG4-AAC LC/LD等音频协议，可达到20KHz以上的宽频效果。</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9.7 支持H.239标准双流协议。</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9.8 内置高清PTZ摄像机，支持12倍光学变焦，支持不小于72°水平广角视野，水平转动角度不小于±100°、垂直不小于±30°</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9.9 ▲除内置摄像机外，还需独立提供不少于1路视频输入、2路视频输出接口、1路10/100M以太网接口，不得采用私有非标接口或转接线缆实现。（投标人需提供所投设备的背板清晰彩色照片证明）</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9.10 ▲支持1080p60高清视频解码、支持1080p30高清视频编码，并向下兼容4CIF、CIF标清图像格式。（投标人需提供权威机构检测报告证明）</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9.11 支持动态图像双流和PC图像双流两种功能，在保证主流视频1080p30fps前提下，第二路视频流不低于1080p30fps。</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9.12 支持申请发言、申请主席等功能，主席终端可广播发言会场、视频选看、控制远端摄像机、邀请终端入会、强制终端退会、结束会议等功能。</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9.13 支持在终端控制软件对本地和远端会场图像进行实时监控及预览。</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9.14 ▲终端注册平台后，可实时获取当前已建的会议室列表及状态，可以直接选择需要参加的虚拟会议室参加入会（投标人需提供权威机构检测报告证明）</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9.15 ▲终端可通过云端模板创建会议，支持修改、保存成定制模板（投标人需提供权威机构检测报告证明）</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9.16 终端在空闲状态下，与外置的数字录像点播服务器配合，支持终端点播功能。</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9.17 具有基本的系统检测诊断功能，包括呼叫状态显示、网络信息统计、本端音视频自环测试、日志、远程升级维护等功能。</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9.18 终端自带电源开关按键，可一键打开或关闭终端电源。</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9.19 具备较强的网络抗丢包能力，在IP网络达到12%丢包时声音清晰、图像流畅、无马赛克，25%的丢包率情况下会议仍可进行。</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9.20 ▲提供产品3C认证、电信设备入网证</w:t>
            </w: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安装部署服务</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10.1 所有设备安装部署、调试</w:t>
            </w:r>
          </w:p>
        </w:tc>
      </w:tr>
      <w:tr>
        <w:tblPrEx>
          <w:tblCellMar>
            <w:top w:w="0" w:type="dxa"/>
            <w:left w:w="108" w:type="dxa"/>
            <w:bottom w:w="0" w:type="dxa"/>
            <w:right w:w="108" w:type="dxa"/>
          </w:tblCellMar>
        </w:tblPrEx>
        <w:trPr>
          <w:trHeight w:val="4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综合布线</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 接处警相关弱电、车库大门的联动控制，宿舍、食堂、训练场等地方的警铃联动等综合布线</w:t>
            </w:r>
          </w:p>
        </w:tc>
      </w:tr>
      <w:tr>
        <w:tblPrEx>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链路租赁服务</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12.1 50M专线链路*2*1年</w:t>
            </w:r>
          </w:p>
        </w:tc>
      </w:tr>
      <w:tr>
        <w:tblPrEx>
          <w:tblCellMar>
            <w:top w:w="0" w:type="dxa"/>
            <w:left w:w="108" w:type="dxa"/>
            <w:bottom w:w="0" w:type="dxa"/>
            <w:right w:w="108" w:type="dxa"/>
          </w:tblCellMar>
        </w:tblPrEx>
        <w:trPr>
          <w:trHeight w:val="48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AVCON嵌入式5G布控球</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 ▲可无缝接入消防图像综合管理平台，指挥中心可实时调度视频，双向语音对讲（提供应用截图）</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13.2 摄像机使用超星光级高清机芯，有效像素≥200万，传感器CMOS尺寸≥1/2.8″，支持360度全向云台，垂直旋转距离支持-15°到90°</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13.3 光学变焦≥30倍，数字变焦≥12倍，支持激光夜视，距离≥100米</w:t>
            </w:r>
          </w:p>
        </w:tc>
      </w:tr>
      <w:tr>
        <w:tblPrEx>
          <w:tblCellMar>
            <w:top w:w="0" w:type="dxa"/>
            <w:left w:w="108" w:type="dxa"/>
            <w:bottom w:w="0" w:type="dxa"/>
            <w:right w:w="108" w:type="dxa"/>
          </w:tblCellMar>
        </w:tblPrEx>
        <w:trPr>
          <w:trHeight w:val="9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13.4 内置4G全网通模块，支持双卡双待，支持APN和VPDN专网，天线内置；内置WIFI模块，支持802.11b/g/n，支持无线AP，内置蓝牙模块，支持蓝牙4.0，支持蓝牙手咪/耳机连接；内置GPS/北斗模块，支持双模定位，天线内置，支持基站定位</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13.5 支持双TF卡存储，单卡支持128G，录像支持标准格式，支持循环覆盖</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13.6 支持机身自带OLED屏显示当前运行状态，包括电池电量、4G、WIFI、蓝牙、GPS连接状态、信号强度，平台连接状态等信息；</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13.7 内置电池可持续工作≥8小时</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13.8 ▲设备具有中国国家强制性产品认证证书</w:t>
            </w:r>
          </w:p>
        </w:tc>
      </w:tr>
      <w:tr>
        <w:tblPrEx>
          <w:tblCellMar>
            <w:top w:w="0" w:type="dxa"/>
            <w:left w:w="108" w:type="dxa"/>
            <w:bottom w:w="0" w:type="dxa"/>
            <w:right w:w="108" w:type="dxa"/>
          </w:tblCellMar>
        </w:tblPrEx>
        <w:trPr>
          <w:trHeight w:val="7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消防站视频指挥系统</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 ▲可无缝接入湖北消防救援总队已建成的图像综合管理平台，实现视频指挥、营区监控、本地录像等功能，可调取随州消防救援支队4G图像、卫星图像等图像资源（提供应用截图）</w:t>
            </w:r>
          </w:p>
        </w:tc>
      </w:tr>
      <w:tr>
        <w:tblPrEx>
          <w:tblCellMar>
            <w:top w:w="0" w:type="dxa"/>
            <w:left w:w="108" w:type="dxa"/>
            <w:bottom w:w="0" w:type="dxa"/>
            <w:right w:w="108" w:type="dxa"/>
          </w:tblCellMar>
        </w:tblPrEx>
        <w:trPr>
          <w:trHeight w:val="7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14.2 通信标准：H.323、SIP；视频标准：H.264、H.264 High Profile；音频标准：G.711/G722/G.722.1/ G.729/G.719，Audec宽频语音；双流多流：H.239、H.239+；</w:t>
            </w:r>
          </w:p>
        </w:tc>
      </w:tr>
      <w:tr>
        <w:tblPrEx>
          <w:tblCellMar>
            <w:top w:w="0" w:type="dxa"/>
            <w:left w:w="108" w:type="dxa"/>
            <w:bottom w:w="0" w:type="dxa"/>
            <w:right w:w="108" w:type="dxa"/>
          </w:tblCellMar>
        </w:tblPrEx>
        <w:trPr>
          <w:trHeight w:val="9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14.3 ▲设备支持多网络互联互通，支持在局域网、互联网、4G、WIFI等多种网络环境下召开会议，能实现终端、移动终端、车载终端进行音视频互通，可以调取4G单兵终端、4G布控球等设备视频图像，并与其进行音频互通；（提供权威机构出具的第三方检测报告）</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14.4 视频输入接口支持1×HDMI、1×SDI高清输入；视频输出接口支持1×HDMI、1×DP全高清解码输；</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14.5 音频输入支持1路3.5接口MIC IN和1路AMAI接口MIC IN；音频输出支持1路LINE OUT（RCA接口）；</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14.6 ▲终端支持本地录制数字会议录像和回放，支持选择会场中单路音视频进行录像或回放；（提供权威机构出具的第三方检测报告）</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14.7 产品需通过国家强制认证标准，获得3C认证证书</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14.8 摄像机采用1/2.8英寸高品质图像传感器，有效像素207万、16：9，最大分辨率可达1920x1080，输出帧率高达60帧/秒</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14.9 摄像机镜头光学变倍支持12倍光学变焦，f＝3.9～46.8mm</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14.10 摄像机视角支持6.3°(窄角)～72.5°(广角)</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14.11 摄像机支持F1.8 ～ F2.4光圈系数</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14.12 摄像机支持X12倍数字变倍</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14.13 摄像机视频输出接口DVI、SDI接口</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14.14 无线麦克风咪芯类型支持电容式</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14.15 无线麦克风拾音方式为心形指向</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14.16 无线麦克风频率范围640-690MHZ</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14.17 无线麦克风射频带宽60MHZ</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14.18 无线麦克风发射功率10mW</w:t>
            </w:r>
          </w:p>
        </w:tc>
      </w:tr>
      <w:tr>
        <w:tblPrEx>
          <w:tblCellMar>
            <w:top w:w="0" w:type="dxa"/>
            <w:left w:w="108" w:type="dxa"/>
            <w:bottom w:w="0" w:type="dxa"/>
            <w:right w:w="108" w:type="dxa"/>
          </w:tblCellMar>
        </w:tblPrEx>
        <w:trPr>
          <w:trHeight w:val="48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5G单兵图传</w:t>
            </w: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15.1 ▲可无缝接入消防图像综合管理平台，指挥中心可实时调度视频，双向语音对讲（提供应用截图）</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15.2 ▲支持同时配置3个不同的服务器地址，现场可根据实际使用情况灵活选择（提供应用截图）</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15.3 采用嵌入式系统，视频编码支持H.264、H.265，音频编码支持G711、GSM、Audec</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15.4 具有OLED显示屏，可以显示信号状态、中文、数字等信息，支持触摸按键</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15.5 1×HDMI输入，可外接DV摄像机、无人机遥控器等高清视频源接入</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15.6 1×3.5mm耳麦一体接口，1×HDMI输入，内置蓝牙，支持蓝牙耳机连接</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15.7 1×4G全网通，1×5G全网通，1×WIFI，支持1×10/100M以太网口（可由USB接口转出）</w:t>
            </w:r>
          </w:p>
        </w:tc>
      </w:tr>
      <w:tr>
        <w:tblPrEx>
          <w:tblCellMar>
            <w:top w:w="0" w:type="dxa"/>
            <w:left w:w="108" w:type="dxa"/>
            <w:bottom w:w="0" w:type="dxa"/>
            <w:right w:w="108" w:type="dxa"/>
          </w:tblCellMar>
        </w:tblPrEx>
        <w:trPr>
          <w:trHeight w:val="4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15.8 内置北斗&amp;GPS模块，支持GPS和北斗双模定位，将定位设备信息上传指挥中心</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15.9 内置锂电池，续航时间不低于8小时</w:t>
            </w:r>
          </w:p>
        </w:tc>
      </w:tr>
      <w:tr>
        <w:tblPrEx>
          <w:tblCellMar>
            <w:top w:w="0" w:type="dxa"/>
            <w:left w:w="108" w:type="dxa"/>
            <w:bottom w:w="0" w:type="dxa"/>
            <w:right w:w="108" w:type="dxa"/>
          </w:tblCellMar>
        </w:tblPrEx>
        <w:trPr>
          <w:trHeight w:val="27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15.10 ▲设备通过国家强制性产品认证</w:t>
            </w:r>
          </w:p>
        </w:tc>
      </w:tr>
    </w:tbl>
    <w:p>
      <w:pPr>
        <w:bidi w:val="0"/>
        <w:rPr>
          <w:rFonts w:hint="eastAsia"/>
          <w:sz w:val="24"/>
          <w:szCs w:val="24"/>
          <w:lang w:val="en-US" w:eastAsia="zh-CN"/>
        </w:rPr>
      </w:pPr>
    </w:p>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五、商务要求</w:t>
      </w:r>
      <w:bookmarkEnd w:id="55"/>
      <w:bookmarkEnd w:id="56"/>
    </w:p>
    <w:p>
      <w:pPr>
        <w:spacing w:line="360" w:lineRule="auto"/>
        <w:ind w:left="713" w:hanging="712" w:hangingChars="297"/>
        <w:rPr>
          <w:rFonts w:ascii="宋体" w:hAnsi="宋体" w:eastAsia="宋体" w:cs="仿宋_GB2312"/>
          <w:b/>
          <w:sz w:val="24"/>
          <w:szCs w:val="24"/>
        </w:rPr>
      </w:pPr>
      <w:r>
        <w:rPr>
          <w:rFonts w:hint="eastAsia" w:ascii="宋体" w:hAnsi="宋体" w:eastAsia="宋体" w:cs="宋体"/>
          <w:color w:val="000000"/>
          <w:sz w:val="24"/>
          <w:szCs w:val="24"/>
        </w:rPr>
        <w:t>说明：</w:t>
      </w:r>
      <w:r>
        <w:rPr>
          <w:rFonts w:hint="eastAsia" w:ascii="宋体" w:hAnsi="宋体" w:eastAsia="宋体" w:cs="仿宋_GB2312"/>
          <w:sz w:val="24"/>
          <w:szCs w:val="24"/>
        </w:rPr>
        <w:t>投标人将在投标文件《商务要求响应、偏离说明表》中对以下商务要求进行响应描述或偏离说明并提供证明资料，请采购人对不满足即为废标项的进行注明。</w:t>
      </w:r>
    </w:p>
    <w:tbl>
      <w:tblPr>
        <w:tblStyle w:val="4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ind w:left="-57" w:leftChars="-27" w:right="-78" w:rightChars="-37"/>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商务条款</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pPr>
              <w:ind w:left="-92" w:leftChars="-44" w:right="-78" w:rightChars="-37"/>
              <w:jc w:val="center"/>
              <w:rPr>
                <w:rFonts w:ascii="宋体" w:hAnsi="宋体" w:eastAsia="宋体" w:cs="Times New Roman"/>
                <w:sz w:val="24"/>
                <w:szCs w:val="24"/>
              </w:rPr>
            </w:pPr>
            <w:r>
              <w:rPr>
                <w:rFonts w:hint="eastAsia" w:ascii="宋体" w:hAnsi="宋体" w:eastAsia="宋体" w:cs="Times New Roman"/>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11"/>
              </w:numPr>
              <w:ind w:right="-78"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交付的时间和地点</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pPr>
              <w:ind w:left="-92" w:leftChars="-44" w:right="-78" w:rightChars="-37"/>
              <w:jc w:val="both"/>
              <w:rPr>
                <w:rFonts w:hint="eastAsia"/>
              </w:rPr>
            </w:pPr>
            <w:r>
              <w:rPr>
                <w:rFonts w:hint="eastAsia"/>
              </w:rPr>
              <w:t>交付时间：合同签订之日起</w:t>
            </w:r>
            <w:r>
              <w:rPr>
                <w:rFonts w:hint="eastAsia"/>
                <w:lang w:val="en-US" w:eastAsia="zh-CN"/>
              </w:rPr>
              <w:t>6</w:t>
            </w:r>
            <w:r>
              <w:rPr>
                <w:rFonts w:hint="eastAsia"/>
              </w:rPr>
              <w:t>0个日历天</w:t>
            </w:r>
          </w:p>
          <w:p>
            <w:pPr>
              <w:ind w:left="-92" w:leftChars="-44" w:right="-78" w:rightChars="-37"/>
              <w:jc w:val="both"/>
            </w:pPr>
            <w:r>
              <w:rPr>
                <w:rFonts w:hint="eastAsia" w:hAnsi="宋体"/>
                <w:szCs w:val="24"/>
              </w:rPr>
              <w:t>交付扡点：招标人指定地点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11"/>
              </w:numPr>
              <w:ind w:right="-78"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付款条件</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pPr>
              <w:ind w:left="-92" w:leftChars="-44" w:right="-78" w:rightChars="-37"/>
              <w:jc w:val="both"/>
              <w:rPr>
                <w:rFonts w:hint="eastAsia"/>
              </w:rPr>
            </w:pPr>
            <w:r>
              <w:rPr>
                <w:rFonts w:hint="eastAsia"/>
              </w:rPr>
              <w:t>付款条件：合同签订后付20%，项目完成后付7</w:t>
            </w:r>
            <w:r>
              <w:rPr>
                <w:rFonts w:hint="eastAsia"/>
                <w:lang w:val="en-US" w:eastAsia="zh-CN"/>
              </w:rPr>
              <w:t>5</w:t>
            </w:r>
            <w:r>
              <w:rPr>
                <w:rFonts w:hint="eastAsia"/>
              </w:rPr>
              <w:t>%，质保期满一年后</w:t>
            </w:r>
            <w:r>
              <w:rPr>
                <w:rFonts w:hint="eastAsia"/>
                <w:lang w:val="en-US" w:eastAsia="zh-CN"/>
              </w:rPr>
              <w:t>5</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11"/>
              </w:numPr>
              <w:ind w:right="-78"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包装和运输要求</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pPr>
              <w:ind w:left="-92" w:leftChars="-44" w:right="-78" w:rightChars="-37"/>
              <w:jc w:val="both"/>
              <w:rPr>
                <w:rFonts w:hint="eastAsia"/>
              </w:rPr>
            </w:pPr>
            <w:r>
              <w:rPr>
                <w:rFonts w:hint="eastAsi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11"/>
              </w:numPr>
              <w:ind w:right="-78"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lang w:eastAsia="zh-CN"/>
              </w:rPr>
              <w:t>质保期</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pPr>
              <w:ind w:left="-92" w:leftChars="-44" w:right="-78" w:rightChars="-37"/>
              <w:jc w:val="both"/>
              <w:rPr>
                <w:rFonts w:hint="eastAsia"/>
              </w:rPr>
            </w:pPr>
            <w:r>
              <w:rPr>
                <w:rFonts w:hint="eastAsia"/>
              </w:rPr>
              <w:t>质保期：一年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11"/>
              </w:numPr>
              <w:ind w:right="-78"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保险要求</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pPr>
              <w:ind w:left="-92" w:leftChars="-44" w:right="-78" w:rightChars="-37"/>
              <w:jc w:val="both"/>
              <w:rPr>
                <w:rFonts w:hint="eastAsia"/>
              </w:rPr>
            </w:pPr>
            <w:r>
              <w:rPr>
                <w:rFonts w:hint="eastAsi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11"/>
              </w:numPr>
              <w:ind w:right="-78"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hint="eastAsia" w:ascii="宋体" w:hAnsi="宋体" w:eastAsia="宋体" w:cs="宋体"/>
                <w:bCs/>
                <w:color w:val="000000"/>
                <w:kern w:val="0"/>
                <w:sz w:val="24"/>
                <w:szCs w:val="24"/>
                <w:lang w:val="en-US" w:eastAsia="zh-CN"/>
              </w:rPr>
            </w:pPr>
            <w:r>
              <w:rPr>
                <w:rFonts w:hint="eastAsia" w:ascii="宋体" w:hAnsi="宋体" w:eastAsia="宋体" w:cs="宋体"/>
                <w:color w:val="000000"/>
                <w:kern w:val="0"/>
                <w:sz w:val="20"/>
                <w:szCs w:val="20"/>
                <w:lang w:bidi="ar"/>
              </w:rPr>
              <w:t>▲</w:t>
            </w:r>
            <w:r>
              <w:rPr>
                <w:rFonts w:hint="eastAsia" w:ascii="宋体" w:hAnsi="宋体" w:eastAsia="宋体" w:cs="宋体"/>
                <w:bCs/>
                <w:color w:val="000000"/>
                <w:kern w:val="0"/>
                <w:sz w:val="24"/>
                <w:szCs w:val="24"/>
                <w:lang w:val="en-US" w:eastAsia="zh-CN"/>
              </w:rPr>
              <w:t>企业实力</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12"/>
              </w:numPr>
              <w:ind w:left="-92" w:leftChars="-44" w:right="-78" w:rightChars="-37"/>
              <w:jc w:val="both"/>
              <w:rPr>
                <w:rFonts w:hint="default"/>
                <w:lang w:val="en-US" w:eastAsia="zh-CN"/>
              </w:rPr>
            </w:pPr>
            <w:r>
              <w:rPr>
                <w:rFonts w:hint="eastAsia"/>
              </w:rPr>
              <w:t>投标人具有ISO9001质量管理体系认证证书、ISO27001信息安全管理体系认证证书、ISO20000IT信息技术服务管理体系认证证书、ISO14001环境管理体系认证证书、ISO45001职业健康安全管理体系认证证书</w:t>
            </w:r>
            <w:r>
              <w:rPr>
                <w:rFonts w:hint="eastAsia"/>
                <w:lang w:eastAsia="zh-CN"/>
              </w:rPr>
              <w:t>；</w:t>
            </w:r>
            <w:r>
              <w:rPr>
                <w:rFonts w:hint="eastAsia"/>
                <w:lang w:val="en-US" w:eastAsia="zh-CN"/>
              </w:rPr>
              <w:t xml:space="preserve">    2、</w:t>
            </w:r>
            <w:r>
              <w:rPr>
                <w:rFonts w:hint="eastAsia"/>
              </w:rPr>
              <w:t>投标人具备守合同重信用证书</w:t>
            </w:r>
            <w:r>
              <w:rPr>
                <w:rFonts w:hint="eastAsia"/>
                <w:lang w:eastAsia="zh-CN"/>
              </w:rPr>
              <w:t>。</w:t>
            </w:r>
          </w:p>
          <w:p>
            <w:pPr>
              <w:pStyle w:val="2"/>
              <w:rPr>
                <w:rFonts w:hint="default"/>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11"/>
              </w:numPr>
              <w:ind w:right="-78"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售后服务</w:t>
            </w:r>
          </w:p>
        </w:tc>
        <w:tc>
          <w:tcPr>
            <w:tcW w:w="6518"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0"/>
              </w:numPr>
              <w:ind w:right="-78" w:rightChars="-37"/>
              <w:jc w:val="both"/>
              <w:rPr>
                <w:rFonts w:hint="eastAsia"/>
                <w:lang w:val="en-US" w:eastAsia="zh-CN"/>
              </w:rPr>
            </w:pPr>
          </w:p>
          <w:p>
            <w:pPr>
              <w:numPr>
                <w:ilvl w:val="0"/>
                <w:numId w:val="0"/>
              </w:numPr>
              <w:ind w:right="-78" w:rightChars="-37"/>
              <w:jc w:val="both"/>
              <w:rPr>
                <w:rFonts w:hint="eastAsia"/>
              </w:rPr>
            </w:pPr>
            <w:r>
              <w:rPr>
                <w:rFonts w:hint="eastAsia"/>
                <w:lang w:val="en-US" w:eastAsia="zh-CN"/>
              </w:rPr>
              <w:t>1、</w:t>
            </w:r>
            <w:r>
              <w:rPr>
                <w:rFonts w:hint="eastAsia"/>
              </w:rPr>
              <w:t>投标项目负责人员同时具备项目管理专业人员资格认证、网络安全能力认证（CCSC）、二级及以上建造师、注册信息安全工程师（CISP）</w:t>
            </w:r>
          </w:p>
          <w:p>
            <w:pPr>
              <w:numPr>
                <w:ilvl w:val="0"/>
                <w:numId w:val="0"/>
              </w:numPr>
              <w:ind w:right="-78" w:rightChars="-37"/>
              <w:jc w:val="both"/>
              <w:rPr>
                <w:rFonts w:hint="eastAsia"/>
              </w:rPr>
            </w:pPr>
            <w:r>
              <w:rPr>
                <w:rFonts w:hint="eastAsia"/>
                <w:lang w:val="en-US" w:eastAsia="zh-CN"/>
              </w:rPr>
              <w:t>2、</w:t>
            </w:r>
            <w:r>
              <w:rPr>
                <w:rFonts w:hint="eastAsia"/>
              </w:rPr>
              <w:t>售后服务人员同时具备ITSS服务工程师、信息系统项目管理师认证</w:t>
            </w:r>
          </w:p>
          <w:p>
            <w:pPr>
              <w:pStyle w:val="2"/>
              <w:rPr>
                <w:rFonts w:hint="eastAsia"/>
              </w:rPr>
            </w:pPr>
          </w:p>
        </w:tc>
      </w:tr>
    </w:tbl>
    <w:p>
      <w:pPr>
        <w:pStyle w:val="201"/>
        <w:keepNext w:val="0"/>
        <w:keepLines w:val="0"/>
        <w:pageBreakBefore w:val="0"/>
        <w:kinsoku/>
        <w:wordWrap/>
        <w:overflowPunct/>
        <w:topLinePunct w:val="0"/>
        <w:autoSpaceDE/>
        <w:autoSpaceDN/>
        <w:bidi w:val="0"/>
        <w:adjustRightInd/>
        <w:snapToGrid/>
        <w:spacing w:line="360" w:lineRule="auto"/>
        <w:ind w:right="264"/>
        <w:textAlignment w:val="auto"/>
        <w:rPr>
          <w:rFonts w:hint="eastAsia" w:ascii="宋体" w:hAnsi="宋体" w:eastAsia="宋体" w:cs="宋体"/>
          <w:kern w:val="2"/>
          <w:sz w:val="24"/>
          <w:szCs w:val="24"/>
          <w:lang w:val="en-US" w:eastAsia="zh-CN" w:bidi="ar-SA"/>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Style w:val="201"/>
        <w:spacing w:line="360" w:lineRule="auto"/>
        <w:ind w:right="264"/>
        <w:rPr>
          <w:rFonts w:hint="eastAsia" w:eastAsia="宋体" w:cs="宋体"/>
          <w:kern w:val="2"/>
          <w:sz w:val="24"/>
          <w:szCs w:val="24"/>
          <w:lang w:eastAsia="zh-CN"/>
        </w:rPr>
      </w:pPr>
    </w:p>
    <w:p>
      <w:pPr>
        <w:pageBreakBefore w:val="0"/>
        <w:kinsoku/>
        <w:wordWrap/>
        <w:overflowPunct/>
        <w:topLinePunct w:val="0"/>
        <w:bidi w:val="0"/>
        <w:adjustRightInd/>
        <w:snapToGrid w:val="0"/>
        <w:spacing w:line="440" w:lineRule="exact"/>
        <w:ind w:right="0" w:rightChars="0"/>
        <w:jc w:val="both"/>
        <w:textAlignment w:val="auto"/>
        <w:outlineLvl w:val="0"/>
        <w:rPr>
          <w:rFonts w:ascii="Times New Roman" w:hAnsi="Times New Roman" w:cs="Times New Roman"/>
          <w:b/>
          <w:color w:val="auto"/>
          <w:sz w:val="36"/>
          <w:szCs w:val="36"/>
        </w:rPr>
      </w:pPr>
    </w:p>
    <w:p>
      <w:pPr>
        <w:pStyle w:val="29"/>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42"/>
      <w:bookmarkEnd w:id="43"/>
    </w:p>
    <w:p>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7"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57"/>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20</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50</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8" w:name="_Toc25462"/>
      <w:r>
        <w:rPr>
          <w:rFonts w:hint="eastAsia" w:ascii="宋体" w:hAnsi="宋体" w:eastAsia="宋体" w:cstheme="minorEastAsia"/>
          <w:b/>
          <w:color w:val="auto"/>
          <w:sz w:val="28"/>
          <w:szCs w:val="28"/>
        </w:rPr>
        <w:t>二、评审步骤</w:t>
      </w:r>
      <w:bookmarkEnd w:id="58"/>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磋商小组按下表内容对供应商资格性和符合性及证明资料进行审查，响应文件审查不满足《资格性和符合性检查表》中要求的，应视为资格性和符合性审查不合格，按照无效响应处理，磋商小组有权拒绝该供应商参加磋商。资格性和符合性审查合格的投标人不足 3 家的，不进行综合比较和评价。提供的核心产品品牌相同的不同投标人按一家投标人计算。</w:t>
      </w:r>
    </w:p>
    <w:tbl>
      <w:tblPr>
        <w:tblStyle w:val="4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34"/>
        <w:gridCol w:w="2969"/>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right"/>
        </w:trPr>
        <w:tc>
          <w:tcPr>
            <w:tcW w:w="9462" w:type="dxa"/>
            <w:gridSpan w:val="4"/>
            <w:vAlign w:val="center"/>
          </w:tcPr>
          <w:p>
            <w:pPr>
              <w:pStyle w:val="23"/>
              <w:ind w:left="0"/>
              <w:jc w:val="center"/>
              <w:rPr>
                <w:rFonts w:hint="eastAsia" w:asciiTheme="minorEastAsia" w:hAnsiTheme="minorEastAsia" w:eastAsiaTheme="minorEastAsia" w:cstheme="minorEastAsia"/>
                <w:i w:val="0"/>
                <w:kern w:val="0"/>
                <w:sz w:val="24"/>
                <w:szCs w:val="24"/>
              </w:rPr>
            </w:pPr>
            <w:r>
              <w:rPr>
                <w:rFonts w:hint="eastAsia" w:asciiTheme="minorEastAsia" w:hAnsiTheme="minorEastAsia" w:eastAsiaTheme="minorEastAsia" w:cstheme="minorEastAsia"/>
                <w:bCs/>
                <w:i w:val="0"/>
                <w:kern w:val="0"/>
                <w:sz w:val="28"/>
                <w:szCs w:val="28"/>
              </w:rPr>
              <w:t>供应商</w:t>
            </w:r>
            <w:r>
              <w:rPr>
                <w:rFonts w:hint="eastAsia" w:asciiTheme="minorEastAsia" w:hAnsiTheme="minorEastAsia" w:eastAsiaTheme="minorEastAsia" w:cstheme="minorEastAsia"/>
                <w:i w:val="0"/>
                <w:kern w:val="0"/>
                <w:sz w:val="28"/>
                <w:szCs w:val="28"/>
              </w:rPr>
              <w:t>资格性和符合性检查表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right"/>
        </w:trPr>
        <w:tc>
          <w:tcPr>
            <w:tcW w:w="616" w:type="dxa"/>
            <w:vAlign w:val="center"/>
          </w:tcPr>
          <w:p>
            <w:pPr>
              <w:pStyle w:val="23"/>
              <w:ind w:left="0"/>
              <w:jc w:val="center"/>
              <w:rPr>
                <w:rFonts w:hint="eastAsia" w:asciiTheme="minorEastAsia" w:hAnsiTheme="minorEastAsia" w:eastAsiaTheme="minorEastAsia" w:cstheme="minorEastAsia"/>
                <w:i w:val="0"/>
                <w:kern w:val="0"/>
                <w:sz w:val="24"/>
                <w:szCs w:val="24"/>
              </w:rPr>
            </w:pPr>
            <w:r>
              <w:rPr>
                <w:rFonts w:hint="eastAsia" w:asciiTheme="minorEastAsia" w:hAnsiTheme="minorEastAsia" w:eastAsiaTheme="minorEastAsia" w:cstheme="minorEastAsia"/>
                <w:i w:val="0"/>
                <w:kern w:val="0"/>
                <w:sz w:val="24"/>
                <w:szCs w:val="24"/>
              </w:rPr>
              <w:t>序号</w:t>
            </w:r>
          </w:p>
        </w:tc>
        <w:tc>
          <w:tcPr>
            <w:tcW w:w="3603" w:type="dxa"/>
            <w:gridSpan w:val="2"/>
            <w:vAlign w:val="center"/>
          </w:tcPr>
          <w:p>
            <w:pPr>
              <w:pStyle w:val="23"/>
              <w:ind w:left="0"/>
              <w:jc w:val="center"/>
              <w:rPr>
                <w:rFonts w:hint="eastAsia" w:asciiTheme="minorEastAsia" w:hAnsiTheme="minorEastAsia" w:eastAsiaTheme="minorEastAsia" w:cstheme="minorEastAsia"/>
                <w:i w:val="0"/>
                <w:kern w:val="0"/>
                <w:sz w:val="24"/>
                <w:szCs w:val="24"/>
              </w:rPr>
            </w:pPr>
            <w:r>
              <w:rPr>
                <w:rFonts w:hint="eastAsia" w:asciiTheme="minorEastAsia" w:hAnsiTheme="minorEastAsia" w:eastAsiaTheme="minorEastAsia" w:cstheme="minorEastAsia"/>
                <w:i w:val="0"/>
                <w:kern w:val="0"/>
                <w:sz w:val="24"/>
                <w:szCs w:val="24"/>
              </w:rPr>
              <w:t>资格</w:t>
            </w:r>
            <w:r>
              <w:rPr>
                <w:rFonts w:hint="eastAsia" w:asciiTheme="minorEastAsia" w:hAnsiTheme="minorEastAsia" w:eastAsiaTheme="minorEastAsia" w:cstheme="minorEastAsia"/>
                <w:i w:val="0"/>
                <w:kern w:val="0"/>
                <w:sz w:val="24"/>
                <w:szCs w:val="24"/>
                <w:lang w:eastAsia="zh-CN"/>
              </w:rPr>
              <w:t>及符合性</w:t>
            </w:r>
            <w:r>
              <w:rPr>
                <w:rFonts w:hint="eastAsia" w:asciiTheme="minorEastAsia" w:hAnsiTheme="minorEastAsia" w:eastAsiaTheme="minorEastAsia" w:cstheme="minorEastAsia"/>
                <w:i w:val="0"/>
                <w:kern w:val="0"/>
                <w:sz w:val="24"/>
                <w:szCs w:val="24"/>
              </w:rPr>
              <w:t>审查条款</w:t>
            </w:r>
          </w:p>
        </w:tc>
        <w:tc>
          <w:tcPr>
            <w:tcW w:w="5243" w:type="dxa"/>
            <w:vAlign w:val="center"/>
          </w:tcPr>
          <w:p>
            <w:pPr>
              <w:pStyle w:val="23"/>
              <w:ind w:left="0"/>
              <w:jc w:val="center"/>
              <w:rPr>
                <w:rFonts w:hint="eastAsia" w:asciiTheme="minorEastAsia" w:hAnsiTheme="minorEastAsia" w:eastAsiaTheme="minorEastAsia" w:cstheme="minorEastAsia"/>
                <w:i w:val="0"/>
                <w:kern w:val="0"/>
                <w:sz w:val="24"/>
                <w:szCs w:val="24"/>
              </w:rPr>
            </w:pPr>
            <w:r>
              <w:rPr>
                <w:rFonts w:hint="eastAsia" w:asciiTheme="minorEastAsia" w:hAnsiTheme="minorEastAsia" w:eastAsiaTheme="minorEastAsia" w:cstheme="minorEastAsia"/>
                <w:i w:val="0"/>
                <w:kern w:val="0"/>
                <w:sz w:val="24"/>
                <w:szCs w:val="24"/>
              </w:rPr>
              <w:t>审查要求和内容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Merge w:val="restart"/>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restart"/>
            <w:vAlign w:val="center"/>
          </w:tcPr>
          <w:p>
            <w:pPr>
              <w:suppressLineNumbers/>
              <w:rPr>
                <w:rFonts w:hint="eastAsia" w:asciiTheme="minorEastAsia" w:hAnsiTheme="minorEastAsia" w:eastAsiaTheme="minorEastAsia" w:cstheme="minorEastAsia"/>
                <w:color w:val="0D0D0D" w:themeColor="text1" w:themeTint="F2"/>
                <w:kern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00000"/>
                <w:kern w:val="0"/>
                <w:sz w:val="24"/>
                <w:szCs w:val="24"/>
              </w:rPr>
              <w:t>《政府采购法》第二十二条规定</w:t>
            </w:r>
          </w:p>
        </w:tc>
        <w:tc>
          <w:tcPr>
            <w:tcW w:w="2969" w:type="dxa"/>
            <w:vAlign w:val="center"/>
          </w:tcPr>
          <w:p>
            <w:pPr>
              <w:jc w:val="left"/>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具有独立承担民事责任的能力</w:t>
            </w:r>
          </w:p>
        </w:tc>
        <w:tc>
          <w:tcPr>
            <w:tcW w:w="5243" w:type="dxa"/>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法人：提供营业执照或事业单位法人证书，</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非企业专业服务机构：提供执业许可证等证明文件</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个体工商户：提供个体工商户营业执照</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自然人：提供有效的自然人身份证明（仅限中国公民）</w:t>
            </w: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（银行、保险、石油石化、电力、电信等有行业特殊情况的，视为其总公司的分支机构具备独立承担民事责任的能力；其他行业总公司的分支机构不具备独立承担民事责任的能力）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continue"/>
            <w:vAlign w:val="center"/>
          </w:tcPr>
          <w:p>
            <w:pPr>
              <w:pStyle w:val="163"/>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rPr>
                <w:rFonts w:hint="eastAsia" w:asciiTheme="minorEastAsia" w:hAnsiTheme="minorEastAsia" w:eastAsiaTheme="minorEastAsia" w:cstheme="minorEastAsia"/>
                <w:kern w:val="0"/>
                <w:sz w:val="24"/>
                <w:szCs w:val="24"/>
              </w:rPr>
            </w:pPr>
          </w:p>
        </w:tc>
        <w:tc>
          <w:tcPr>
            <w:tcW w:w="2969" w:type="dxa"/>
            <w:vAlign w:val="center"/>
          </w:tcPr>
          <w:p>
            <w:pPr>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 xml:space="preserve">具有良好的商业信誉和健全的财务会计制度； </w:t>
            </w:r>
          </w:p>
        </w:tc>
        <w:tc>
          <w:tcPr>
            <w:tcW w:w="5243" w:type="dxa"/>
            <w:vMerge w:val="restart"/>
            <w:vAlign w:val="center"/>
          </w:tcPr>
          <w:p>
            <w:pPr>
              <w:suppressLineNumber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按附件10的格式提供“财务状况报告，依法缴纳税收和社会保障资金的声明函或相关证明材料”。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continue"/>
            <w:vAlign w:val="center"/>
          </w:tcPr>
          <w:p>
            <w:pPr>
              <w:pStyle w:val="163"/>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pStyle w:val="23"/>
              <w:ind w:left="0"/>
              <w:rPr>
                <w:rFonts w:hint="eastAsia" w:asciiTheme="minorEastAsia" w:hAnsiTheme="minorEastAsia" w:eastAsiaTheme="minorEastAsia" w:cstheme="minorEastAsia"/>
                <w:i w:val="0"/>
                <w:kern w:val="0"/>
                <w:sz w:val="24"/>
                <w:szCs w:val="24"/>
              </w:rPr>
            </w:pPr>
          </w:p>
        </w:tc>
        <w:tc>
          <w:tcPr>
            <w:tcW w:w="2969" w:type="dxa"/>
            <w:vAlign w:val="center"/>
          </w:tcPr>
          <w:p>
            <w:pPr>
              <w:pStyle w:val="23"/>
              <w:ind w:left="0"/>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有依法缴纳税收和社会保障资金的良好记录</w:t>
            </w:r>
          </w:p>
        </w:tc>
        <w:tc>
          <w:tcPr>
            <w:tcW w:w="5243" w:type="dxa"/>
            <w:vMerge w:val="continue"/>
            <w:vAlign w:val="center"/>
          </w:tcPr>
          <w:p>
            <w:pPr>
              <w:suppressLineNumbers/>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continue"/>
            <w:vAlign w:val="center"/>
          </w:tcPr>
          <w:p>
            <w:pPr>
              <w:pStyle w:val="163"/>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rPr>
                <w:rFonts w:hint="eastAsia" w:asciiTheme="minorEastAsia" w:hAnsiTheme="minorEastAsia" w:eastAsiaTheme="minorEastAsia" w:cstheme="minorEastAsia"/>
                <w:kern w:val="0"/>
                <w:sz w:val="24"/>
                <w:szCs w:val="24"/>
              </w:rPr>
            </w:pPr>
          </w:p>
        </w:tc>
        <w:tc>
          <w:tcPr>
            <w:tcW w:w="2969" w:type="dxa"/>
            <w:vAlign w:val="center"/>
          </w:tcPr>
          <w:p>
            <w:pPr>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具备履行合同所必需的设备和专业技术能力的证明材料；</w:t>
            </w:r>
          </w:p>
        </w:tc>
        <w:tc>
          <w:tcPr>
            <w:tcW w:w="5243" w:type="dxa"/>
            <w:vAlign w:val="center"/>
          </w:tcPr>
          <w:p>
            <w:pPr>
              <w:pStyle w:val="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提供具备履行合同所必需的足够数量的技术人员、设施设备的证明材料（供应商也可根据自身实际情况进行承诺满足本条）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right"/>
        </w:trPr>
        <w:tc>
          <w:tcPr>
            <w:tcW w:w="616" w:type="dxa"/>
            <w:vMerge w:val="continue"/>
            <w:vAlign w:val="center"/>
          </w:tcPr>
          <w:p>
            <w:pPr>
              <w:pStyle w:val="163"/>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suppressLineNumbers/>
              <w:rPr>
                <w:rFonts w:hint="eastAsia" w:asciiTheme="minorEastAsia" w:hAnsiTheme="minorEastAsia" w:eastAsiaTheme="minorEastAsia" w:cstheme="minorEastAsia"/>
                <w:color w:val="000000"/>
                <w:kern w:val="0"/>
                <w:sz w:val="24"/>
                <w:szCs w:val="24"/>
              </w:rPr>
            </w:pPr>
          </w:p>
        </w:tc>
        <w:tc>
          <w:tcPr>
            <w:tcW w:w="2969" w:type="dxa"/>
            <w:vAlign w:val="center"/>
          </w:tcPr>
          <w:p>
            <w:pPr>
              <w:suppressLineNumbers/>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参加政府采购活动前3年内在经营活动中没有重大违法记录；</w:t>
            </w:r>
          </w:p>
        </w:tc>
        <w:tc>
          <w:tcPr>
            <w:tcW w:w="5243" w:type="dxa"/>
            <w:vAlign w:val="center"/>
          </w:tcPr>
          <w:p>
            <w:pPr>
              <w:suppressLineNumbers/>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按附件12格式提供“无重大违法记录声明函</w:t>
            </w:r>
            <w:r>
              <w:rPr>
                <w:rFonts w:hint="eastAsia" w:asciiTheme="minorEastAsia" w:hAnsiTheme="minorEastAsia" w:eastAsiaTheme="minorEastAsia" w:cstheme="minorEastAsia"/>
                <w:bCs/>
                <w:kern w:val="0"/>
                <w:sz w:val="24"/>
                <w:szCs w:val="24"/>
                <w:lang w:eastAsia="zh-CN"/>
              </w:rPr>
              <w:t>”</w:t>
            </w:r>
          </w:p>
          <w:p>
            <w:pPr>
              <w:pStyle w:val="29"/>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right"/>
        </w:trPr>
        <w:tc>
          <w:tcPr>
            <w:tcW w:w="616" w:type="dxa"/>
            <w:vMerge w:val="continue"/>
            <w:vAlign w:val="center"/>
          </w:tcPr>
          <w:p>
            <w:pPr>
              <w:pStyle w:val="163"/>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suppressLineNumbers/>
              <w:rPr>
                <w:rFonts w:hint="eastAsia" w:asciiTheme="minorEastAsia" w:hAnsiTheme="minorEastAsia" w:eastAsiaTheme="minorEastAsia" w:cstheme="minorEastAsia"/>
                <w:color w:val="0D0D0D" w:themeColor="text1" w:themeTint="F2"/>
                <w:kern w:val="0"/>
                <w:sz w:val="24"/>
                <w:szCs w:val="24"/>
                <w14:textFill>
                  <w14:solidFill>
                    <w14:schemeClr w14:val="tx1">
                      <w14:lumMod w14:val="95000"/>
                      <w14:lumOff w14:val="5000"/>
                    </w14:schemeClr>
                  </w14:solidFill>
                </w14:textFill>
              </w:rPr>
            </w:pPr>
          </w:p>
        </w:tc>
        <w:tc>
          <w:tcPr>
            <w:tcW w:w="2969" w:type="dxa"/>
            <w:vAlign w:val="center"/>
          </w:tcPr>
          <w:p>
            <w:pPr>
              <w:suppressLineNumbers/>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法律、行政法规规定的其他条件</w:t>
            </w:r>
          </w:p>
        </w:tc>
        <w:tc>
          <w:tcPr>
            <w:tcW w:w="5243" w:type="dxa"/>
            <w:vAlign w:val="center"/>
          </w:tcPr>
          <w:p>
            <w:pPr>
              <w:suppressLineNumbers/>
              <w:rPr>
                <w:rFonts w:hint="eastAsia" w:asciiTheme="minorEastAsia" w:hAnsiTheme="minorEastAsia" w:eastAsiaTheme="minorEastAsia" w:cstheme="minorEastAsia"/>
                <w:color w:val="0D0D0D" w:themeColor="text1" w:themeTint="F2"/>
                <w:kern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14:textFill>
                  <w14:solidFill>
                    <w14:schemeClr w14:val="tx1">
                      <w14:lumMod w14:val="95000"/>
                      <w14:lumOff w14:val="5000"/>
                    </w14:schemeClr>
                  </w14:solidFill>
                </w14:textFill>
              </w:rPr>
              <w:t>提供相关材料（供应商也可根据自身实际情况进行承诺满足本条）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suppressLineNumbers/>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未被列入失信被执行人、重大税收违法案件当事人名单、政府采购严重违法失信行为记录名；</w:t>
            </w:r>
          </w:p>
        </w:tc>
        <w:tc>
          <w:tcPr>
            <w:tcW w:w="5243" w:type="dxa"/>
            <w:vAlign w:val="center"/>
          </w:tcPr>
          <w:p>
            <w:pPr>
              <w:spacing w:line="276"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提供“信用中国”网站(www.creditchina.gov.cn)和“中国政府采购”网站（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"http://www.ccgp.gov.cn/"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www.ccgp.gov.cn</w: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）查询结果截图（以首次递交响应文件截止当日查询结果为准）。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restart"/>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3.1</w:t>
            </w:r>
            <w:r>
              <w:rPr>
                <w:rFonts w:hint="eastAsia" w:asciiTheme="minorEastAsia" w:hAnsiTheme="minorEastAsia" w:eastAsiaTheme="minorEastAsia" w:cstheme="minorEastAsia"/>
                <w:color w:val="000000"/>
                <w:kern w:val="0"/>
                <w:sz w:val="24"/>
                <w:szCs w:val="24"/>
              </w:rPr>
              <w:t>单位负责人为同一人或者存在直接控股、管理关系的不同投标人，不得参加本项目同一合同项下的政府采购活动；</w:t>
            </w:r>
          </w:p>
        </w:tc>
        <w:tc>
          <w:tcPr>
            <w:tcW w:w="5243" w:type="dxa"/>
            <w:vMerge w:val="restart"/>
            <w:vAlign w:val="center"/>
          </w:tcPr>
          <w:p>
            <w:pPr>
              <w:pStyle w:val="2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按附件14的格式提供“无政府采购回避事项的声明”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continue"/>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3.2</w:t>
            </w:r>
            <w:r>
              <w:rPr>
                <w:rFonts w:hint="eastAsia" w:asciiTheme="minorEastAsia" w:hAnsiTheme="minorEastAsia" w:eastAsiaTheme="minorEastAsia" w:cstheme="minorEastAsia"/>
                <w:color w:val="000000"/>
                <w:kern w:val="0"/>
                <w:sz w:val="24"/>
                <w:szCs w:val="24"/>
              </w:rPr>
              <w:t>为本采购项目提供整体设计、规范编制或者项目管理、监理、检测等服务的，不得再参加本项目的其他招标采购活动；</w:t>
            </w:r>
          </w:p>
        </w:tc>
        <w:tc>
          <w:tcPr>
            <w:tcW w:w="5243" w:type="dxa"/>
            <w:vMerge w:val="continue"/>
            <w:vAlign w:val="top"/>
          </w:tcPr>
          <w:p>
            <w:pPr>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ind w:hanging="1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本项目特定资格要求</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pacing w:val="-5"/>
                <w:sz w:val="24"/>
                <w:szCs w:val="24"/>
              </w:rPr>
              <w:t>本项目无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采购预算或最高限价</w:t>
            </w:r>
          </w:p>
        </w:tc>
        <w:tc>
          <w:tcPr>
            <w:tcW w:w="5243" w:type="dxa"/>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投标总报价不能超过项目（分包）预算金额或最高限价；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磋商</w:t>
            </w:r>
            <w:r>
              <w:rPr>
                <w:rFonts w:hint="eastAsia" w:asciiTheme="minorEastAsia" w:hAnsiTheme="minorEastAsia" w:eastAsiaTheme="minorEastAsia" w:cstheme="minorEastAsia"/>
                <w:color w:val="000000"/>
                <w:kern w:val="0"/>
                <w:sz w:val="24"/>
                <w:szCs w:val="24"/>
              </w:rPr>
              <w:t>书》、《法定代表人授权书》、《响应报价表（含明细）》</w:t>
            </w:r>
          </w:p>
        </w:tc>
        <w:tc>
          <w:tcPr>
            <w:tcW w:w="5243" w:type="dxa"/>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按要求提供《</w:t>
            </w:r>
            <w:r>
              <w:rPr>
                <w:rFonts w:hint="eastAsia" w:asciiTheme="minorEastAsia" w:hAnsiTheme="minorEastAsia" w:eastAsiaTheme="minorEastAsia" w:cstheme="minorEastAsia"/>
                <w:color w:val="000000"/>
                <w:kern w:val="0"/>
                <w:sz w:val="24"/>
                <w:szCs w:val="24"/>
                <w:lang w:eastAsia="zh-CN"/>
              </w:rPr>
              <w:t>磋商</w:t>
            </w:r>
            <w:r>
              <w:rPr>
                <w:rFonts w:hint="eastAsia" w:asciiTheme="minorEastAsia" w:hAnsiTheme="minorEastAsia" w:eastAsiaTheme="minorEastAsia" w:cstheme="minorEastAsia"/>
                <w:color w:val="000000"/>
                <w:kern w:val="0"/>
                <w:sz w:val="24"/>
                <w:szCs w:val="24"/>
              </w:rPr>
              <w:t>书》、《法定代表人授权书》、数据文件《响应报价表（含明细）》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工期（服务期限）、质保期</w:t>
            </w:r>
          </w:p>
        </w:tc>
        <w:tc>
          <w:tcPr>
            <w:tcW w:w="5243" w:type="dxa"/>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工期（服务期限）、质保期满足磋商文件要求；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投标报价</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不能出现两个或两个以上不同报价；投标报价不能存在缺项、漏项；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投标方案</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不能出现两个或两个以上投标方案（磋商文件中要求提供备选方案的除外）；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磋商有效期</w:t>
            </w:r>
          </w:p>
        </w:tc>
        <w:tc>
          <w:tcPr>
            <w:tcW w:w="5243" w:type="dxa"/>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磋商有效期满足磋商文件要求</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磋商有效期不得少于 90 天。可参照供应商响应文件中《磋商书》或《报价组成情况表》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签字签章</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电子</w:t>
            </w:r>
            <w:r>
              <w:rPr>
                <w:rFonts w:hint="eastAsia" w:asciiTheme="minorEastAsia" w:hAnsiTheme="minorEastAsia" w:eastAsiaTheme="minorEastAsia" w:cstheme="minorEastAsia"/>
                <w:color w:val="000000"/>
                <w:kern w:val="0"/>
                <w:sz w:val="24"/>
                <w:szCs w:val="24"/>
                <w:lang w:eastAsia="zh-CN"/>
              </w:rPr>
              <w:t>响应</w:t>
            </w:r>
            <w:r>
              <w:rPr>
                <w:rFonts w:hint="eastAsia" w:asciiTheme="minorEastAsia" w:hAnsiTheme="minorEastAsia" w:eastAsiaTheme="minorEastAsia" w:cstheme="minorEastAsia"/>
                <w:color w:val="000000"/>
                <w:kern w:val="0"/>
                <w:sz w:val="24"/>
                <w:szCs w:val="24"/>
              </w:rPr>
              <w:t>文件有法定代表人签字（签章）或签字人有法定代表人有效授权、按要求加盖电子公章及电子签名（签章）；以分公司形式参与投标的，法定代表人授权书由总公司法定代表人签字（签章）并加盖公章；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spacing w:line="240" w:lineRule="atLeast"/>
              <w:ind w:right="-88" w:rightChars="-42"/>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项目技术、服务和商务要求</w:t>
            </w:r>
          </w:p>
        </w:tc>
        <w:tc>
          <w:tcPr>
            <w:tcW w:w="5243" w:type="dxa"/>
            <w:vAlign w:val="center"/>
          </w:tcPr>
          <w:p>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满足</w:t>
            </w:r>
            <w:r>
              <w:rPr>
                <w:rFonts w:hint="eastAsia" w:asciiTheme="minorEastAsia" w:hAnsiTheme="minorEastAsia" w:eastAsiaTheme="minorEastAsia" w:cstheme="minorEastAsia"/>
                <w:color w:val="000000"/>
                <w:kern w:val="0"/>
                <w:sz w:val="24"/>
                <w:szCs w:val="24"/>
                <w:lang w:eastAsia="zh-CN"/>
              </w:rPr>
              <w:t>磋商</w:t>
            </w:r>
            <w:r>
              <w:rPr>
                <w:rFonts w:hint="eastAsia" w:asciiTheme="minorEastAsia" w:hAnsiTheme="minorEastAsia" w:eastAsiaTheme="minorEastAsia" w:cstheme="minorEastAsia"/>
                <w:color w:val="000000"/>
                <w:kern w:val="0"/>
                <w:sz w:val="24"/>
                <w:szCs w:val="24"/>
              </w:rPr>
              <w:t>文件第三章“</w:t>
            </w:r>
            <w:r>
              <w:rPr>
                <w:rFonts w:hint="eastAsia" w:asciiTheme="minorEastAsia" w:hAnsiTheme="minorEastAsia" w:eastAsiaTheme="minorEastAsia" w:cstheme="minorEastAsia"/>
                <w:color w:val="000000"/>
                <w:kern w:val="0"/>
                <w:sz w:val="24"/>
                <w:szCs w:val="24"/>
                <w:lang w:eastAsia="zh-CN"/>
              </w:rPr>
              <w:t>采购需求</w:t>
            </w:r>
            <w:r>
              <w:rPr>
                <w:rFonts w:hint="eastAsia" w:asciiTheme="minorEastAsia" w:hAnsiTheme="minorEastAsia" w:eastAsiaTheme="minorEastAsia" w:cstheme="minorEastAsia"/>
                <w:color w:val="000000"/>
                <w:kern w:val="0"/>
                <w:sz w:val="24"/>
                <w:szCs w:val="24"/>
              </w:rPr>
              <w:t>”中“★”号条款要求</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标注“★”号条款的技术、服务及商务要求，应满足或优于</w:t>
            </w:r>
            <w:r>
              <w:rPr>
                <w:rFonts w:hint="eastAsia" w:asciiTheme="minorEastAsia" w:hAnsiTheme="minorEastAsia" w:eastAsiaTheme="minorEastAsia" w:cstheme="minorEastAsia"/>
                <w:color w:val="000000"/>
                <w:kern w:val="0"/>
                <w:sz w:val="24"/>
                <w:szCs w:val="24"/>
                <w:lang w:eastAsia="zh-CN"/>
              </w:rPr>
              <w:t>，不能</w:t>
            </w:r>
            <w:r>
              <w:rPr>
                <w:rFonts w:hint="eastAsia" w:asciiTheme="minorEastAsia" w:hAnsiTheme="minorEastAsia" w:eastAsiaTheme="minorEastAsia" w:cstheme="minorEastAsia"/>
                <w:color w:val="000000"/>
                <w:kern w:val="0"/>
                <w:sz w:val="24"/>
                <w:szCs w:val="24"/>
              </w:rPr>
              <w:t>能出现</w:t>
            </w:r>
            <w:r>
              <w:rPr>
                <w:rFonts w:hint="eastAsia" w:asciiTheme="minorEastAsia" w:hAnsiTheme="minorEastAsia" w:eastAsiaTheme="minorEastAsia" w:cstheme="minorEastAsia"/>
                <w:color w:val="000000"/>
                <w:kern w:val="0"/>
                <w:sz w:val="24"/>
                <w:szCs w:val="24"/>
                <w:lang w:eastAsia="zh-CN"/>
              </w:rPr>
              <w:t>负</w:t>
            </w:r>
            <w:r>
              <w:rPr>
                <w:rFonts w:hint="eastAsia" w:asciiTheme="minorEastAsia" w:hAnsiTheme="minorEastAsia" w:eastAsiaTheme="minorEastAsia" w:cstheme="minorEastAsia"/>
                <w:color w:val="000000"/>
                <w:kern w:val="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spacing w:line="240" w:lineRule="atLeast"/>
              <w:ind w:right="-88" w:rightChars="-42"/>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color w:val="000000"/>
                <w:kern w:val="0"/>
                <w:sz w:val="24"/>
                <w:szCs w:val="24"/>
              </w:rPr>
              <w:t>《资格符合性审查对照表》、</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“★”号条款响应、偏离情况说明表</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《商务响应、偏离情况说明表》、《技术、服务响应、偏离情况说明表》</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按要求提供《资格符合性审查对照表》、</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“★”号条款响应、偏离情况说明表</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《商务响应、偏离情况说明表》、《技术、服务响应、偏离情况说明表》。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3"/>
              <w:numPr>
                <w:ilvl w:val="0"/>
                <w:numId w:val="13"/>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附加条件</w:t>
            </w:r>
            <w:r>
              <w:rPr>
                <w:rFonts w:hint="eastAsia" w:asciiTheme="minorEastAsia" w:hAnsiTheme="minorEastAsia" w:eastAsiaTheme="minorEastAsia" w:cstheme="minorEastAsia"/>
                <w:color w:val="000000"/>
                <w:kern w:val="0"/>
                <w:sz w:val="24"/>
                <w:szCs w:val="24"/>
                <w:lang w:val="en-US" w:eastAsia="zh-CN"/>
              </w:rPr>
              <w:t>的</w:t>
            </w:r>
          </w:p>
        </w:tc>
        <w:tc>
          <w:tcPr>
            <w:tcW w:w="5243" w:type="dxa"/>
            <w:vAlign w:val="center"/>
          </w:tcPr>
          <w:p>
            <w:pPr>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不能含有采购人不能接受的附加条件。</w:t>
            </w:r>
          </w:p>
        </w:tc>
      </w:tr>
    </w:tbl>
    <w:p>
      <w:pPr>
        <w:pageBreakBefore w:val="0"/>
        <w:kinsoku/>
        <w:wordWrap/>
        <w:overflowPunct/>
        <w:topLinePunct w:val="0"/>
        <w:bidi w:val="0"/>
        <w:adjustRightInd/>
        <w:spacing w:line="440" w:lineRule="exact"/>
        <w:ind w:right="0" w:rightChars="0"/>
        <w:textAlignment w:val="auto"/>
        <w:rPr>
          <w:rFonts w:hint="eastAsia" w:ascii="宋体" w:hAnsi="宋体" w:eastAsia="宋体" w:cstheme="minorEastAsia"/>
          <w:color w:val="auto"/>
          <w:sz w:val="24"/>
          <w:szCs w:val="24"/>
        </w:rPr>
      </w:pPr>
      <w:r>
        <w:rPr>
          <w:rFonts w:hint="eastAsia" w:asciiTheme="minorEastAsia" w:hAnsiTheme="minorEastAsia" w:eastAsiaTheme="minorEastAsia" w:cstheme="minorEastAsia"/>
          <w:b/>
          <w:sz w:val="24"/>
          <w:szCs w:val="24"/>
        </w:rPr>
        <w:t>说明：</w:t>
      </w:r>
      <w:r>
        <w:rPr>
          <w:rFonts w:hint="eastAsia" w:asciiTheme="minorEastAsia" w:hAnsiTheme="minorEastAsia" w:eastAsiaTheme="minorEastAsia" w:cstheme="minorEastAsia"/>
          <w:spacing w:val="-9"/>
          <w:sz w:val="24"/>
          <w:szCs w:val="24"/>
        </w:rPr>
        <w:t>1、所有证书、证明文件包括按要求提供的官网截图必须是真实可查证的，须注明</w:t>
      </w:r>
      <w:r>
        <w:rPr>
          <w:rFonts w:hint="eastAsia" w:asciiTheme="minorEastAsia" w:hAnsiTheme="minorEastAsia" w:eastAsiaTheme="minorEastAsia" w:cstheme="minorEastAsia"/>
          <w:spacing w:val="-4"/>
          <w:sz w:val="24"/>
          <w:szCs w:val="24"/>
        </w:rPr>
        <w:t>资料来源。资格证明文件应为原件的扫描件。如因证明材料模糊无法辨认，缺页、漏页导致无法进行评审认定的责任由供应商自负。如发现弄虚作假将按照有关规定严肃处理。</w:t>
      </w:r>
      <w:r>
        <w:rPr>
          <w:rFonts w:hint="eastAsia" w:asciiTheme="minorEastAsia" w:hAnsiTheme="minorEastAsia" w:eastAsiaTheme="minorEastAsia" w:cstheme="minorEastAsia"/>
          <w:sz w:val="24"/>
          <w:szCs w:val="24"/>
        </w:rPr>
        <w:t>证明材料仅限于供应商本身，参股或控股单位及独立法人子公司的材料不能作为证明材料，但供应商兼并的企业的材料可作为证明材料。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20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50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w:t>
      </w:r>
      <w:r>
        <w:rPr>
          <w:rFonts w:hint="eastAsia" w:ascii="宋体" w:hAnsi="宋体" w:eastAsia="宋体" w:cstheme="minorEastAsia"/>
          <w:color w:val="auto"/>
          <w:sz w:val="24"/>
          <w:szCs w:val="24"/>
          <w:lang w:eastAsia="zh-CN"/>
        </w:rPr>
        <w:t>、服务</w:t>
      </w:r>
      <w:r>
        <w:rPr>
          <w:rFonts w:hint="eastAsia" w:ascii="宋体" w:hAnsi="宋体" w:eastAsia="宋体" w:cstheme="minorEastAsia"/>
          <w:color w:val="auto"/>
          <w:sz w:val="24"/>
          <w:szCs w:val="24"/>
        </w:rPr>
        <w:t>类采购项目，按磋商文件中采购清单确定的货物，对小型和微型企业制造的货物价格给予</w:t>
      </w:r>
      <w:r>
        <w:rPr>
          <w:rFonts w:hint="eastAsia" w:ascii="宋体" w:hAnsi="宋体" w:eastAsia="宋体" w:cstheme="minorEastAsia"/>
          <w:color w:val="auto"/>
          <w:sz w:val="24"/>
          <w:szCs w:val="24"/>
          <w:lang w:val="en-US" w:eastAsia="zh-CN"/>
        </w:rPr>
        <w:t>10</w:t>
      </w:r>
      <w:r>
        <w:rPr>
          <w:rFonts w:hint="eastAsia" w:ascii="宋体" w:hAnsi="宋体" w:eastAsia="宋体" w:cstheme="minorEastAsia"/>
          <w:color w:val="auto"/>
          <w:sz w:val="24"/>
          <w:szCs w:val="24"/>
        </w:rPr>
        <w:t>%的扣除，用扣除后的价格参与评审。</w:t>
      </w:r>
      <w:r>
        <w:rPr>
          <w:rFonts w:hint="eastAsia" w:ascii="宋体" w:hAnsi="宋体" w:eastAsia="宋体" w:cstheme="minorEastAsia"/>
          <w:b/>
          <w:bCs/>
          <w:color w:val="auto"/>
          <w:sz w:val="24"/>
          <w:szCs w:val="24"/>
        </w:rPr>
        <w:t>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2.2非专门面向中小企业的工程类采购项目，供应商是小型和微型企业的价格给予</w:t>
      </w:r>
      <w:r>
        <w:rPr>
          <w:rFonts w:hint="eastAsia" w:ascii="宋体" w:hAnsi="宋体" w:eastAsia="宋体" w:cstheme="minorEastAsia"/>
          <w:color w:val="auto"/>
          <w:sz w:val="24"/>
          <w:szCs w:val="24"/>
          <w:lang w:val="en-US" w:eastAsia="zh-CN"/>
        </w:rPr>
        <w:t>3</w:t>
      </w:r>
      <w:r>
        <w:rPr>
          <w:rFonts w:hint="eastAsia" w:ascii="宋体" w:hAnsi="宋体" w:eastAsia="宋体" w:cstheme="minorEastAsia"/>
          <w:color w:val="auto"/>
          <w:sz w:val="24"/>
          <w:szCs w:val="24"/>
        </w:rPr>
        <w:t>%的扣除，用扣除后的价格参与评审。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eastAsia="宋体" w:cstheme="minorEastAsia"/>
          <w:color w:val="auto"/>
          <w:sz w:val="24"/>
          <w:szCs w:val="24"/>
          <w:lang w:val="en-US" w:eastAsia="zh-CN"/>
        </w:rPr>
        <w:t>6</w:t>
      </w:r>
      <w:r>
        <w:rPr>
          <w:rFonts w:hint="eastAsia" w:ascii="宋体" w:hAnsi="宋体" w:eastAsia="宋体" w:cstheme="minorEastAsia"/>
          <w:color w:val="auto"/>
          <w:sz w:val="24"/>
          <w:szCs w:val="24"/>
        </w:rPr>
        <w:t>%</w:t>
      </w:r>
      <w:r>
        <w:rPr>
          <w:rFonts w:hint="eastAsia" w:ascii="宋体" w:hAnsi="宋体" w:eastAsia="宋体" w:cstheme="minorEastAsia"/>
          <w:color w:val="auto"/>
          <w:sz w:val="24"/>
          <w:szCs w:val="24"/>
          <w:lang w:eastAsia="zh-CN"/>
        </w:rPr>
        <w:t>（工程项目为</w:t>
      </w:r>
      <w:r>
        <w:rPr>
          <w:rFonts w:hint="eastAsia" w:ascii="宋体" w:hAnsi="宋体" w:eastAsia="宋体" w:cstheme="minorEastAsia"/>
          <w:color w:val="auto"/>
          <w:sz w:val="24"/>
          <w:szCs w:val="24"/>
          <w:lang w:val="en-US" w:eastAsia="zh-CN"/>
        </w:rPr>
        <w:t>2%</w:t>
      </w:r>
      <w:r>
        <w:rPr>
          <w:rFonts w:hint="eastAsia" w:ascii="宋体" w:hAnsi="宋体" w:eastAsia="宋体" w:cstheme="minorEastAsia"/>
          <w:color w:val="auto"/>
          <w:sz w:val="24"/>
          <w:szCs w:val="24"/>
          <w:lang w:eastAsia="zh-CN"/>
        </w:rPr>
        <w:t>）</w:t>
      </w:r>
      <w:r>
        <w:rPr>
          <w:rFonts w:hint="eastAsia" w:ascii="宋体" w:hAnsi="宋体" w:eastAsia="宋体" w:cstheme="minorEastAsia"/>
          <w:color w:val="auto"/>
          <w:sz w:val="24"/>
          <w:szCs w:val="24"/>
        </w:rPr>
        <w:t>的价格扣除，不重复享受政策。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%×100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59" w:name="_Toc75007959"/>
      <w:bookmarkStart w:id="60" w:name="_Toc1458939"/>
    </w:p>
    <w:p>
      <w:pPr>
        <w:spacing w:line="440" w:lineRule="exact"/>
        <w:ind w:left="0" w:leftChars="0" w:firstLine="422" w:firstLineChars="150"/>
        <w:outlineLvl w:val="1"/>
        <w:rPr>
          <w:rFonts w:ascii="宋体" w:hAnsi="宋体" w:eastAsia="宋体" w:cstheme="minorEastAsia"/>
          <w:b/>
          <w:color w:val="auto"/>
          <w:sz w:val="28"/>
          <w:szCs w:val="28"/>
        </w:rPr>
      </w:pPr>
      <w:bookmarkStart w:id="61" w:name="_Toc19196"/>
      <w:r>
        <w:rPr>
          <w:rFonts w:hint="eastAsia" w:ascii="宋体" w:hAnsi="宋体" w:eastAsia="宋体" w:cstheme="minorEastAsia"/>
          <w:b/>
          <w:color w:val="auto"/>
          <w:sz w:val="28"/>
          <w:szCs w:val="28"/>
        </w:rPr>
        <w:t>三、</w:t>
      </w:r>
      <w:bookmarkStart w:id="62" w:name="_Toc1421491"/>
      <w:bookmarkStart w:id="63" w:name="_Toc494799112"/>
      <w:bookmarkStart w:id="64" w:name="_Toc509997296"/>
      <w:r>
        <w:rPr>
          <w:rFonts w:hint="eastAsia" w:ascii="宋体" w:hAnsi="宋体" w:eastAsia="宋体" w:cstheme="minorEastAsia"/>
          <w:b/>
          <w:color w:val="auto"/>
          <w:sz w:val="28"/>
          <w:szCs w:val="28"/>
        </w:rPr>
        <w:t>评审因素及评分标准</w:t>
      </w:r>
      <w:bookmarkEnd w:id="59"/>
      <w:bookmarkEnd w:id="60"/>
      <w:bookmarkEnd w:id="61"/>
      <w:bookmarkEnd w:id="62"/>
      <w:bookmarkEnd w:id="63"/>
      <w:bookmarkEnd w:id="64"/>
      <w:bookmarkStart w:id="65" w:name="_Toc1458940"/>
      <w:bookmarkStart w:id="66" w:name="_Toc75007960"/>
    </w:p>
    <w:p>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olor w:val="auto"/>
          <w:sz w:val="24"/>
          <w:szCs w:val="24"/>
          <w:lang w:val="en-US" w:eastAsia="zh-CN"/>
        </w:rPr>
        <w:t>20</w:t>
      </w:r>
      <w:r>
        <w:rPr>
          <w:rFonts w:hint="eastAsia" w:ascii="宋体" w:hAnsi="宋体"/>
          <w:color w:val="auto"/>
          <w:sz w:val="24"/>
          <w:szCs w:val="24"/>
        </w:rPr>
        <w:t>分）</w:t>
      </w:r>
      <w:bookmarkEnd w:id="65"/>
      <w:bookmarkEnd w:id="66"/>
    </w:p>
    <w:tbl>
      <w:tblPr>
        <w:tblStyle w:val="44"/>
        <w:tblW w:w="0" w:type="auto"/>
        <w:tblInd w:w="93" w:type="dxa"/>
        <w:tblLayout w:type="autofit"/>
        <w:tblCellMar>
          <w:top w:w="0" w:type="dxa"/>
          <w:left w:w="108" w:type="dxa"/>
          <w:bottom w:w="0" w:type="dxa"/>
          <w:right w:w="108" w:type="dxa"/>
        </w:tblCellMar>
      </w:tblPr>
      <w:tblGrid>
        <w:gridCol w:w="509"/>
        <w:gridCol w:w="614"/>
        <w:gridCol w:w="509"/>
        <w:gridCol w:w="7531"/>
      </w:tblGrid>
      <w:tr>
        <w:tblPrEx>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DDD9C4"/>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0" w:type="auto"/>
            <w:tcBorders>
              <w:top w:val="single" w:color="000000" w:sz="8" w:space="0"/>
              <w:left w:val="nil"/>
              <w:bottom w:val="single" w:color="000000" w:sz="8" w:space="0"/>
              <w:right w:val="single" w:color="000000" w:sz="8" w:space="0"/>
            </w:tcBorders>
            <w:shd w:val="clear" w:color="auto" w:fill="DDD9C4"/>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评审因素</w:t>
            </w:r>
          </w:p>
        </w:tc>
        <w:tc>
          <w:tcPr>
            <w:tcW w:w="509" w:type="dxa"/>
            <w:tcBorders>
              <w:top w:val="single" w:color="000000" w:sz="8" w:space="0"/>
              <w:left w:val="nil"/>
              <w:bottom w:val="single" w:color="000000" w:sz="8" w:space="0"/>
              <w:right w:val="single" w:color="000000" w:sz="8" w:space="0"/>
            </w:tcBorders>
            <w:shd w:val="clear" w:color="auto" w:fill="DDD9C4"/>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分值</w:t>
            </w:r>
          </w:p>
        </w:tc>
        <w:tc>
          <w:tcPr>
            <w:tcW w:w="7531" w:type="dxa"/>
            <w:tcBorders>
              <w:top w:val="single" w:color="000000" w:sz="8" w:space="0"/>
              <w:left w:val="nil"/>
              <w:bottom w:val="single" w:color="000000" w:sz="8" w:space="0"/>
              <w:right w:val="single" w:color="000000" w:sz="8" w:space="0"/>
            </w:tcBorders>
            <w:shd w:val="clear" w:color="auto" w:fill="DDD9C4"/>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评分标准</w:t>
            </w:r>
          </w:p>
        </w:tc>
      </w:tr>
      <w:tr>
        <w:tblPrEx>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0" w:type="auto"/>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企业实力</w:t>
            </w:r>
          </w:p>
        </w:tc>
        <w:tc>
          <w:tcPr>
            <w:tcW w:w="509"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bidi="ar"/>
              </w:rPr>
              <w:t>10</w:t>
            </w:r>
          </w:p>
        </w:tc>
        <w:tc>
          <w:tcPr>
            <w:tcW w:w="7531" w:type="dxa"/>
            <w:tcBorders>
              <w:top w:val="nil"/>
              <w:left w:val="nil"/>
              <w:bottom w:val="single" w:color="000000" w:sz="8" w:space="0"/>
              <w:right w:val="single" w:color="000000" w:sz="8" w:space="0"/>
            </w:tcBorders>
            <w:shd w:val="clear" w:color="auto" w:fill="FFFFFF"/>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投标人具有ISO9001质量管理体系认证证书、ISO27001信息安全管理体系认证证书、ISO20000IT信息技术服务管理体系认证证书、ISO14001环境管理体系认证证书、ISO45001职业健康安全管理体系认证证书，全部具备得</w:t>
            </w:r>
            <w:r>
              <w:rPr>
                <w:rFonts w:hint="eastAsia" w:ascii="宋体" w:hAnsi="宋体" w:eastAsia="宋体" w:cs="宋体"/>
                <w:color w:val="auto"/>
                <w:kern w:val="0"/>
                <w:sz w:val="20"/>
                <w:szCs w:val="20"/>
                <w:lang w:val="en-US" w:eastAsia="zh-CN" w:bidi="ar"/>
              </w:rPr>
              <w:t>10</w:t>
            </w:r>
            <w:r>
              <w:rPr>
                <w:rFonts w:hint="eastAsia" w:ascii="宋体" w:hAnsi="宋体" w:eastAsia="宋体" w:cs="宋体"/>
                <w:color w:val="auto"/>
                <w:kern w:val="0"/>
                <w:sz w:val="20"/>
                <w:szCs w:val="20"/>
                <w:lang w:bidi="ar"/>
              </w:rPr>
              <w:t>分</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少一项扣</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分，扣完为止（以上提供证书复印件并加盖投标人公章）</w:t>
            </w:r>
          </w:p>
        </w:tc>
      </w:tr>
      <w:tr>
        <w:tblPrEx>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2</w:t>
            </w:r>
          </w:p>
        </w:tc>
        <w:tc>
          <w:tcPr>
            <w:tcW w:w="0" w:type="auto"/>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服务能力</w:t>
            </w:r>
          </w:p>
        </w:tc>
        <w:tc>
          <w:tcPr>
            <w:tcW w:w="509"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7</w:t>
            </w:r>
          </w:p>
        </w:tc>
        <w:tc>
          <w:tcPr>
            <w:tcW w:w="7531" w:type="dxa"/>
            <w:tcBorders>
              <w:top w:val="nil"/>
              <w:left w:val="nil"/>
              <w:bottom w:val="single" w:color="000000" w:sz="8" w:space="0"/>
              <w:right w:val="single" w:color="000000" w:sz="8" w:space="0"/>
            </w:tcBorders>
            <w:shd w:val="clear" w:color="auto" w:fill="FFFFFF"/>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投标项目负责人员</w:t>
            </w:r>
            <w:r>
              <w:rPr>
                <w:rFonts w:hint="eastAsia" w:ascii="宋体" w:hAnsi="宋体" w:eastAsia="宋体" w:cs="宋体"/>
                <w:color w:val="000000"/>
                <w:kern w:val="0"/>
                <w:sz w:val="20"/>
                <w:szCs w:val="20"/>
                <w:lang w:val="en-US" w:eastAsia="zh-CN" w:bidi="ar"/>
              </w:rPr>
              <w:t>需</w:t>
            </w:r>
            <w:r>
              <w:rPr>
                <w:rFonts w:hint="eastAsia" w:ascii="宋体" w:hAnsi="宋体" w:eastAsia="宋体" w:cs="宋体"/>
                <w:color w:val="000000"/>
                <w:kern w:val="0"/>
                <w:sz w:val="20"/>
                <w:szCs w:val="20"/>
                <w:lang w:bidi="ar"/>
              </w:rPr>
              <w:t>具备项目管理专业人员资格认证、网络安全能力认证（CCSC）、二级及以上建造师</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注册信息安全工程师（CISP），</w:t>
            </w:r>
            <w:r>
              <w:rPr>
                <w:rFonts w:hint="eastAsia" w:ascii="宋体" w:hAnsi="宋体" w:eastAsia="宋体" w:cs="宋体"/>
                <w:color w:val="000000"/>
                <w:kern w:val="0"/>
                <w:sz w:val="20"/>
                <w:szCs w:val="20"/>
                <w:lang w:eastAsia="zh-CN" w:bidi="ar"/>
              </w:rPr>
              <w:t>每提供一个得</w:t>
            </w:r>
            <w:r>
              <w:rPr>
                <w:rFonts w:hint="eastAsia" w:ascii="宋体" w:hAnsi="宋体" w:eastAsia="宋体" w:cs="宋体"/>
                <w:color w:val="000000"/>
                <w:kern w:val="0"/>
                <w:sz w:val="20"/>
                <w:szCs w:val="20"/>
                <w:lang w:val="en-US" w:eastAsia="zh-CN" w:bidi="ar"/>
              </w:rPr>
              <w:t>1.5分，共6</w:t>
            </w:r>
            <w:r>
              <w:rPr>
                <w:rFonts w:hint="eastAsia" w:ascii="宋体" w:hAnsi="宋体" w:eastAsia="宋体" w:cs="宋体"/>
                <w:color w:val="000000"/>
                <w:kern w:val="0"/>
                <w:sz w:val="20"/>
                <w:szCs w:val="20"/>
                <w:lang w:bidi="ar"/>
              </w:rPr>
              <w:t>分；售后服务人员</w:t>
            </w:r>
            <w:r>
              <w:rPr>
                <w:rFonts w:hint="eastAsia" w:ascii="宋体" w:hAnsi="宋体" w:eastAsia="宋体" w:cs="宋体"/>
                <w:color w:val="000000"/>
                <w:kern w:val="0"/>
                <w:sz w:val="20"/>
                <w:szCs w:val="20"/>
                <w:lang w:val="en-US" w:eastAsia="zh-CN" w:bidi="ar"/>
              </w:rPr>
              <w:t>需</w:t>
            </w:r>
            <w:r>
              <w:rPr>
                <w:rFonts w:hint="eastAsia" w:ascii="宋体" w:hAnsi="宋体" w:eastAsia="宋体" w:cs="宋体"/>
                <w:color w:val="000000"/>
                <w:kern w:val="0"/>
                <w:sz w:val="20"/>
                <w:szCs w:val="20"/>
                <w:lang w:bidi="ar"/>
              </w:rPr>
              <w:t>同时具备ITSS服务工程师、信息系统项目管理师认证</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同时具备</w:t>
            </w:r>
            <w:r>
              <w:rPr>
                <w:rFonts w:hint="eastAsia" w:ascii="宋体" w:hAnsi="宋体" w:eastAsia="宋体" w:cs="宋体"/>
                <w:color w:val="000000"/>
                <w:kern w:val="0"/>
                <w:sz w:val="20"/>
                <w:szCs w:val="20"/>
                <w:lang w:bidi="ar"/>
              </w:rPr>
              <w:t>得</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不同时具备的不得分</w:t>
            </w:r>
            <w:r>
              <w:rPr>
                <w:rFonts w:hint="eastAsia" w:ascii="宋体" w:hAnsi="宋体" w:eastAsia="宋体" w:cs="宋体"/>
                <w:color w:val="000000"/>
                <w:kern w:val="0"/>
                <w:sz w:val="20"/>
                <w:szCs w:val="20"/>
                <w:lang w:bidi="ar"/>
              </w:rPr>
              <w:t>。（投标文件中须附人员相关证明资料的复印件加盖公章以及</w:t>
            </w: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个月社保证明材料）。</w:t>
            </w:r>
          </w:p>
        </w:tc>
      </w:tr>
      <w:tr>
        <w:tblPrEx>
          <w:tblCellMar>
            <w:top w:w="0" w:type="dxa"/>
            <w:left w:w="108" w:type="dxa"/>
            <w:bottom w:w="0" w:type="dxa"/>
            <w:right w:w="108" w:type="dxa"/>
          </w:tblCellMar>
        </w:tblPrEx>
        <w:trPr>
          <w:trHeight w:val="52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3</w:t>
            </w:r>
          </w:p>
        </w:tc>
        <w:tc>
          <w:tcPr>
            <w:tcW w:w="0" w:type="auto"/>
            <w:tcBorders>
              <w:top w:val="nil"/>
              <w:left w:val="nil"/>
              <w:bottom w:val="single" w:color="000000" w:sz="8" w:space="0"/>
              <w:right w:val="single" w:color="000000" w:sz="8" w:space="0"/>
            </w:tcBorders>
            <w:shd w:val="clear" w:color="auto" w:fill="FFFFFF"/>
          </w:tcPr>
          <w:p>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类似业绩</w:t>
            </w:r>
          </w:p>
        </w:tc>
        <w:tc>
          <w:tcPr>
            <w:tcW w:w="509"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3</w:t>
            </w:r>
          </w:p>
        </w:tc>
        <w:tc>
          <w:tcPr>
            <w:tcW w:w="753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投标人需提供2019年10月1日至今完成的类似项目案例，每提供一个得</w:t>
            </w:r>
            <w:r>
              <w:rPr>
                <w:rFonts w:hint="eastAsia" w:ascii="宋体" w:hAnsi="宋体" w:eastAsia="宋体" w:cs="宋体"/>
                <w:color w:val="000000"/>
                <w:kern w:val="0"/>
                <w:sz w:val="20"/>
                <w:szCs w:val="20"/>
                <w:lang w:val="en-US" w:eastAsia="zh-CN" w:bidi="ar"/>
              </w:rPr>
              <w:t>1.5</w:t>
            </w:r>
            <w:r>
              <w:rPr>
                <w:rFonts w:hint="eastAsia" w:ascii="宋体" w:hAnsi="宋体" w:eastAsia="宋体" w:cs="宋体"/>
                <w:color w:val="000000"/>
                <w:kern w:val="0"/>
                <w:sz w:val="20"/>
                <w:szCs w:val="20"/>
                <w:lang w:bidi="ar"/>
              </w:rPr>
              <w:t>分，最高为</w:t>
            </w:r>
            <w:r>
              <w:rPr>
                <w:rFonts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分(需同时提供中标通知书、合同扫描件、验收报告)。</w:t>
            </w:r>
          </w:p>
        </w:tc>
      </w:tr>
    </w:tbl>
    <w:p/>
    <w:p>
      <w:pPr>
        <w:numPr>
          <w:ilvl w:val="0"/>
          <w:numId w:val="14"/>
        </w:numPr>
        <w:spacing w:line="440" w:lineRule="exact"/>
        <w:ind w:left="0" w:leftChars="0" w:firstLine="480" w:firstLineChars="200"/>
        <w:outlineLvl w:val="2"/>
        <w:rPr>
          <w:rFonts w:hint="eastAsia" w:ascii="宋体" w:hAnsi="宋体"/>
          <w:color w:val="auto"/>
          <w:sz w:val="24"/>
          <w:szCs w:val="24"/>
        </w:rPr>
      </w:pPr>
      <w:bookmarkStart w:id="67" w:name="_Toc75007961"/>
      <w:bookmarkStart w:id="68" w:name="_Toc145894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szCs w:val="21"/>
          <w:lang w:val="en-US" w:eastAsia="zh-CN"/>
        </w:rPr>
        <w:t>（50分）</w:t>
      </w:r>
      <w:bookmarkEnd w:id="67"/>
      <w:bookmarkEnd w:id="68"/>
    </w:p>
    <w:tbl>
      <w:tblPr>
        <w:tblStyle w:val="44"/>
        <w:tblW w:w="0" w:type="auto"/>
        <w:tblInd w:w="0" w:type="dxa"/>
        <w:tblLayout w:type="autofit"/>
        <w:tblCellMar>
          <w:top w:w="0" w:type="dxa"/>
          <w:left w:w="108" w:type="dxa"/>
          <w:bottom w:w="0" w:type="dxa"/>
          <w:right w:w="108" w:type="dxa"/>
        </w:tblCellMar>
      </w:tblPr>
      <w:tblGrid>
        <w:gridCol w:w="708"/>
        <w:gridCol w:w="840"/>
        <w:gridCol w:w="780"/>
        <w:gridCol w:w="6899"/>
      </w:tblGrid>
      <w:tr>
        <w:tblPrEx>
          <w:tblCellMar>
            <w:top w:w="0" w:type="dxa"/>
            <w:left w:w="108" w:type="dxa"/>
            <w:bottom w:w="0" w:type="dxa"/>
            <w:right w:w="108" w:type="dxa"/>
          </w:tblCellMar>
        </w:tblPrEx>
        <w:trPr>
          <w:trHeight w:val="570" w:hRule="atLeast"/>
        </w:trPr>
        <w:tc>
          <w:tcPr>
            <w:tcW w:w="708" w:type="dxa"/>
            <w:tcBorders>
              <w:top w:val="single" w:color="000000" w:sz="8" w:space="0"/>
              <w:left w:val="single" w:color="000000" w:sz="8" w:space="0"/>
              <w:bottom w:val="single" w:color="000000" w:sz="8" w:space="0"/>
              <w:right w:val="single" w:color="000000" w:sz="8" w:space="0"/>
            </w:tcBorders>
            <w:shd w:val="clear" w:color="auto" w:fill="DDD9C4"/>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840" w:type="dxa"/>
            <w:tcBorders>
              <w:top w:val="single" w:color="000000" w:sz="8" w:space="0"/>
              <w:left w:val="nil"/>
              <w:bottom w:val="single" w:color="000000" w:sz="8" w:space="0"/>
              <w:right w:val="single" w:color="000000" w:sz="8" w:space="0"/>
            </w:tcBorders>
            <w:shd w:val="clear" w:color="auto" w:fill="DDD9C4"/>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评审因素</w:t>
            </w:r>
          </w:p>
        </w:tc>
        <w:tc>
          <w:tcPr>
            <w:tcW w:w="780" w:type="dxa"/>
            <w:tcBorders>
              <w:top w:val="single" w:color="000000" w:sz="8" w:space="0"/>
              <w:left w:val="nil"/>
              <w:bottom w:val="single" w:color="000000" w:sz="8" w:space="0"/>
              <w:right w:val="single" w:color="000000" w:sz="8" w:space="0"/>
            </w:tcBorders>
            <w:shd w:val="clear" w:color="auto" w:fill="DDD9C4"/>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分值</w:t>
            </w:r>
          </w:p>
        </w:tc>
        <w:tc>
          <w:tcPr>
            <w:tcW w:w="6899" w:type="dxa"/>
            <w:tcBorders>
              <w:top w:val="single" w:color="000000" w:sz="8" w:space="0"/>
              <w:left w:val="nil"/>
              <w:bottom w:val="single" w:color="000000" w:sz="8" w:space="0"/>
              <w:right w:val="single" w:color="000000" w:sz="8" w:space="0"/>
            </w:tcBorders>
            <w:shd w:val="clear" w:color="auto" w:fill="DDD9C4"/>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评分标准</w:t>
            </w:r>
          </w:p>
        </w:tc>
      </w:tr>
      <w:tr>
        <w:tblPrEx>
          <w:tblCellMar>
            <w:top w:w="0" w:type="dxa"/>
            <w:left w:w="108" w:type="dxa"/>
            <w:bottom w:w="0" w:type="dxa"/>
            <w:right w:w="108" w:type="dxa"/>
          </w:tblCellMar>
        </w:tblPrEx>
        <w:trPr>
          <w:trHeight w:val="2055"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8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项目需求分析</w:t>
            </w:r>
          </w:p>
        </w:tc>
        <w:tc>
          <w:tcPr>
            <w:tcW w:w="7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3</w:t>
            </w:r>
          </w:p>
        </w:tc>
        <w:tc>
          <w:tcPr>
            <w:tcW w:w="6899"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人需对本项目的建设背景、依据、项目建设必要性等做充分的了解，结合自身经验，提供项目技术服务方案。评委根据投标人提供的技术服务方案，从是否对建设目标、建设目标、系统现状及需求分析、建设内容及技术要求有充分理解，了解本项目各项需求方面，进行评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方案能够完全</w:t>
            </w:r>
            <w:r>
              <w:rPr>
                <w:rFonts w:hint="eastAsia" w:ascii="宋体" w:hAnsi="宋体" w:eastAsia="宋体" w:cs="宋体"/>
                <w:color w:val="000000"/>
                <w:kern w:val="0"/>
                <w:sz w:val="20"/>
                <w:szCs w:val="20"/>
                <w:lang w:bidi="ar"/>
              </w:rPr>
              <w:t>满足要求的得</w:t>
            </w:r>
            <w:r>
              <w:rPr>
                <w:rFonts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分</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能够基本满足要求的得2分，一般满足要求的得1分，未</w:t>
            </w:r>
            <w:r>
              <w:rPr>
                <w:rFonts w:hint="eastAsia" w:ascii="宋体" w:hAnsi="宋体" w:eastAsia="宋体" w:cs="宋体"/>
                <w:color w:val="000000"/>
                <w:kern w:val="0"/>
                <w:sz w:val="20"/>
                <w:szCs w:val="20"/>
                <w:lang w:bidi="ar"/>
              </w:rPr>
              <w:t>提供</w:t>
            </w:r>
            <w:r>
              <w:rPr>
                <w:rFonts w:hint="eastAsia" w:ascii="宋体" w:hAnsi="宋体" w:eastAsia="宋体" w:cs="宋体"/>
                <w:color w:val="000000"/>
                <w:kern w:val="0"/>
                <w:sz w:val="20"/>
                <w:szCs w:val="20"/>
                <w:lang w:val="en-US" w:eastAsia="zh-CN" w:bidi="ar"/>
              </w:rPr>
              <w:t>的</w:t>
            </w:r>
            <w:r>
              <w:rPr>
                <w:rFonts w:hint="eastAsia" w:ascii="宋体" w:hAnsi="宋体" w:eastAsia="宋体" w:cs="宋体"/>
                <w:color w:val="000000"/>
                <w:kern w:val="0"/>
                <w:sz w:val="20"/>
                <w:szCs w:val="20"/>
                <w:lang w:bidi="ar"/>
              </w:rPr>
              <w:t>不得分。</w:t>
            </w:r>
          </w:p>
        </w:tc>
      </w:tr>
      <w:tr>
        <w:tblPrEx>
          <w:tblCellMar>
            <w:top w:w="0" w:type="dxa"/>
            <w:left w:w="108" w:type="dxa"/>
            <w:bottom w:w="0" w:type="dxa"/>
            <w:right w:w="108" w:type="dxa"/>
          </w:tblCellMar>
        </w:tblPrEx>
        <w:trPr>
          <w:trHeight w:val="1020" w:hRule="atLeast"/>
        </w:trPr>
        <w:tc>
          <w:tcPr>
            <w:tcW w:w="708" w:type="dxa"/>
            <w:tcBorders>
              <w:top w:val="nil"/>
              <w:left w:val="single" w:color="000000" w:sz="8" w:space="0"/>
              <w:bottom w:val="nil"/>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2</w:t>
            </w:r>
          </w:p>
        </w:tc>
        <w:tc>
          <w:tcPr>
            <w:tcW w:w="840"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项目实施</w:t>
            </w:r>
          </w:p>
        </w:tc>
        <w:tc>
          <w:tcPr>
            <w:tcW w:w="78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w:t>
            </w:r>
          </w:p>
        </w:tc>
        <w:tc>
          <w:tcPr>
            <w:tcW w:w="6899" w:type="dxa"/>
            <w:tcBorders>
              <w:top w:val="nil"/>
              <w:left w:val="nil"/>
              <w:bottom w:val="nil"/>
              <w:right w:val="single" w:color="000000"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对投标人提供的项目实施方案进行评价，包括但不限于：项目实施进度、实施可行性、质量管理、测试方案、试运行方案、保障措施等是否具体、合理、可行、全面。全部满足得</w:t>
            </w:r>
            <w:r>
              <w:rPr>
                <w:rFonts w:ascii="宋体" w:hAnsi="宋体" w:eastAsia="宋体" w:cs="宋体"/>
                <w:color w:val="000000"/>
                <w:kern w:val="0"/>
                <w:sz w:val="20"/>
                <w:szCs w:val="20"/>
                <w:lang w:bidi="ar"/>
              </w:rPr>
              <w:t>2</w:t>
            </w:r>
            <w:r>
              <w:rPr>
                <w:rFonts w:hint="eastAsia" w:ascii="宋体" w:hAnsi="宋体" w:eastAsia="宋体" w:cs="宋体"/>
                <w:color w:val="000000"/>
                <w:kern w:val="0"/>
                <w:sz w:val="20"/>
                <w:szCs w:val="20"/>
                <w:lang w:bidi="ar"/>
              </w:rPr>
              <w:t>分，缺一项扣</w:t>
            </w:r>
            <w:r>
              <w:rPr>
                <w:rFonts w:ascii="宋体" w:hAnsi="宋体" w:eastAsia="宋体" w:cs="宋体"/>
                <w:color w:val="000000"/>
                <w:kern w:val="0"/>
                <w:sz w:val="20"/>
                <w:szCs w:val="20"/>
                <w:lang w:bidi="ar"/>
              </w:rPr>
              <w:t>0.5</w:t>
            </w:r>
            <w:r>
              <w:rPr>
                <w:rFonts w:hint="eastAsia" w:ascii="宋体" w:hAnsi="宋体" w:eastAsia="宋体" w:cs="宋体"/>
                <w:color w:val="000000"/>
                <w:kern w:val="0"/>
                <w:sz w:val="20"/>
                <w:szCs w:val="20"/>
                <w:lang w:bidi="ar"/>
              </w:rPr>
              <w:t>分，扣完为止。</w:t>
            </w:r>
          </w:p>
        </w:tc>
      </w:tr>
      <w:tr>
        <w:tblPrEx>
          <w:tblCellMar>
            <w:top w:w="0" w:type="dxa"/>
            <w:left w:w="108" w:type="dxa"/>
            <w:bottom w:w="0" w:type="dxa"/>
            <w:right w:w="108" w:type="dxa"/>
          </w:tblCellMar>
        </w:tblPrEx>
        <w:trPr>
          <w:trHeight w:val="510"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系统对接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9</w:t>
            </w: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投标人提供队站警情受理应用授权资料，保证与支队系统无缝对接。（提供厂家授权文件，并加盖投标人公章）</w:t>
            </w:r>
            <w:r>
              <w:rPr>
                <w:rStyle w:val="84"/>
                <w:rFonts w:hint="default"/>
                <w:color w:val="auto"/>
                <w:sz w:val="20"/>
                <w:szCs w:val="20"/>
                <w:lang w:bidi="ar"/>
              </w:rPr>
              <w:t>提供得3分，未提供不得分。</w:t>
            </w:r>
          </w:p>
        </w:tc>
      </w:tr>
      <w:tr>
        <w:tblPrEx>
          <w:tblCellMar>
            <w:top w:w="0" w:type="dxa"/>
            <w:left w:w="108" w:type="dxa"/>
            <w:bottom w:w="0" w:type="dxa"/>
            <w:right w:w="108" w:type="dxa"/>
          </w:tblCellMar>
        </w:tblPrEx>
        <w:trPr>
          <w:trHeight w:val="320"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投标人需实现与支队现有智能接处警系统无缝兼容，提供无缝兼容证明材料。（提供证明材料复印件并加盖投标人公章）</w:t>
            </w:r>
            <w:r>
              <w:rPr>
                <w:rStyle w:val="84"/>
                <w:rFonts w:hint="default"/>
                <w:color w:val="auto"/>
                <w:sz w:val="20"/>
                <w:szCs w:val="20"/>
                <w:lang w:bidi="ar"/>
              </w:rPr>
              <w:t>提供得3分，未提供不得分。</w:t>
            </w:r>
          </w:p>
        </w:tc>
      </w:tr>
      <w:tr>
        <w:tblPrEx>
          <w:tblCellMar>
            <w:top w:w="0" w:type="dxa"/>
            <w:left w:w="108" w:type="dxa"/>
            <w:bottom w:w="0" w:type="dxa"/>
            <w:right w:w="108" w:type="dxa"/>
          </w:tblCellMar>
        </w:tblPrEx>
        <w:trPr>
          <w:trHeight w:val="765"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投标人所投智能联动控制终端支持与支队现有智能接处警系统无缝对接，实现调派指令接收智能联动警灯、警铃等设备。（提供网络拓扑图及设备安装实施方案）</w:t>
            </w:r>
            <w:r>
              <w:rPr>
                <w:rStyle w:val="84"/>
                <w:rFonts w:hint="default"/>
                <w:color w:val="auto"/>
                <w:sz w:val="20"/>
                <w:szCs w:val="20"/>
                <w:lang w:bidi="ar"/>
              </w:rPr>
              <w:t>提供得3分，未提供不得分。</w:t>
            </w:r>
          </w:p>
        </w:tc>
      </w:tr>
      <w:tr>
        <w:tblPrEx>
          <w:tblCellMar>
            <w:top w:w="0" w:type="dxa"/>
            <w:left w:w="108" w:type="dxa"/>
            <w:bottom w:w="0" w:type="dxa"/>
            <w:right w:w="108" w:type="dxa"/>
          </w:tblCellMar>
        </w:tblPrEx>
        <w:trPr>
          <w:trHeight w:val="10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w:t>
            </w:r>
            <w:r>
              <w:rPr>
                <w:rFonts w:hint="eastAsia" w:ascii="宋体" w:hAnsi="宋体" w:eastAsia="宋体" w:cs="宋体"/>
                <w:color w:val="000000"/>
                <w:kern w:val="0"/>
                <w:sz w:val="20"/>
                <w:szCs w:val="20"/>
                <w:lang w:val="en-US" w:eastAsia="zh-CN" w:bidi="ar"/>
              </w:rPr>
              <w:t>参数</w:t>
            </w:r>
            <w:r>
              <w:rPr>
                <w:rFonts w:hint="eastAsia" w:ascii="宋体" w:hAnsi="宋体" w:eastAsia="宋体" w:cs="宋体"/>
                <w:color w:val="000000"/>
                <w:kern w:val="0"/>
                <w:sz w:val="20"/>
                <w:szCs w:val="20"/>
                <w:lang w:bidi="ar"/>
              </w:rPr>
              <w:t>响应情况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28</w:t>
            </w:r>
          </w:p>
        </w:tc>
        <w:tc>
          <w:tcPr>
            <w:tcW w:w="6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投标人所投产品所有参数</w:t>
            </w:r>
            <w:r>
              <w:rPr>
                <w:rFonts w:hint="eastAsia" w:ascii="宋体" w:hAnsi="宋体" w:eastAsia="宋体" w:cs="宋体"/>
                <w:color w:val="000000"/>
                <w:kern w:val="0"/>
                <w:sz w:val="20"/>
                <w:szCs w:val="20"/>
                <w:lang w:val="en-US" w:eastAsia="zh-CN" w:bidi="ar"/>
              </w:rPr>
              <w:t>需</w:t>
            </w:r>
            <w:r>
              <w:rPr>
                <w:rFonts w:hint="eastAsia" w:ascii="宋体" w:hAnsi="宋体" w:eastAsia="宋体" w:cs="宋体"/>
                <w:color w:val="000000"/>
                <w:kern w:val="0"/>
                <w:sz w:val="20"/>
                <w:szCs w:val="20"/>
                <w:lang w:bidi="ar"/>
              </w:rPr>
              <w:t>逐项响应，所投产品的技术参数全部没有负偏离，得</w:t>
            </w:r>
            <w:r>
              <w:rPr>
                <w:rFonts w:ascii="宋体" w:hAnsi="宋体" w:eastAsia="宋体" w:cs="宋体"/>
                <w:color w:val="000000"/>
                <w:kern w:val="0"/>
                <w:sz w:val="20"/>
                <w:szCs w:val="20"/>
                <w:lang w:bidi="ar"/>
              </w:rPr>
              <w:t>25</w:t>
            </w:r>
            <w:r>
              <w:rPr>
                <w:rFonts w:hint="eastAsia" w:ascii="宋体" w:hAnsi="宋体" w:eastAsia="宋体" w:cs="宋体"/>
                <w:color w:val="000000"/>
                <w:kern w:val="0"/>
                <w:sz w:val="20"/>
                <w:szCs w:val="20"/>
                <w:lang w:bidi="ar"/>
              </w:rPr>
              <w:t>分，标注“▲”号的参数每有一项不满足扣2分，非标注“▲”号的参数每有一项不满足扣1分，扣完为止</w:t>
            </w:r>
            <w:r>
              <w:rPr>
                <w:rFonts w:hint="eastAsia" w:ascii="宋体" w:hAnsi="宋体" w:eastAsia="宋体" w:cs="宋体"/>
                <w:color w:val="000000"/>
                <w:kern w:val="0"/>
                <w:sz w:val="20"/>
                <w:szCs w:val="20"/>
                <w:lang w:eastAsia="zh-CN" w:bidi="ar"/>
              </w:rPr>
              <w:t>。</w:t>
            </w:r>
          </w:p>
        </w:tc>
      </w:tr>
      <w:tr>
        <w:tblPrEx>
          <w:tblCellMar>
            <w:top w:w="0" w:type="dxa"/>
            <w:left w:w="108" w:type="dxa"/>
            <w:bottom w:w="0" w:type="dxa"/>
            <w:right w:w="108" w:type="dxa"/>
          </w:tblCellMar>
        </w:tblPrEx>
        <w:trPr>
          <w:trHeight w:val="7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5</w:t>
            </w:r>
          </w:p>
        </w:tc>
        <w:tc>
          <w:tcPr>
            <w:tcW w:w="8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运维服务</w:t>
            </w:r>
          </w:p>
        </w:tc>
        <w:tc>
          <w:tcPr>
            <w:tcW w:w="7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4</w:t>
            </w:r>
          </w:p>
        </w:tc>
        <w:tc>
          <w:tcPr>
            <w:tcW w:w="6899"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投标人能够提供本地化维护服务，公司位于项目所在地或设有分支机构。投标人需在投标文件中提供本地机构的证明材料（营业执照复印件并加盖公章）</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提供得2分，未提供不得分。投标人能提供信息技术服务运行维护标准证书的得2分，未提供不得分。</w:t>
            </w:r>
          </w:p>
        </w:tc>
      </w:tr>
      <w:tr>
        <w:tblPrEx>
          <w:tblCellMar>
            <w:top w:w="0" w:type="dxa"/>
            <w:left w:w="108" w:type="dxa"/>
            <w:bottom w:w="0" w:type="dxa"/>
            <w:right w:w="108" w:type="dxa"/>
          </w:tblCellMar>
        </w:tblPrEx>
        <w:trPr>
          <w:trHeight w:val="7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6</w:t>
            </w:r>
          </w:p>
        </w:tc>
        <w:tc>
          <w:tcPr>
            <w:tcW w:w="8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故障服务</w:t>
            </w:r>
          </w:p>
        </w:tc>
        <w:tc>
          <w:tcPr>
            <w:tcW w:w="7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899" w:type="dxa"/>
            <w:tcBorders>
              <w:top w:val="nil"/>
              <w:left w:val="nil"/>
              <w:bottom w:val="single" w:color="000000" w:sz="8" w:space="0"/>
              <w:right w:val="single" w:color="000000" w:sz="8" w:space="0"/>
            </w:tcBorders>
            <w:shd w:val="clear" w:color="auto" w:fill="auto"/>
            <w:vAlign w:val="center"/>
          </w:tcPr>
          <w:p>
            <w:pPr>
              <w:widowControl/>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投标人针对本项目提供详细的系统故障处理方案，包括但不限于故障处理制度、职责分工、故障处理原则、关键环节及工作要求、预防机制等，全面满足得2分，其他不得分</w:t>
            </w:r>
            <w:r>
              <w:rPr>
                <w:rFonts w:hint="eastAsia" w:ascii="宋体" w:hAnsi="宋体" w:eastAsia="宋体" w:cs="宋体"/>
                <w:color w:val="000000"/>
                <w:kern w:val="0"/>
                <w:sz w:val="20"/>
                <w:szCs w:val="20"/>
                <w:lang w:eastAsia="zh-CN" w:bidi="ar"/>
              </w:rPr>
              <w:t>。</w:t>
            </w:r>
          </w:p>
        </w:tc>
      </w:tr>
      <w:tr>
        <w:tblPrEx>
          <w:tblCellMar>
            <w:top w:w="0" w:type="dxa"/>
            <w:left w:w="108" w:type="dxa"/>
            <w:bottom w:w="0" w:type="dxa"/>
            <w:right w:w="108" w:type="dxa"/>
          </w:tblCellMar>
        </w:tblPrEx>
        <w:trPr>
          <w:trHeight w:val="1035"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7</w:t>
            </w:r>
          </w:p>
        </w:tc>
        <w:tc>
          <w:tcPr>
            <w:tcW w:w="8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售后服务</w:t>
            </w:r>
          </w:p>
        </w:tc>
        <w:tc>
          <w:tcPr>
            <w:tcW w:w="7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6899"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对投标人提供的项目实施售后方案进行评价，包括但不限于：人员配置计划、培训范围和对象、使用人员培训、专业人员培训、售后服务等，全部满足得2分，缺一项扣1分，扣完为止。</w:t>
            </w:r>
          </w:p>
        </w:tc>
      </w:tr>
    </w:tbl>
    <w:p/>
    <w:p>
      <w:pPr>
        <w:spacing w:line="440" w:lineRule="exact"/>
        <w:ind w:left="0" w:leftChars="0" w:firstLine="480" w:firstLineChars="200"/>
        <w:jc w:val="left"/>
        <w:outlineLvl w:val="2"/>
        <w:rPr>
          <w:rFonts w:ascii="宋体" w:hAnsi="宋体"/>
          <w:color w:val="auto"/>
          <w:sz w:val="24"/>
          <w:szCs w:val="24"/>
        </w:rPr>
      </w:pPr>
      <w:bookmarkStart w:id="69" w:name="_Toc1458942"/>
      <w:bookmarkStart w:id="70" w:name="_Toc7500796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30</w:t>
      </w:r>
      <w:r>
        <w:rPr>
          <w:rFonts w:hint="eastAsia" w:ascii="宋体" w:hAnsi="宋体"/>
          <w:color w:val="auto"/>
          <w:sz w:val="24"/>
          <w:szCs w:val="24"/>
        </w:rPr>
        <w:t>分）</w:t>
      </w:r>
      <w:bookmarkEnd w:id="69"/>
      <w:bookmarkEnd w:id="70"/>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92"/>
        <w:gridCol w:w="1220"/>
        <w:gridCol w:w="744"/>
        <w:gridCol w:w="67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9" w:hRule="exact"/>
          <w:tblHeader/>
          <w:jc w:val="center"/>
        </w:trPr>
        <w:tc>
          <w:tcPr>
            <w:tcW w:w="320" w:type="pct"/>
            <w:tcBorders>
              <w:top w:val="single" w:color="auto" w:sz="4" w:space="0"/>
              <w:left w:val="single" w:color="auto" w:sz="4" w:space="0"/>
              <w:bottom w:val="single" w:color="auto" w:sz="4" w:space="0"/>
              <w:right w:val="single" w:color="auto" w:sz="4" w:space="0"/>
            </w:tcBorders>
            <w:shd w:val="clear" w:color="FFFFFF" w:fill="DDD9C4"/>
            <w:vAlign w:val="center"/>
          </w:tcPr>
          <w:p>
            <w:pPr>
              <w:ind w:left="-78" w:leftChars="-37" w:right="-86" w:rightChars="-41"/>
              <w:jc w:val="center"/>
              <w:rPr>
                <w:rFonts w:ascii="宋体" w:hAnsi="宋体" w:cs="Courier New"/>
                <w:b/>
                <w:bCs/>
                <w:sz w:val="24"/>
                <w:szCs w:val="24"/>
              </w:rPr>
            </w:pPr>
            <w:bookmarkStart w:id="71" w:name="_Toc29258"/>
            <w:bookmarkStart w:id="72" w:name="_Toc1145"/>
            <w:r>
              <w:rPr>
                <w:rFonts w:hint="eastAsia" w:ascii="宋体" w:hAnsi="宋体"/>
                <w:b/>
                <w:sz w:val="24"/>
                <w:szCs w:val="24"/>
              </w:rPr>
              <w:t>序号</w:t>
            </w:r>
          </w:p>
        </w:tc>
        <w:tc>
          <w:tcPr>
            <w:tcW w:w="659" w:type="pct"/>
            <w:tcBorders>
              <w:top w:val="single" w:color="auto" w:sz="4" w:space="0"/>
              <w:left w:val="single" w:color="auto" w:sz="4" w:space="0"/>
              <w:bottom w:val="single" w:color="auto" w:sz="4" w:space="0"/>
              <w:right w:val="single" w:color="auto" w:sz="4" w:space="0"/>
            </w:tcBorders>
            <w:shd w:val="clear" w:color="FFFFFF" w:fill="DDD9C4"/>
            <w:vAlign w:val="center"/>
          </w:tcPr>
          <w:p>
            <w:pPr>
              <w:ind w:left="-78" w:leftChars="-37" w:right="-86" w:rightChars="-41"/>
              <w:jc w:val="center"/>
              <w:rPr>
                <w:rFonts w:ascii="宋体" w:hAnsi="宋体" w:cs="Courier New"/>
                <w:b/>
                <w:bCs/>
                <w:sz w:val="24"/>
                <w:szCs w:val="24"/>
              </w:rPr>
            </w:pPr>
            <w:r>
              <w:rPr>
                <w:rFonts w:hint="eastAsia" w:ascii="宋体" w:hAnsi="宋体"/>
                <w:b/>
                <w:sz w:val="24"/>
                <w:szCs w:val="24"/>
              </w:rPr>
              <w:t>评审因素</w:t>
            </w:r>
          </w:p>
        </w:tc>
        <w:tc>
          <w:tcPr>
            <w:tcW w:w="402" w:type="pct"/>
            <w:tcBorders>
              <w:top w:val="single" w:color="auto" w:sz="4" w:space="0"/>
              <w:left w:val="single" w:color="auto" w:sz="4" w:space="0"/>
              <w:bottom w:val="single" w:color="auto" w:sz="4" w:space="0"/>
              <w:right w:val="single" w:color="auto" w:sz="4" w:space="0"/>
            </w:tcBorders>
            <w:shd w:val="clear" w:color="FFFFFF" w:fill="DDD9C4"/>
            <w:vAlign w:val="center"/>
          </w:tcPr>
          <w:p>
            <w:pPr>
              <w:ind w:left="-73" w:leftChars="-35" w:right="-80" w:rightChars="-38"/>
              <w:jc w:val="center"/>
              <w:rPr>
                <w:rFonts w:ascii="宋体" w:hAnsi="宋体" w:cs="Courier New"/>
                <w:b/>
                <w:bCs/>
                <w:sz w:val="24"/>
                <w:szCs w:val="24"/>
              </w:rPr>
            </w:pPr>
            <w:r>
              <w:rPr>
                <w:rFonts w:ascii="宋体" w:hAnsi="宋体" w:cs="Courier New"/>
                <w:b/>
                <w:bCs/>
                <w:sz w:val="24"/>
                <w:szCs w:val="24"/>
              </w:rPr>
              <w:t>分值</w:t>
            </w:r>
          </w:p>
        </w:tc>
        <w:tc>
          <w:tcPr>
            <w:tcW w:w="3619" w:type="pct"/>
            <w:tcBorders>
              <w:top w:val="single" w:color="auto" w:sz="4" w:space="0"/>
              <w:left w:val="single" w:color="auto" w:sz="4" w:space="0"/>
              <w:bottom w:val="single" w:color="auto" w:sz="4" w:space="0"/>
              <w:right w:val="single" w:color="auto" w:sz="4" w:space="0"/>
            </w:tcBorders>
            <w:shd w:val="clear" w:color="FFFFFF" w:fill="DDD9C4"/>
            <w:vAlign w:val="center"/>
          </w:tcPr>
          <w:p>
            <w:pPr>
              <w:spacing w:line="240" w:lineRule="atLeast"/>
              <w:jc w:val="center"/>
              <w:rPr>
                <w:rFonts w:ascii="宋体" w:hAnsi="宋体" w:cs="Courier New"/>
                <w:b/>
                <w:bCs/>
                <w:sz w:val="24"/>
                <w:szCs w:val="24"/>
              </w:rPr>
            </w:pPr>
            <w:r>
              <w:rPr>
                <w:rFonts w:hint="eastAsia" w:ascii="宋体" w:hAnsi="宋体" w:cs="Courier New"/>
                <w:b/>
                <w:bCs/>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2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b/>
                <w:bCs/>
                <w:color w:val="000000"/>
                <w:kern w:val="0"/>
                <w:sz w:val="20"/>
                <w:szCs w:val="20"/>
                <w:lang w:bidi="ar"/>
              </w:rPr>
              <w:t>1</w:t>
            </w:r>
          </w:p>
        </w:tc>
        <w:tc>
          <w:tcPr>
            <w:tcW w:w="659"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价格评议</w:t>
            </w:r>
          </w:p>
        </w:tc>
        <w:tc>
          <w:tcPr>
            <w:tcW w:w="4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tc>
        <w:tc>
          <w:tcPr>
            <w:tcW w:w="3619"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标委员会只对资格性检查和符合性检查合格的投标文件进行价格评议，报价分采用低价优先法计算，即满足招标文件要求且投标价格最低的投标报价为评标基准价，其报价分比重为满分30分。其他投标人的报价分按照下列公式计算：</w:t>
            </w:r>
          </w:p>
          <w:p>
            <w:pPr>
              <w:widowControl/>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报价分 = (评标基准价／投标报价)×30。</w:t>
            </w:r>
          </w:p>
        </w:tc>
      </w:tr>
    </w:tbl>
    <w:p>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pPr>
        <w:pStyle w:val="23"/>
        <w:rPr>
          <w:rFonts w:hint="eastAsia"/>
        </w:rPr>
      </w:pPr>
    </w:p>
    <w:p>
      <w:pPr>
        <w:rPr>
          <w:rFonts w:hint="eastAsia"/>
        </w:rPr>
      </w:pPr>
    </w:p>
    <w:p>
      <w:pPr>
        <w:pStyle w:val="29"/>
        <w:rPr>
          <w:rFonts w:hint="eastAsia"/>
        </w:rPr>
      </w:pPr>
    </w:p>
    <w:p>
      <w:pPr>
        <w:pStyle w:val="30"/>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9"/>
        <w:rPr>
          <w:rFonts w:hint="eastAsia"/>
        </w:rPr>
      </w:pPr>
    </w:p>
    <w:p>
      <w:pPr>
        <w:pStyle w:val="30"/>
        <w:rPr>
          <w:rFonts w:hint="eastAsia"/>
        </w:rPr>
      </w:pPr>
    </w:p>
    <w:p>
      <w:pPr>
        <w:pStyle w:val="30"/>
        <w:ind w:left="0" w:leftChars="0" w:firstLine="0" w:firstLineChars="0"/>
        <w:rPr>
          <w:rFonts w:hint="eastAsia"/>
        </w:rPr>
      </w:pPr>
    </w:p>
    <w:p>
      <w:pPr>
        <w:rPr>
          <w:rFonts w:hint="eastAsia"/>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71"/>
      <w:bookmarkEnd w:id="72"/>
    </w:p>
    <w:p>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73" w:name="_Toc15277"/>
      <w:bookmarkStart w:id="74" w:name="_Toc4455"/>
      <w:r>
        <w:rPr>
          <w:rFonts w:hint="eastAsia" w:ascii="Times New Roman" w:hAnsi="Times New Roman" w:cs="Times New Roman"/>
          <w:b/>
          <w:color w:val="auto"/>
          <w:sz w:val="44"/>
          <w:szCs w:val="44"/>
        </w:rPr>
        <w:t>第六章响应文件格式</w:t>
      </w:r>
      <w:bookmarkEnd w:id="73"/>
      <w:bookmarkEnd w:id="74"/>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75" w:name="_Toc22224"/>
      <w:bookmarkStart w:id="76" w:name="_Toc30715"/>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75"/>
      <w:bookmarkEnd w:id="76"/>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hint="eastAsia" w:ascii="黑体" w:hAnsi="黑体" w:eastAsia="黑体" w:cs="黑体"/>
          <w:b/>
          <w:bCs w:val="0"/>
          <w:color w:val="auto"/>
          <w:spacing w:val="100"/>
          <w:w w:val="110"/>
          <w:sz w:val="72"/>
          <w:szCs w:val="72"/>
        </w:rPr>
      </w:pPr>
      <w:r>
        <w:rPr>
          <w:rFonts w:hint="eastAsia" w:ascii="黑体" w:hAnsi="黑体" w:eastAsia="黑体" w:cs="黑体"/>
          <w:b/>
          <w:bCs w:val="0"/>
          <w:color w:val="auto"/>
          <w:spacing w:val="100"/>
          <w:w w:val="110"/>
          <w:sz w:val="72"/>
          <w:szCs w:val="72"/>
          <w:lang w:eastAsia="zh-CN"/>
        </w:rPr>
        <w:t>随县县</w:t>
      </w:r>
      <w:r>
        <w:rPr>
          <w:rFonts w:hint="eastAsia" w:ascii="黑体" w:hAnsi="黑体" w:eastAsia="黑体" w:cs="黑体"/>
          <w:b/>
          <w:bCs w:val="0"/>
          <w:color w:val="auto"/>
          <w:spacing w:val="100"/>
          <w:w w:val="110"/>
          <w:sz w:val="72"/>
          <w:szCs w:val="72"/>
        </w:rPr>
        <w:t>级政府采购</w:t>
      </w: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hint="eastAsia" w:ascii="黑体" w:hAnsi="黑体" w:eastAsia="黑体" w:cs="黑体"/>
          <w:b/>
          <w:bCs w:val="0"/>
          <w:color w:val="auto"/>
          <w:spacing w:val="100"/>
          <w:w w:val="110"/>
          <w:sz w:val="72"/>
          <w:szCs w:val="72"/>
        </w:rPr>
      </w:pPr>
    </w:p>
    <w:p>
      <w:pPr>
        <w:keepNext w:val="0"/>
        <w:keepLines w:val="0"/>
        <w:pageBreakBefore w:val="0"/>
        <w:widowControl w:val="0"/>
        <w:kinsoku/>
        <w:wordWrap/>
        <w:overflowPunct/>
        <w:topLinePunct w:val="0"/>
        <w:bidi w:val="0"/>
        <w:adjustRightInd/>
        <w:ind w:right="0" w:rightChars="0"/>
        <w:jc w:val="center"/>
        <w:textAlignment w:val="auto"/>
        <w:rPr>
          <w:rFonts w:hint="eastAsia" w:ascii="黑体" w:hAnsi="黑体" w:eastAsia="黑体" w:cs="黑体"/>
          <w:b/>
          <w:bCs w:val="0"/>
          <w:color w:val="auto"/>
          <w:sz w:val="72"/>
          <w:szCs w:val="72"/>
          <w:lang w:eastAsia="zh-CN"/>
        </w:rPr>
      </w:pPr>
      <w:r>
        <w:rPr>
          <w:rFonts w:hint="eastAsia" w:ascii="黑体" w:hAnsi="黑体" w:eastAsia="黑体" w:cs="黑体"/>
          <w:b/>
          <w:bCs w:val="0"/>
          <w:color w:val="auto"/>
          <w:spacing w:val="100"/>
          <w:w w:val="110"/>
          <w:sz w:val="56"/>
          <w:szCs w:val="56"/>
          <w:lang w:eastAsia="zh-CN"/>
        </w:rPr>
        <w:t>竞争性磋商文件</w:t>
      </w:r>
    </w:p>
    <w:p>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77" w:name="_Toc24534"/>
      <w:bookmarkStart w:id="78" w:name="_Toc16366"/>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77"/>
      <w:bookmarkEnd w:id="78"/>
    </w:p>
    <w:p>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79" w:name="_Toc13229"/>
      <w:bookmarkStart w:id="80" w:name="_Toc15319"/>
      <w:r>
        <w:rPr>
          <w:rFonts w:hint="eastAsia" w:ascii="Times New Roman" w:hAnsi="Times New Roman" w:cs="Times New Roman"/>
          <w:b/>
          <w:color w:val="auto"/>
          <w:sz w:val="24"/>
          <w:szCs w:val="24"/>
          <w:lang w:val="en-US" w:eastAsia="zh-CN"/>
        </w:rPr>
        <w:t>目录</w:t>
      </w:r>
      <w:bookmarkEnd w:id="79"/>
      <w:bookmarkEnd w:id="80"/>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81" w:name="_Toc19053"/>
      <w:bookmarkStart w:id="82"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81"/>
      <w:bookmarkEnd w:id="82"/>
      <w:r>
        <w:rPr>
          <w:rFonts w:hint="eastAsia" w:ascii="Times New Roman" w:hAnsi="Times New Roman" w:cs="Times New Roman"/>
          <w:color w:val="auto"/>
          <w:sz w:val="24"/>
          <w:szCs w:val="24"/>
        </w:rPr>
        <w:t>磋商书</w:t>
      </w:r>
    </w:p>
    <w:p>
      <w:pPr>
        <w:pStyle w:val="29"/>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5.技术响应、偏离情况说明表(附件5)；</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响应、偏离情况说明表(附件6)；</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rPr>
        <w:t>“★”号条款响应、偏离说明表(附件7)</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.法人（负责人）代表授权书(附件</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.法人或者其他组织的营业执照等证明文件，自然人的身份证明(附件</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rPr>
        <w:t>.财务状况报告，依法缴纳税收和社会保障资金的相关材料(附件</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.具备履行合同所必需的设备和专业技术能力的证明材料(附件1</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rPr>
        <w:t>.参加政府采购活动前3年内在经营活动中没有重大违法记录的书面声明(附件1</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rPr>
        <w:t>.未被列入“信用中国”、“中国政府采购网”失信被执行人、重大税收违法案件当事人名单、政府采购严重违法失信行为记录名单的网页打印件(附件1</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4.无政府采购回避事项的声明</w:t>
      </w:r>
      <w:r>
        <w:rPr>
          <w:rFonts w:hint="eastAsia" w:ascii="Times New Roman" w:hAnsi="Times New Roman" w:cs="Times New Roman"/>
          <w:color w:val="auto"/>
          <w:sz w:val="24"/>
          <w:szCs w:val="24"/>
        </w:rPr>
        <w:t>(附件1</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政府采购政策情况表</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《中小企业声明函》、《残疾人福利性单位声明函》、属于监狱企业的证明文件等（如果有的话）(附件1</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hint="eastAsia" w:ascii="Times New Roman" w:hAnsi="Times New Roman" w:cs="Times New Roman"/>
          <w:color w:val="auto"/>
          <w:sz w:val="24"/>
          <w:szCs w:val="24"/>
        </w:rPr>
        <w:t>.本文件要求提供的其他资格证明文件及资料。</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 将按响应文件的规定履行合同责任和义务；</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 响应文件中提供的证照、证书、资料等复印件均为原件复印，并对真实性、合法性承担法律责任；</w:t>
      </w:r>
    </w:p>
    <w:p>
      <w:pPr>
        <w:pStyle w:val="24"/>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pPr>
        <w:pStyle w:val="24"/>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pPr>
        <w:pStyle w:val="24"/>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pPr>
        <w:pStyle w:val="24"/>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pPr>
        <w:pStyle w:val="24"/>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pPr>
        <w:pStyle w:val="24"/>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pPr>
        <w:pStyle w:val="24"/>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pPr>
        <w:pStyle w:val="24"/>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83"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83"/>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pPr>
        <w:pStyle w:val="24"/>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4"/>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953"/>
        <w:gridCol w:w="1360"/>
        <w:gridCol w:w="859"/>
        <w:gridCol w:w="1762"/>
        <w:gridCol w:w="973"/>
        <w:gridCol w:w="12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3" w:type="dxa"/>
            <w:tcBorders>
              <w:top w:val="single" w:color="auto" w:sz="4"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货物（服务）名称</w:t>
            </w:r>
          </w:p>
        </w:tc>
        <w:tc>
          <w:tcPr>
            <w:tcW w:w="1360"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w:t>
            </w:r>
          </w:p>
        </w:tc>
        <w:tc>
          <w:tcPr>
            <w:tcW w:w="859"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762"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制造商名称</w:t>
            </w:r>
          </w:p>
        </w:tc>
        <w:tc>
          <w:tcPr>
            <w:tcW w:w="973"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211"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4"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51" w:type="dxa"/>
            <w:gridSpan w:val="2"/>
            <w:tcBorders>
              <w:top w:val="single" w:color="auto" w:sz="6" w:space="0"/>
              <w:left w:val="single" w:color="auto" w:sz="4" w:space="0"/>
              <w:bottom w:val="single" w:color="auto" w:sz="6" w:space="0"/>
              <w:right w:val="single" w:color="auto" w:sz="6"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p>
        </w:tc>
        <w:tc>
          <w:tcPr>
            <w:tcW w:w="136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4805" w:type="dxa"/>
            <w:gridSpan w:val="4"/>
            <w:tcBorders>
              <w:top w:val="single" w:color="auto" w:sz="6" w:space="0"/>
              <w:left w:val="single" w:color="auto" w:sz="6" w:space="0"/>
              <w:bottom w:val="single" w:color="auto" w:sz="6" w:space="0"/>
              <w:right w:val="single" w:color="auto" w:sz="4"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合同履行期限（交货期）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响应有效期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pPr>
        <w:pStyle w:val="24"/>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pPr>
        <w:pStyle w:val="24"/>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4"/>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pStyle w:val="24"/>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84"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84"/>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pPr>
        <w:pStyle w:val="29"/>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4"/>
        <w:tblW w:w="989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gridCol w:w="1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18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货物（服务）名称</w:t>
            </w:r>
          </w:p>
        </w:tc>
        <w:tc>
          <w:tcPr>
            <w:tcW w:w="1558"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制造商名称</w:t>
            </w:r>
          </w:p>
        </w:tc>
        <w:tc>
          <w:tcPr>
            <w:tcW w:w="1559"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生产地</w:t>
            </w:r>
          </w:p>
        </w:tc>
        <w:tc>
          <w:tcPr>
            <w:tcW w:w="1700"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规格型号</w:t>
            </w:r>
          </w:p>
        </w:tc>
        <w:tc>
          <w:tcPr>
            <w:tcW w:w="1133"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240"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hint="eastAsia" w:asciiTheme="minorEastAsia" w:hAnsiTheme="minorEastAsia" w:eastAsiaTheme="minorEastAsia" w:cstheme="minorEastAsia"/>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tbl>
            <w:tblPr>
              <w:tblStyle w:val="44"/>
              <w:tblW w:w="1377" w:type="dxa"/>
              <w:tblInd w:w="-10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377" w:type="dxa"/>
                  <w:tcBorders>
                    <w:top w:val="single" w:color="auto" w:sz="6" w:space="0"/>
                    <w:left w:val="single" w:color="auto" w:sz="6" w:space="0"/>
                    <w:bottom w:val="single" w:color="auto" w:sz="6" w:space="0"/>
                    <w:right w:val="single" w:color="auto" w:sz="4" w:space="0"/>
                  </w:tcBorders>
                  <w:vAlign w:val="center"/>
                </w:tcPr>
                <w:p>
                  <w:pPr>
                    <w:pStyle w:val="91"/>
                    <w:ind w:right="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大/中/小</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rPr>
                    <w:t>微型企业</w:t>
                  </w:r>
                </w:p>
              </w:tc>
            </w:tr>
          </w:tbl>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5"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hint="eastAsia"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说明：</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提供详细的货物和服务范围，包括货物和服务类别及制造（开发）商、备品备件等。</w:t>
      </w:r>
    </w:p>
    <w:p>
      <w:pPr>
        <w:pStyle w:val="29"/>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eastAsiaTheme="minorEastAsia"/>
          <w:color w:val="auto"/>
          <w:kern w:val="2"/>
          <w:sz w:val="24"/>
          <w:szCs w:val="24"/>
          <w:lang w:val="en-US" w:eastAsia="zh-CN" w:bidi="ar-SA"/>
        </w:rPr>
        <w:t xml:space="preserve"> 2、各项货物详细技术规格、参数及要求性能，应另页描述。</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Times New Roman" w:hAnsi="Times New Roman" w:cs="Times New Roman" w:eastAsiaTheme="minorEastAsia"/>
          <w:color w:val="auto"/>
          <w:kern w:val="2"/>
          <w:sz w:val="24"/>
          <w:szCs w:val="24"/>
          <w:lang w:val="en-US" w:eastAsia="zh-CN" w:bidi="ar-SA"/>
        </w:rPr>
      </w:pPr>
    </w:p>
    <w:p>
      <w:pPr>
        <w:pStyle w:val="24"/>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4"/>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5"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85"/>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86"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86"/>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pStyle w:val="29"/>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pPr>
        <w:pStyle w:val="24"/>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4"/>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87"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8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pPr>
        <w:pStyle w:val="29"/>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pPr>
        <w:pStyle w:val="24"/>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pStyle w:val="24"/>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88" w:name="_Toc18943"/>
    </w:p>
    <w:p>
      <w:pPr>
        <w:ind w:right="-88" w:rightChars="-42"/>
        <w:outlineLvl w:val="0"/>
        <w:rPr>
          <w:rFonts w:hint="eastAsia" w:asciiTheme="minorEastAsia" w:hAnsiTheme="minorEastAsia" w:eastAsiaTheme="minorEastAsia" w:cstheme="minorEastAsia"/>
          <w:bCs/>
          <w:sz w:val="24"/>
          <w:szCs w:val="24"/>
        </w:rPr>
      </w:pPr>
      <w:bookmarkStart w:id="89" w:name="_Toc29807"/>
      <w:r>
        <w:rPr>
          <w:rFonts w:hint="eastAsia" w:asciiTheme="minorEastAsia" w:hAnsiTheme="minorEastAsia" w:eastAsiaTheme="minorEastAsia" w:cstheme="minorEastAsia"/>
          <w:bCs/>
          <w:sz w:val="24"/>
          <w:szCs w:val="24"/>
        </w:rPr>
        <w:t>附件7：“★”号条款响应、偏离情况说明表</w:t>
      </w:r>
      <w:bookmarkEnd w:id="89"/>
    </w:p>
    <w:p>
      <w:pPr>
        <w:pStyle w:val="23"/>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ascii="仿宋" w:hAnsi="仿宋" w:eastAsia="仿宋" w:cs="Times New Roman"/>
          <w:b/>
          <w:bCs/>
          <w:sz w:val="28"/>
          <w:szCs w:val="28"/>
        </w:rPr>
        <w:t>“★”号条款响应、偏离情况说明表</w:t>
      </w:r>
    </w:p>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项目编号（包号）：</w:t>
      </w:r>
    </w:p>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tbl>
      <w:tblPr>
        <w:tblStyle w:val="44"/>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40"/>
        <w:gridCol w:w="2464"/>
        <w:gridCol w:w="1387"/>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磋商文件要求部分</w:t>
            </w:r>
          </w:p>
        </w:tc>
        <w:tc>
          <w:tcPr>
            <w:tcW w:w="2464" w:type="dxa"/>
            <w:tcBorders>
              <w:top w:val="single" w:color="auto" w:sz="4" w:space="0"/>
              <w:left w:val="single" w:color="auto" w:sz="4" w:space="0"/>
              <w:bottom w:val="single" w:color="auto" w:sz="4" w:space="0"/>
              <w:right w:val="single" w:color="auto" w:sz="4" w:space="0"/>
            </w:tcBorders>
            <w:vAlign w:val="center"/>
          </w:tcPr>
          <w:p>
            <w:pPr>
              <w:ind w:left="28" w:leftChars="-38" w:right="-88" w:rightChars="-42" w:hanging="108" w:hangingChars="45"/>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响应文件的响应部分</w:t>
            </w: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偏离说明</w:t>
            </w: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rPr>
              <w:t>…</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bl>
    <w:p>
      <w:pPr>
        <w:pStyle w:val="17"/>
        <w:spacing w:before="40" w:after="0" w:line="365" w:lineRule="auto"/>
        <w:ind w:righ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w:t>
      </w:r>
      <w:r>
        <w:rPr>
          <w:rFonts w:hint="eastAsia" w:asciiTheme="minorEastAsia" w:hAnsiTheme="minorEastAsia" w:eastAsiaTheme="minorEastAsia" w:cstheme="minorEastAsia"/>
          <w:spacing w:val="-1"/>
          <w:sz w:val="24"/>
          <w:szCs w:val="24"/>
        </w:rPr>
        <w:t>供应商应按招标文件第三章“技术（服务）要求”及“商务要求”中 “★”号条款进行逐项说明是</w:t>
      </w:r>
      <w:r>
        <w:rPr>
          <w:rFonts w:hint="eastAsia" w:asciiTheme="minorEastAsia" w:hAnsiTheme="minorEastAsia" w:eastAsiaTheme="minorEastAsia" w:cstheme="minorEastAsia"/>
          <w:spacing w:val="-3"/>
          <w:sz w:val="24"/>
          <w:szCs w:val="24"/>
        </w:rPr>
        <w:t>否满足要求，如有偏离,供应商应详细说明并提供证明文件；偏离说明与详细说</w:t>
      </w:r>
      <w:r>
        <w:rPr>
          <w:rFonts w:hint="eastAsia" w:asciiTheme="minorEastAsia" w:hAnsiTheme="minorEastAsia" w:eastAsiaTheme="minorEastAsia" w:cstheme="minorEastAsia"/>
          <w:sz w:val="24"/>
          <w:szCs w:val="24"/>
        </w:rPr>
        <w:t>明不一致的以详细说明为准。</w:t>
      </w:r>
    </w:p>
    <w:p>
      <w:pPr>
        <w:pStyle w:val="24"/>
        <w:spacing w:line="500" w:lineRule="exact"/>
        <w:ind w:right="-88" w:rightChars="-42"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2.如全部满足</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★号条款”全部内容，可在首行填写“全部满足”；如</w:t>
      </w:r>
      <w:r>
        <w:rPr>
          <w:rFonts w:hint="eastAsia" w:asciiTheme="minorEastAsia" w:hAnsiTheme="minorEastAsia" w:eastAsiaTheme="minorEastAsia" w:cstheme="minorEastAsia"/>
          <w:b/>
          <w:sz w:val="24"/>
          <w:szCs w:val="24"/>
        </w:rPr>
        <w:t>本表仅加盖公章未填写内容，则视为全部满足</w:t>
      </w:r>
      <w:r>
        <w:rPr>
          <w:rFonts w:hint="eastAsia" w:asciiTheme="minorEastAsia" w:hAnsiTheme="minorEastAsia" w:eastAsiaTheme="minorEastAsia" w:cstheme="minorEastAsia"/>
          <w:sz w:val="24"/>
          <w:szCs w:val="24"/>
        </w:rPr>
        <w:t>，相应责任由供应商自行承担。</w:t>
      </w:r>
    </w:p>
    <w:p>
      <w:pPr>
        <w:pStyle w:val="24"/>
        <w:spacing w:line="500" w:lineRule="exact"/>
        <w:ind w:right="-88" w:rightChars="-42"/>
        <w:rPr>
          <w:rFonts w:hint="eastAsia" w:asciiTheme="minorEastAsia" w:hAnsiTheme="minorEastAsia" w:eastAsiaTheme="minorEastAsia" w:cstheme="minorEastAsia"/>
          <w:sz w:val="24"/>
          <w:szCs w:val="24"/>
        </w:rPr>
      </w:pPr>
    </w:p>
    <w:p>
      <w:pPr>
        <w:pStyle w:val="24"/>
        <w:spacing w:line="500" w:lineRule="exact"/>
        <w:ind w:right="-88" w:rightChars="-42"/>
        <w:rPr>
          <w:rFonts w:hint="eastAsia" w:asciiTheme="minorEastAsia" w:hAnsiTheme="minorEastAsia" w:eastAsiaTheme="minorEastAsia" w:cstheme="minorEastAsia"/>
          <w:sz w:val="24"/>
          <w:szCs w:val="24"/>
        </w:rPr>
      </w:pPr>
    </w:p>
    <w:p>
      <w:pPr>
        <w:spacing w:line="440" w:lineRule="exact"/>
        <w:ind w:right="-88" w:rightChars="-42"/>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pPr>
        <w:spacing w:line="440" w:lineRule="exact"/>
        <w:ind w:right="-88" w:rightChars="-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法人（授权代表）或自然人（签字）：</w:t>
      </w:r>
    </w:p>
    <w:p>
      <w:pPr>
        <w:spacing w:line="440" w:lineRule="exact"/>
        <w:ind w:right="-88" w:rightChars="-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24"/>
        <w:spacing w:line="500" w:lineRule="exact"/>
        <w:ind w:right="-88" w:rightChars="-42"/>
        <w:rPr>
          <w:rFonts w:ascii="仿宋" w:hAnsi="仿宋" w:eastAsia="仿宋" w:cs="Times New Roman"/>
          <w:sz w:val="24"/>
          <w:szCs w:val="24"/>
        </w:rPr>
      </w:pPr>
    </w:p>
    <w:p>
      <w:pPr>
        <w:pStyle w:val="24"/>
        <w:spacing w:line="500" w:lineRule="exact"/>
        <w:ind w:right="-88" w:rightChars="-42"/>
        <w:rPr>
          <w:rFonts w:ascii="仿宋" w:hAnsi="仿宋" w:eastAsia="仿宋" w:cs="Times New Roman"/>
          <w:sz w:val="24"/>
          <w:szCs w:val="24"/>
        </w:rPr>
      </w:pPr>
    </w:p>
    <w:p>
      <w:pPr>
        <w:pStyle w:val="24"/>
        <w:spacing w:line="500" w:lineRule="exact"/>
        <w:ind w:right="-88" w:rightChars="-42"/>
        <w:rPr>
          <w:rFonts w:ascii="仿宋" w:hAnsi="仿宋" w:eastAsia="仿宋" w:cs="Times New Roman"/>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bookmarkEnd w:id="88"/>
      <w:r>
        <w:rPr>
          <w:rFonts w:hint="eastAsia" w:ascii="Times New Roman" w:hAnsi="Times New Roman" w:cs="Times New Roman"/>
          <w:bCs/>
          <w:color w:val="auto"/>
          <w:sz w:val="24"/>
          <w:szCs w:val="24"/>
          <w:lang w:val="en-US" w:eastAsia="zh-CN"/>
        </w:rPr>
        <w:t>8</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90" w:name="_Toc3324"/>
      <w:r>
        <w:rPr>
          <w:rFonts w:hint="eastAsia" w:ascii="Times New Roman" w:hAnsi="Times New Roman" w:cs="Times New Roman"/>
          <w:bCs/>
          <w:color w:val="auto"/>
          <w:sz w:val="24"/>
          <w:szCs w:val="24"/>
        </w:rPr>
        <w:t>附件</w:t>
      </w:r>
      <w:bookmarkEnd w:id="90"/>
      <w:r>
        <w:rPr>
          <w:rFonts w:hint="eastAsia" w:ascii="Times New Roman" w:hAnsi="Times New Roman" w:cs="Times New Roman"/>
          <w:bCs/>
          <w:color w:val="auto"/>
          <w:sz w:val="24"/>
          <w:szCs w:val="24"/>
          <w:lang w:val="en-US" w:eastAsia="zh-CN"/>
        </w:rPr>
        <w:t>9</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91" w:name="_Toc10537"/>
      <w:r>
        <w:rPr>
          <w:rFonts w:hint="eastAsia" w:ascii="Times New Roman" w:hAnsi="Times New Roman" w:cs="Times New Roman"/>
          <w:bCs/>
          <w:color w:val="auto"/>
          <w:sz w:val="24"/>
          <w:szCs w:val="24"/>
        </w:rPr>
        <w:t>附件</w:t>
      </w:r>
      <w:bookmarkEnd w:id="91"/>
      <w:r>
        <w:rPr>
          <w:rFonts w:hint="eastAsia" w:ascii="Times New Roman" w:hAnsi="Times New Roman" w:cs="Times New Roman"/>
          <w:bCs/>
          <w:color w:val="auto"/>
          <w:sz w:val="24"/>
          <w:szCs w:val="24"/>
          <w:lang w:val="en-US" w:eastAsia="zh-CN"/>
        </w:rPr>
        <w:t>10</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lang w:eastAsia="zh-CN"/>
        </w:rPr>
        <w:t>：履行合同所必需的设备和专业技术能力的证明材料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92"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bookmarkEnd w:id="92"/>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lang w:eastAsia="zh-CN"/>
        </w:rPr>
        <w:t>：参加政府采购活动前3年内在经营活动中没有重大违法记录的书面声明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3" w:name="_Toc28100"/>
      <w:r>
        <w:rPr>
          <w:rFonts w:hint="eastAsia" w:ascii="Times New Roman" w:hAnsi="Times New Roman" w:cs="Times New Roman"/>
          <w:bCs/>
          <w:color w:val="auto"/>
          <w:sz w:val="24"/>
          <w:szCs w:val="24"/>
        </w:rPr>
        <w:t>附件</w:t>
      </w:r>
      <w:bookmarkEnd w:id="93"/>
      <w:r>
        <w:rPr>
          <w:rFonts w:hint="eastAsia" w:ascii="Times New Roman" w:hAnsi="Times New Roman" w:cs="Times New Roman"/>
          <w:bCs/>
          <w:color w:val="auto"/>
          <w:sz w:val="24"/>
          <w:szCs w:val="24"/>
          <w:lang w:val="en-US" w:eastAsia="zh-CN"/>
        </w:rPr>
        <w:t>13</w:t>
      </w:r>
      <w:r>
        <w:rPr>
          <w:rFonts w:hint="eastAsia" w:ascii="Times New Roman" w:hAnsi="Times New Roman" w:cs="Times New Roman"/>
          <w:bCs/>
          <w:color w:val="auto"/>
          <w:sz w:val="24"/>
          <w:szCs w:val="24"/>
          <w:lang w:eastAsia="zh-CN"/>
        </w:rPr>
        <w:t>：信用记录查询网页打印件</w:t>
      </w:r>
    </w:p>
    <w:p>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br w:type="page"/>
      </w:r>
      <w:bookmarkStart w:id="94" w:name="_Toc11030"/>
    </w:p>
    <w:p>
      <w:pPr>
        <w:widowControl/>
        <w:ind w:right="-88" w:rightChars="-42"/>
        <w:jc w:val="left"/>
        <w:outlineLvl w:val="0"/>
        <w:rPr>
          <w:rFonts w:hint="eastAsia" w:asciiTheme="minorEastAsia" w:hAnsiTheme="minorEastAsia" w:eastAsiaTheme="minorEastAsia" w:cstheme="minorEastAsia"/>
          <w:bCs/>
          <w:sz w:val="24"/>
          <w:szCs w:val="24"/>
        </w:rPr>
      </w:pPr>
      <w:bookmarkStart w:id="95" w:name="_Toc21792"/>
      <w:r>
        <w:rPr>
          <w:rFonts w:hint="eastAsia" w:asciiTheme="minorEastAsia" w:hAnsiTheme="minorEastAsia" w:eastAsiaTheme="minorEastAsia" w:cstheme="minorEastAsia"/>
          <w:bCs/>
          <w:sz w:val="24"/>
          <w:szCs w:val="24"/>
        </w:rPr>
        <w:t>附件14：无政府采购回避事项的声明</w:t>
      </w:r>
      <w:bookmarkEnd w:id="95"/>
    </w:p>
    <w:p>
      <w:pPr>
        <w:ind w:right="-88" w:rightChars="-42"/>
        <w:jc w:val="left"/>
        <w:rPr>
          <w:rFonts w:ascii="仿宋" w:hAnsi="仿宋" w:eastAsia="仿宋" w:cs="Times New Roman"/>
          <w:sz w:val="24"/>
          <w:szCs w:val="24"/>
        </w:rPr>
      </w:pPr>
    </w:p>
    <w:p>
      <w:pPr>
        <w:ind w:right="-88" w:rightChars="-42" w:firstLine="632" w:firstLineChars="300"/>
        <w:jc w:val="left"/>
        <w:rPr>
          <w:rFonts w:ascii="仿宋" w:hAnsi="仿宋" w:eastAsia="仿宋" w:cs="Times New Roman"/>
          <w:b/>
        </w:rPr>
      </w:pPr>
    </w:p>
    <w:p>
      <w:pPr>
        <w:ind w:right="-88" w:rightChars="-42"/>
        <w:jc w:val="center"/>
        <w:outlineLvl w:val="0"/>
        <w:rPr>
          <w:rFonts w:hint="eastAsia" w:asciiTheme="minorEastAsia" w:hAnsiTheme="minorEastAsia" w:eastAsiaTheme="minorEastAsia" w:cstheme="minorEastAsia"/>
          <w:sz w:val="24"/>
          <w:szCs w:val="24"/>
        </w:rPr>
      </w:pPr>
      <w:bookmarkStart w:id="96" w:name="_Toc6615"/>
      <w:bookmarkStart w:id="97" w:name="_Toc97735209"/>
      <w:bookmarkStart w:id="98" w:name="_Toc10672"/>
      <w:bookmarkStart w:id="99" w:name="_Toc16463"/>
      <w:bookmarkStart w:id="100" w:name="_Toc97300140"/>
      <w:bookmarkStart w:id="101" w:name="_Toc97734667"/>
      <w:bookmarkStart w:id="102" w:name="_Toc10716"/>
      <w:bookmarkStart w:id="103" w:name="_Toc14362"/>
      <w:bookmarkStart w:id="104" w:name="_Toc25871"/>
      <w:bookmarkStart w:id="105" w:name="_Toc1258"/>
      <w:bookmarkStart w:id="106" w:name="_Toc19984"/>
      <w:r>
        <w:rPr>
          <w:rFonts w:hint="eastAsia" w:asciiTheme="minorEastAsia" w:hAnsiTheme="minorEastAsia" w:eastAsiaTheme="minorEastAsia" w:cstheme="minorEastAsia"/>
          <w:b/>
          <w:sz w:val="24"/>
          <w:szCs w:val="24"/>
        </w:rPr>
        <w:t>无政府采购回避事项的声明</w:t>
      </w:r>
      <w:bookmarkEnd w:id="96"/>
      <w:bookmarkEnd w:id="97"/>
      <w:bookmarkEnd w:id="98"/>
      <w:bookmarkEnd w:id="99"/>
      <w:bookmarkEnd w:id="100"/>
      <w:bookmarkEnd w:id="101"/>
      <w:bookmarkEnd w:id="102"/>
      <w:bookmarkEnd w:id="103"/>
      <w:bookmarkEnd w:id="104"/>
      <w:bookmarkEnd w:id="105"/>
      <w:bookmarkEnd w:id="106"/>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cstheme="minorEastAsia"/>
          <w:b/>
          <w:bCs/>
          <w:sz w:val="24"/>
          <w:szCs w:val="24"/>
          <w:lang w:eastAsia="zh-CN"/>
        </w:rPr>
        <w:t>随县</w:t>
      </w:r>
      <w:r>
        <w:rPr>
          <w:rFonts w:hint="eastAsia" w:asciiTheme="minorEastAsia" w:hAnsiTheme="minorEastAsia" w:eastAsiaTheme="minorEastAsia" w:cstheme="minorEastAsia"/>
          <w:b/>
          <w:bCs/>
          <w:sz w:val="24"/>
          <w:szCs w:val="24"/>
        </w:rPr>
        <w:t>政府采购中心</w:t>
      </w:r>
      <w:r>
        <w:rPr>
          <w:rFonts w:hint="eastAsia" w:asciiTheme="minorEastAsia" w:hAnsiTheme="minorEastAsia" w:eastAsiaTheme="minorEastAsia" w:cstheme="minorEastAsia"/>
          <w:bCs/>
          <w:sz w:val="24"/>
          <w:szCs w:val="24"/>
        </w:rPr>
        <w:t>：</w:t>
      </w:r>
    </w:p>
    <w:p>
      <w:pPr>
        <w:spacing w:line="360" w:lineRule="auto"/>
        <w:ind w:right="6"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rPr>
        <w:t xml:space="preserve">(投标人全称) </w:t>
      </w:r>
      <w:r>
        <w:rPr>
          <w:rFonts w:hint="eastAsia" w:asciiTheme="minorEastAsia" w:hAnsiTheme="minorEastAsia" w:eastAsiaTheme="minorEastAsia" w:cstheme="minorEastAsia"/>
          <w:bCs/>
          <w:sz w:val="24"/>
          <w:szCs w:val="24"/>
        </w:rPr>
        <w:t>参加贵中心组织的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bCs/>
          <w:sz w:val="24"/>
          <w:szCs w:val="24"/>
          <w:u w:val="single"/>
        </w:rPr>
        <w:t xml:space="preserve"> (项目编号) </w:t>
      </w:r>
      <w:r>
        <w:rPr>
          <w:rFonts w:hint="eastAsia" w:asciiTheme="minorEastAsia" w:hAnsiTheme="minorEastAsia" w:eastAsiaTheme="minorEastAsia" w:cstheme="minorEastAsia"/>
          <w:bCs/>
          <w:sz w:val="24"/>
          <w:szCs w:val="24"/>
        </w:rPr>
        <w:t>的政府采购活动，根据招标文件的规定提交相关资格证明文件。并郑重声明如下：</w:t>
      </w:r>
    </w:p>
    <w:p>
      <w:pPr>
        <w:numPr>
          <w:ilvl w:val="0"/>
          <w:numId w:val="15"/>
        </w:numPr>
        <w:tabs>
          <w:tab w:val="left" w:pos="0"/>
        </w:tabs>
        <w:spacing w:line="360" w:lineRule="auto"/>
        <w:ind w:righ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未与单位负责人为同一人或者存在直接控股、管理关系的其它投标人，参加本项</w:t>
      </w:r>
    </w:p>
    <w:p>
      <w:pPr>
        <w:tabs>
          <w:tab w:val="left" w:pos="0"/>
        </w:tabs>
        <w:spacing w:line="360" w:lineRule="auto"/>
        <w:ind w:righ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目同一合同项下的政府采购活动；</w:t>
      </w:r>
    </w:p>
    <w:p>
      <w:pPr>
        <w:numPr>
          <w:ilvl w:val="0"/>
          <w:numId w:val="15"/>
        </w:numPr>
        <w:tabs>
          <w:tab w:val="left" w:pos="0"/>
        </w:tabs>
        <w:spacing w:line="360" w:lineRule="auto"/>
        <w:ind w:right="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未为本</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bCs/>
          <w:sz w:val="24"/>
          <w:szCs w:val="24"/>
        </w:rPr>
        <w:t>项目提供整体设计、规范编制或者项目管理、监理、检测等服务；</w:t>
      </w:r>
    </w:p>
    <w:p>
      <w:pPr>
        <w:numPr>
          <w:ilvl w:val="0"/>
          <w:numId w:val="15"/>
        </w:numPr>
        <w:tabs>
          <w:tab w:val="left" w:pos="0"/>
        </w:tabs>
        <w:spacing w:line="360" w:lineRule="auto"/>
        <w:ind w:right="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对上述声明内容的真实性负责。如有虚假，将依法承担相应责任。</w:t>
      </w:r>
    </w:p>
    <w:p>
      <w:pPr>
        <w:pStyle w:val="23"/>
        <w:rPr>
          <w:rFonts w:hint="eastAsia" w:asciiTheme="minorEastAsia" w:hAnsiTheme="minorEastAsia" w:eastAsiaTheme="minorEastAsia" w:cstheme="minorEastAsia"/>
          <w:i w:val="0"/>
          <w:sz w:val="24"/>
          <w:szCs w:val="24"/>
        </w:rPr>
      </w:pPr>
    </w:p>
    <w:p>
      <w:pPr>
        <w:ind w:right="-88" w:rightChars="-42"/>
        <w:jc w:val="left"/>
        <w:rPr>
          <w:rFonts w:hint="eastAsia" w:asciiTheme="minorEastAsia" w:hAnsiTheme="minorEastAsia" w:eastAsiaTheme="minorEastAsia" w:cstheme="minorEastAsia"/>
          <w:sz w:val="24"/>
          <w:szCs w:val="24"/>
        </w:rPr>
      </w:pPr>
    </w:p>
    <w:p>
      <w:pPr>
        <w:ind w:right="-88" w:rightChars="-42"/>
        <w:jc w:val="left"/>
        <w:rPr>
          <w:rFonts w:hint="eastAsia" w:asciiTheme="minorEastAsia" w:hAnsiTheme="minorEastAsia" w:eastAsiaTheme="minorEastAsia" w:cstheme="minorEastAsia"/>
          <w:sz w:val="24"/>
          <w:szCs w:val="24"/>
        </w:rPr>
      </w:pPr>
    </w:p>
    <w:p>
      <w:pPr>
        <w:spacing w:line="440" w:lineRule="exact"/>
        <w:ind w:right="-88" w:rightChars="-42" w:firstLine="5460" w:firstLineChars="227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pPr>
        <w:spacing w:line="440" w:lineRule="exact"/>
        <w:ind w:right="-88" w:rightChars="-42" w:firstLine="5460" w:firstLineChars="2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法人（授权代表）签字：</w:t>
      </w:r>
    </w:p>
    <w:p>
      <w:pPr>
        <w:spacing w:line="440" w:lineRule="exact"/>
        <w:ind w:right="-88" w:rightChars="-42" w:firstLine="5460" w:firstLineChars="2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ind w:right="-88" w:rightChars="-42"/>
        <w:jc w:val="left"/>
        <w:rPr>
          <w:rFonts w:ascii="仿宋" w:hAnsi="仿宋" w:eastAsia="仿宋" w:cs="Times New Roman"/>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bookmarkEnd w:id="94"/>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4"/>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107"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bookmarkEnd w:id="107"/>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本公司对上述声明的真实性负责。如有虚假，将依法承担相应责任。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企业法人（负责人）签字（签章）：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headerReference r:id="rId3" w:type="default"/>
          <w:footerReference r:id="rId4" w:type="default"/>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4"/>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108"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bookmarkEnd w:id="108"/>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pPr>
        <w:pStyle w:val="23"/>
        <w:keepNext w:val="0"/>
        <w:keepLines w:val="0"/>
        <w:pageBreakBefore w:val="0"/>
        <w:kinsoku/>
        <w:wordWrap/>
        <w:overflowPunct/>
        <w:topLinePunct w:val="0"/>
        <w:bidi w:val="0"/>
        <w:adjustRightInd/>
        <w:ind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109" w:name="OLE_LINK14"/>
      <w:bookmarkStart w:id="110" w:name="OLE_LINK13"/>
      <w:r>
        <w:rPr>
          <w:rFonts w:hint="eastAsia" w:ascii="Times New Roman" w:hAnsi="Times New Roman" w:cs="Times New Roman" w:eastAsiaTheme="majorEastAsia"/>
          <w:b/>
          <w:color w:val="auto"/>
          <w:spacing w:val="6"/>
          <w:sz w:val="24"/>
          <w:szCs w:val="24"/>
        </w:rPr>
        <w:t>残疾人福利性单位声明函</w:t>
      </w:r>
    </w:p>
    <w:bookmarkEnd w:id="109"/>
    <w:bookmarkEnd w:id="110"/>
    <w:p>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111"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bookmarkEnd w:id="111"/>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pPr>
        <w:pStyle w:val="29"/>
      </w:pPr>
    </w:p>
    <w:p>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hint="eastAsia" w:ascii="Times New Roman" w:hAnsi="Times New Roman" w:cs="Times New Roman" w:eastAsiaTheme="minorEastAsia"/>
          <w:bCs/>
          <w:color w:val="auto"/>
          <w:sz w:val="24"/>
          <w:szCs w:val="24"/>
          <w:lang w:eastAsia="zh-CN"/>
        </w:rPr>
      </w:pPr>
      <w:bookmarkStart w:id="112" w:name="_Toc15768"/>
      <w:r>
        <w:rPr>
          <w:rFonts w:hint="eastAsia" w:ascii="Times New Roman" w:hAnsi="Times New Roman" w:cs="Times New Roman"/>
          <w:bCs/>
          <w:color w:val="auto"/>
          <w:sz w:val="24"/>
          <w:szCs w:val="24"/>
        </w:rPr>
        <w:t>省级以上监狱管理局、戒毒管理局（含新疆生产建设兵团）出具的属于监狱企业的证明文件</w:t>
      </w:r>
      <w:bookmarkEnd w:id="112"/>
    </w:p>
    <w:p>
      <w:pPr>
        <w:pStyle w:val="29"/>
        <w:rPr>
          <w:rFonts w:hint="eastAsia"/>
          <w:lang w:eastAsia="zh-CN"/>
        </w:rPr>
      </w:pPr>
    </w:p>
    <w:p>
      <w:pPr>
        <w:pStyle w:val="29"/>
        <w:rPr>
          <w:rFonts w:hint="eastAsia"/>
          <w:lang w:eastAsia="zh-CN"/>
        </w:rPr>
      </w:pPr>
    </w:p>
    <w:p>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ind w:right="0" w:rightChars="0"/>
        <w:jc w:val="both"/>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附件</w:t>
      </w:r>
      <w:r>
        <w:rPr>
          <w:rFonts w:hint="eastAsia" w:ascii="Times New Roman" w:hAnsi="Times New Roman" w:cs="Times New Roman"/>
          <w:color w:val="auto"/>
          <w:sz w:val="24"/>
          <w:szCs w:val="24"/>
          <w:lang w:val="en-US" w:eastAsia="zh-CN"/>
        </w:rPr>
        <w:t xml:space="preserve">16                  </w:t>
      </w:r>
      <w:r>
        <w:rPr>
          <w:rFonts w:hint="eastAsia" w:ascii="Times New Roman" w:hAnsi="Times New Roman" w:cs="Times New Roman"/>
          <w:bCs/>
          <w:color w:val="auto"/>
          <w:sz w:val="24"/>
          <w:szCs w:val="24"/>
        </w:rPr>
        <w:t>其他资格证明文件及资料</w:t>
      </w:r>
    </w:p>
    <w:p>
      <w:pPr>
        <w:rPr>
          <w:color w:val="auto"/>
          <w:sz w:val="24"/>
          <w:szCs w:val="24"/>
        </w:rPr>
      </w:pPr>
    </w:p>
    <w:p>
      <w:pPr>
        <w:rPr>
          <w:color w:val="auto"/>
        </w:rPr>
      </w:pPr>
    </w:p>
    <w:p>
      <w:pPr>
        <w:rPr>
          <w:color w:val="auto"/>
        </w:rPr>
      </w:pPr>
    </w:p>
    <w:sectPr>
      <w:headerReference r:id="rId5" w:type="default"/>
      <w:footerReference r:id="rId6"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color w:val="808080" w:themeColor="text1" w:themeTint="80"/>
                              <w:sz w:val="18"/>
                              <w:szCs w:val="18"/>
                              <w:lang w:val="en-US" w:eastAsia="zh-CN"/>
                              <w14:textFill>
                                <w14:solidFill>
                                  <w14:schemeClr w14:val="tx1">
                                    <w14:lumMod w14:val="50000"/>
                                    <w14:lumOff w14:val="50000"/>
                                  </w14:schemeClr>
                                </w14:solidFill>
                              </w14:textFill>
                            </w:rPr>
                          </w:pPr>
                          <w:r>
                            <w:rPr>
                              <w:rFonts w:hint="eastAsia" w:asciiTheme="minorEastAsia" w:hAnsiTheme="minorEastAsia" w:eastAsiaTheme="minorEastAsia" w:cstheme="minorEastAsia"/>
                              <w:color w:val="808080" w:themeColor="text1" w:themeTint="80"/>
                              <w:sz w:val="18"/>
                              <w:szCs w:val="18"/>
                              <w:lang w:val="en-US" w:eastAsia="zh-CN"/>
                              <w14:textFill>
                                <w14:solidFill>
                                  <w14:schemeClr w14:val="tx1">
                                    <w14:lumMod w14:val="50000"/>
                                    <w14:lumOff w14:val="50000"/>
                                  </w14:schemeClr>
                                </w14:solidFill>
                              </w14:textFill>
                            </w:rPr>
                            <w:t>随县政府采购中心编制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3pt;margin-top:771.05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Theme="minorEastAsia" w:hAnsiTheme="minorEastAsia" w:eastAsiaTheme="minorEastAsia" w:cstheme="minorEastAsia"/>
                        <w:color w:val="808080" w:themeColor="text1" w:themeTint="80"/>
                        <w:sz w:val="18"/>
                        <w:szCs w:val="18"/>
                        <w:lang w:val="en-US" w:eastAsia="zh-CN"/>
                        <w14:textFill>
                          <w14:solidFill>
                            <w14:schemeClr w14:val="tx1">
                              <w14:lumMod w14:val="50000"/>
                              <w14:lumOff w14:val="50000"/>
                            </w14:schemeClr>
                          </w14:solidFill>
                        </w14:textFill>
                      </w:rPr>
                    </w:pPr>
                    <w:r>
                      <w:rPr>
                        <w:rFonts w:hint="eastAsia" w:asciiTheme="minorEastAsia" w:hAnsiTheme="minorEastAsia" w:eastAsiaTheme="minorEastAsia" w:cstheme="minorEastAsia"/>
                        <w:color w:val="808080" w:themeColor="text1" w:themeTint="80"/>
                        <w:sz w:val="18"/>
                        <w:szCs w:val="18"/>
                        <w:lang w:val="en-US" w:eastAsia="zh-CN"/>
                        <w14:textFill>
                          <w14:solidFill>
                            <w14:schemeClr w14:val="tx1">
                              <w14:lumMod w14:val="50000"/>
                              <w14:lumOff w14:val="50000"/>
                            </w14:schemeClr>
                          </w14:solidFill>
                        </w14:textFill>
                      </w:rPr>
                      <w:t>随县政府采购中心编制</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1" name="直接连接符 1"/>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69.3pt;margin-top:771.05pt;height:0pt;width:418.35pt;mso-position-horizontal-relative:page;mso-position-vertical-relative:page;z-index:251659264;mso-width-relative:margin;mso-height-relative:page;mso-width-percent:1000;" filled="f" stroked="t" coordsize="21600,21600" o:gfxdata="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PkQzDPAAAAAgEAAA8A&#10;AAAAAAAAAQAgAAAAIgAAAGRycy9kb3ducmV2LnhtbFBLAQIUABQAAAAIAIdO4kC6Kka+5wEAAKcD&#10;AAAOAAAAAAAAAAEAIAAAAB4BAABkcnMvZTJvRG9jLnhtbFBLBQYAAAAABgAGAFkBAAB3BQAAAAA=&#10;">
              <v:fill on="f" focussize="0,0"/>
              <v:stroke weight="1pt" color="#000000 [3213]"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9"/>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hint="eastAsia"/>
        <w:u w:val="single"/>
        <w:lang w:eastAsia="zh-CN"/>
      </w:rPr>
    </w:pPr>
    <w:r>
      <w:rPr>
        <w:rFonts w:hint="eastAsia"/>
        <w:lang w:val="en-US" w:eastAsia="zh-CN"/>
      </w:rPr>
      <w:t xml:space="preserve"> </w:t>
    </w:r>
    <w:r>
      <w:rPr>
        <w:rFonts w:hint="eastAsia"/>
        <w:u w:val="single"/>
        <w:lang w:val="en-US" w:eastAsia="zh-CN"/>
      </w:rPr>
      <w:t xml:space="preserve">                                                                                </w:t>
    </w:r>
    <w:r>
      <w:rPr>
        <w:rFonts w:hint="eastAsia"/>
        <w:u w:val="single"/>
        <w:lang w:eastAsia="zh-CN"/>
      </w:rPr>
      <w:t>随县县级政府采购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C5C293A3"/>
    <w:multiLevelType w:val="singleLevel"/>
    <w:tmpl w:val="C5C293A3"/>
    <w:lvl w:ilvl="0" w:tentative="0">
      <w:start w:val="1"/>
      <w:numFmt w:val="decimal"/>
      <w:suff w:val="nothing"/>
      <w:lvlText w:val="（%1）"/>
      <w:lvlJc w:val="left"/>
    </w:lvl>
  </w:abstractNum>
  <w:abstractNum w:abstractNumId="2">
    <w:nsid w:val="CBBC35B0"/>
    <w:multiLevelType w:val="singleLevel"/>
    <w:tmpl w:val="CBBC35B0"/>
    <w:lvl w:ilvl="0" w:tentative="0">
      <w:start w:val="4"/>
      <w:numFmt w:val="decimal"/>
      <w:suff w:val="space"/>
      <w:lvlText w:val="%1、"/>
      <w:lvlJc w:val="left"/>
    </w:lvl>
  </w:abstractNum>
  <w:abstractNum w:abstractNumId="3">
    <w:nsid w:val="D40E07F9"/>
    <w:multiLevelType w:val="singleLevel"/>
    <w:tmpl w:val="D40E07F9"/>
    <w:lvl w:ilvl="0" w:tentative="0">
      <w:start w:val="7"/>
      <w:numFmt w:val="chineseCounting"/>
      <w:suff w:val="nothing"/>
      <w:lvlText w:val="%1、"/>
      <w:lvlJc w:val="left"/>
      <w:rPr>
        <w:rFonts w:hint="eastAsia"/>
      </w:rPr>
    </w:lvl>
  </w:abstractNum>
  <w:abstractNum w:abstractNumId="4">
    <w:nsid w:val="DA8447DE"/>
    <w:multiLevelType w:val="singleLevel"/>
    <w:tmpl w:val="DA8447DE"/>
    <w:lvl w:ilvl="0" w:tentative="0">
      <w:start w:val="1"/>
      <w:numFmt w:val="chineseCounting"/>
      <w:suff w:val="nothing"/>
      <w:lvlText w:val="%1、"/>
      <w:lvlJc w:val="left"/>
      <w:rPr>
        <w:rFonts w:hint="eastAsia"/>
      </w:rPr>
    </w:lvl>
  </w:abstractNum>
  <w:abstractNum w:abstractNumId="5">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6">
    <w:nsid w:val="00000059"/>
    <w:multiLevelType w:val="multilevel"/>
    <w:tmpl w:val="00000059"/>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8"/>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3C123903"/>
    <w:multiLevelType w:val="multilevel"/>
    <w:tmpl w:val="3C123903"/>
    <w:lvl w:ilvl="0" w:tentative="0">
      <w:start w:val="1"/>
      <w:numFmt w:val="decimal"/>
      <w:suff w:val="nothing"/>
      <w:lvlText w:val="%1."/>
      <w:lvlJc w:val="left"/>
      <w:pPr>
        <w:ind w:left="420" w:hanging="420"/>
      </w:pPr>
      <w:rPr>
        <w:rFonts w:hint="default" w:ascii="仿宋" w:hAnsi="仿宋" w:eastAsia="仿宋" w:cs="仿宋"/>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2">
    <w:nsid w:val="57DE54B8"/>
    <w:multiLevelType w:val="singleLevel"/>
    <w:tmpl w:val="57DE54B8"/>
    <w:lvl w:ilvl="0" w:tentative="0">
      <w:start w:val="1"/>
      <w:numFmt w:val="decimal"/>
      <w:suff w:val="nothing"/>
      <w:lvlText w:val="%1、"/>
      <w:lvlJc w:val="left"/>
    </w:lvl>
  </w:abstractNum>
  <w:abstractNum w:abstractNumId="13">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E54280B"/>
    <w:multiLevelType w:val="singleLevel"/>
    <w:tmpl w:val="7E54280B"/>
    <w:lvl w:ilvl="0" w:tentative="0">
      <w:start w:val="2"/>
      <w:numFmt w:val="decimal"/>
      <w:suff w:val="nothing"/>
      <w:lvlText w:val="%1、"/>
      <w:lvlJc w:val="left"/>
    </w:lvl>
  </w:abstractNum>
  <w:num w:numId="1">
    <w:abstractNumId w:val="11"/>
  </w:num>
  <w:num w:numId="2">
    <w:abstractNumId w:val="8"/>
  </w:num>
  <w:num w:numId="3">
    <w:abstractNumId w:val="9"/>
  </w:num>
  <w:num w:numId="4">
    <w:abstractNumId w:val="3"/>
  </w:num>
  <w:num w:numId="5">
    <w:abstractNumId w:val="2"/>
  </w:num>
  <w:num w:numId="6">
    <w:abstractNumId w:val="13"/>
  </w:num>
  <w:num w:numId="7">
    <w:abstractNumId w:val="1"/>
  </w:num>
  <w:num w:numId="8">
    <w:abstractNumId w:val="5"/>
  </w:num>
  <w:num w:numId="9">
    <w:abstractNumId w:val="4"/>
  </w:num>
  <w:num w:numId="10">
    <w:abstractNumId w:val="7"/>
  </w:num>
  <w:num w:numId="11">
    <w:abstractNumId w:val="0"/>
  </w:num>
  <w:num w:numId="12">
    <w:abstractNumId w:val="12"/>
  </w:num>
  <w:num w:numId="13">
    <w:abstractNumId w:val="1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9640B3"/>
    <w:rsid w:val="00002D19"/>
    <w:rsid w:val="00006938"/>
    <w:rsid w:val="00007EF9"/>
    <w:rsid w:val="0002117A"/>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30D0F"/>
    <w:rsid w:val="0088497C"/>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656B"/>
    <w:rsid w:val="00BC1FE7"/>
    <w:rsid w:val="00C7308F"/>
    <w:rsid w:val="00C767D5"/>
    <w:rsid w:val="00C95C1C"/>
    <w:rsid w:val="00CD65F2"/>
    <w:rsid w:val="00CD7ECE"/>
    <w:rsid w:val="00D240EF"/>
    <w:rsid w:val="00D678AE"/>
    <w:rsid w:val="00DA4B47"/>
    <w:rsid w:val="00DC3AFD"/>
    <w:rsid w:val="00DF553F"/>
    <w:rsid w:val="00E92D4B"/>
    <w:rsid w:val="00EB7035"/>
    <w:rsid w:val="00EE2653"/>
    <w:rsid w:val="00EF4BD0"/>
    <w:rsid w:val="00EF7446"/>
    <w:rsid w:val="00F27D19"/>
    <w:rsid w:val="00FD1DF5"/>
    <w:rsid w:val="00FF47AE"/>
    <w:rsid w:val="00FF65CD"/>
    <w:rsid w:val="0135138A"/>
    <w:rsid w:val="01430E5C"/>
    <w:rsid w:val="01605D29"/>
    <w:rsid w:val="018330AD"/>
    <w:rsid w:val="01BB614C"/>
    <w:rsid w:val="01E8526A"/>
    <w:rsid w:val="02000B1F"/>
    <w:rsid w:val="02101428"/>
    <w:rsid w:val="023221B6"/>
    <w:rsid w:val="023817D2"/>
    <w:rsid w:val="02395177"/>
    <w:rsid w:val="023C209A"/>
    <w:rsid w:val="02432067"/>
    <w:rsid w:val="02491FE5"/>
    <w:rsid w:val="024E5007"/>
    <w:rsid w:val="02736BB0"/>
    <w:rsid w:val="028D5720"/>
    <w:rsid w:val="02A6660D"/>
    <w:rsid w:val="02BF3353"/>
    <w:rsid w:val="02E132C9"/>
    <w:rsid w:val="02E139D5"/>
    <w:rsid w:val="02F4335E"/>
    <w:rsid w:val="03451AAA"/>
    <w:rsid w:val="03595C54"/>
    <w:rsid w:val="035961B6"/>
    <w:rsid w:val="03644D55"/>
    <w:rsid w:val="03697B0E"/>
    <w:rsid w:val="036A37B8"/>
    <w:rsid w:val="036D700C"/>
    <w:rsid w:val="037E4FBC"/>
    <w:rsid w:val="03A77468"/>
    <w:rsid w:val="03BC7892"/>
    <w:rsid w:val="03C20A9D"/>
    <w:rsid w:val="03CC3F79"/>
    <w:rsid w:val="03D64AAD"/>
    <w:rsid w:val="03ED6979"/>
    <w:rsid w:val="03FE7EAB"/>
    <w:rsid w:val="042F7047"/>
    <w:rsid w:val="0434199F"/>
    <w:rsid w:val="043D1622"/>
    <w:rsid w:val="043E3628"/>
    <w:rsid w:val="04441D61"/>
    <w:rsid w:val="04484106"/>
    <w:rsid w:val="04691461"/>
    <w:rsid w:val="046928C3"/>
    <w:rsid w:val="04703638"/>
    <w:rsid w:val="04932CE9"/>
    <w:rsid w:val="049E5539"/>
    <w:rsid w:val="04A722F0"/>
    <w:rsid w:val="04D035F5"/>
    <w:rsid w:val="04F6588B"/>
    <w:rsid w:val="053864EC"/>
    <w:rsid w:val="05725496"/>
    <w:rsid w:val="05757AA3"/>
    <w:rsid w:val="058F650A"/>
    <w:rsid w:val="05BF16A5"/>
    <w:rsid w:val="05C07B0D"/>
    <w:rsid w:val="05D4645E"/>
    <w:rsid w:val="06036992"/>
    <w:rsid w:val="060914B4"/>
    <w:rsid w:val="060F6259"/>
    <w:rsid w:val="061A2672"/>
    <w:rsid w:val="062E158F"/>
    <w:rsid w:val="0653526C"/>
    <w:rsid w:val="06B64A6C"/>
    <w:rsid w:val="070F21DB"/>
    <w:rsid w:val="0716104E"/>
    <w:rsid w:val="071E7B37"/>
    <w:rsid w:val="076A29AB"/>
    <w:rsid w:val="076B2DCE"/>
    <w:rsid w:val="076C036C"/>
    <w:rsid w:val="077855B9"/>
    <w:rsid w:val="07CD77C3"/>
    <w:rsid w:val="07D11074"/>
    <w:rsid w:val="07F910B5"/>
    <w:rsid w:val="0815085B"/>
    <w:rsid w:val="08316113"/>
    <w:rsid w:val="083B2C3D"/>
    <w:rsid w:val="084F56FF"/>
    <w:rsid w:val="08555F5A"/>
    <w:rsid w:val="085E716A"/>
    <w:rsid w:val="08774FC2"/>
    <w:rsid w:val="089808CE"/>
    <w:rsid w:val="08B41029"/>
    <w:rsid w:val="08B84966"/>
    <w:rsid w:val="08C5351E"/>
    <w:rsid w:val="08D86F1C"/>
    <w:rsid w:val="08E65ADD"/>
    <w:rsid w:val="08EA090B"/>
    <w:rsid w:val="08F73EBE"/>
    <w:rsid w:val="09041F95"/>
    <w:rsid w:val="091C0FD9"/>
    <w:rsid w:val="09315048"/>
    <w:rsid w:val="09324BC4"/>
    <w:rsid w:val="093D33C9"/>
    <w:rsid w:val="095B60E4"/>
    <w:rsid w:val="0960462C"/>
    <w:rsid w:val="09694018"/>
    <w:rsid w:val="098334BD"/>
    <w:rsid w:val="099248CD"/>
    <w:rsid w:val="09A0764F"/>
    <w:rsid w:val="09A57586"/>
    <w:rsid w:val="09B85CD7"/>
    <w:rsid w:val="09D23506"/>
    <w:rsid w:val="09E63157"/>
    <w:rsid w:val="09F4422A"/>
    <w:rsid w:val="0A430D0D"/>
    <w:rsid w:val="0A696B93"/>
    <w:rsid w:val="0A9D2FE2"/>
    <w:rsid w:val="0A9F1F5E"/>
    <w:rsid w:val="0AB66287"/>
    <w:rsid w:val="0ABB6AF5"/>
    <w:rsid w:val="0ACA3C4C"/>
    <w:rsid w:val="0AEB67F9"/>
    <w:rsid w:val="0AF33DF9"/>
    <w:rsid w:val="0B1F6B95"/>
    <w:rsid w:val="0B352368"/>
    <w:rsid w:val="0B412C61"/>
    <w:rsid w:val="0B46799B"/>
    <w:rsid w:val="0B752C93"/>
    <w:rsid w:val="0B787395"/>
    <w:rsid w:val="0B823F50"/>
    <w:rsid w:val="0BA63302"/>
    <w:rsid w:val="0BBD6225"/>
    <w:rsid w:val="0BC114DF"/>
    <w:rsid w:val="0BFB07D3"/>
    <w:rsid w:val="0C1D18AA"/>
    <w:rsid w:val="0C25691C"/>
    <w:rsid w:val="0C4C0933"/>
    <w:rsid w:val="0C5E2022"/>
    <w:rsid w:val="0C670CE3"/>
    <w:rsid w:val="0C7A2AF4"/>
    <w:rsid w:val="0C7B29E0"/>
    <w:rsid w:val="0C86214C"/>
    <w:rsid w:val="0C9D23BE"/>
    <w:rsid w:val="0D004C93"/>
    <w:rsid w:val="0D163BC6"/>
    <w:rsid w:val="0D6B569C"/>
    <w:rsid w:val="0D935461"/>
    <w:rsid w:val="0DBC24DA"/>
    <w:rsid w:val="0DD76FED"/>
    <w:rsid w:val="0DE53D8F"/>
    <w:rsid w:val="0DEB51E0"/>
    <w:rsid w:val="0DF2383E"/>
    <w:rsid w:val="0DF857C7"/>
    <w:rsid w:val="0E084F77"/>
    <w:rsid w:val="0E2B5527"/>
    <w:rsid w:val="0E4130EA"/>
    <w:rsid w:val="0E59397E"/>
    <w:rsid w:val="0E5F4312"/>
    <w:rsid w:val="0E6446C4"/>
    <w:rsid w:val="0E6E7902"/>
    <w:rsid w:val="0E9D6C3E"/>
    <w:rsid w:val="0EA43A70"/>
    <w:rsid w:val="0EE02FCE"/>
    <w:rsid w:val="0EE7423B"/>
    <w:rsid w:val="0F29227F"/>
    <w:rsid w:val="0F687ABB"/>
    <w:rsid w:val="0FCE2E27"/>
    <w:rsid w:val="100D6038"/>
    <w:rsid w:val="10262C63"/>
    <w:rsid w:val="102B6385"/>
    <w:rsid w:val="102D5D9F"/>
    <w:rsid w:val="10321608"/>
    <w:rsid w:val="10931917"/>
    <w:rsid w:val="10AF77E1"/>
    <w:rsid w:val="10CB4356"/>
    <w:rsid w:val="10E20CEC"/>
    <w:rsid w:val="10F44B0F"/>
    <w:rsid w:val="113B4BC4"/>
    <w:rsid w:val="11566C8C"/>
    <w:rsid w:val="119836EC"/>
    <w:rsid w:val="119A0012"/>
    <w:rsid w:val="11A77DD3"/>
    <w:rsid w:val="11C572CA"/>
    <w:rsid w:val="11D113C2"/>
    <w:rsid w:val="12026E01"/>
    <w:rsid w:val="12051714"/>
    <w:rsid w:val="12333415"/>
    <w:rsid w:val="123C7C16"/>
    <w:rsid w:val="12704DB3"/>
    <w:rsid w:val="12794E06"/>
    <w:rsid w:val="12A3059B"/>
    <w:rsid w:val="12A32349"/>
    <w:rsid w:val="12AF2BFA"/>
    <w:rsid w:val="12C64289"/>
    <w:rsid w:val="12D22C2E"/>
    <w:rsid w:val="12D74756"/>
    <w:rsid w:val="12DC585B"/>
    <w:rsid w:val="12E46094"/>
    <w:rsid w:val="12EB23CA"/>
    <w:rsid w:val="130C4392"/>
    <w:rsid w:val="130C4532"/>
    <w:rsid w:val="131A07DA"/>
    <w:rsid w:val="134D74D4"/>
    <w:rsid w:val="1356388C"/>
    <w:rsid w:val="135B74B8"/>
    <w:rsid w:val="135E3B2E"/>
    <w:rsid w:val="13645F7C"/>
    <w:rsid w:val="136A43C7"/>
    <w:rsid w:val="137B3E80"/>
    <w:rsid w:val="13DF3855"/>
    <w:rsid w:val="140C1889"/>
    <w:rsid w:val="140F36CB"/>
    <w:rsid w:val="141917F8"/>
    <w:rsid w:val="142422AF"/>
    <w:rsid w:val="147C3C8C"/>
    <w:rsid w:val="14A66120"/>
    <w:rsid w:val="14FB20E7"/>
    <w:rsid w:val="150427B3"/>
    <w:rsid w:val="15107A3E"/>
    <w:rsid w:val="1541506E"/>
    <w:rsid w:val="15712BD2"/>
    <w:rsid w:val="159248FD"/>
    <w:rsid w:val="159F02AC"/>
    <w:rsid w:val="15A9411A"/>
    <w:rsid w:val="15D40158"/>
    <w:rsid w:val="15E86C3B"/>
    <w:rsid w:val="15F00805"/>
    <w:rsid w:val="16041175"/>
    <w:rsid w:val="16112C30"/>
    <w:rsid w:val="1623156A"/>
    <w:rsid w:val="164B5385"/>
    <w:rsid w:val="165C044D"/>
    <w:rsid w:val="167665C6"/>
    <w:rsid w:val="16810BF3"/>
    <w:rsid w:val="16CC017F"/>
    <w:rsid w:val="16E97C3C"/>
    <w:rsid w:val="16EA6177"/>
    <w:rsid w:val="171730AB"/>
    <w:rsid w:val="172A2C1F"/>
    <w:rsid w:val="174006E6"/>
    <w:rsid w:val="177B1AE6"/>
    <w:rsid w:val="17866D45"/>
    <w:rsid w:val="17B32E54"/>
    <w:rsid w:val="17C567B6"/>
    <w:rsid w:val="17DD43C5"/>
    <w:rsid w:val="17E42573"/>
    <w:rsid w:val="17E663C6"/>
    <w:rsid w:val="183345EB"/>
    <w:rsid w:val="183F12A7"/>
    <w:rsid w:val="18455C50"/>
    <w:rsid w:val="18531E50"/>
    <w:rsid w:val="18541E1E"/>
    <w:rsid w:val="185A5BA0"/>
    <w:rsid w:val="187E5752"/>
    <w:rsid w:val="188620D2"/>
    <w:rsid w:val="18C174DB"/>
    <w:rsid w:val="18C249F0"/>
    <w:rsid w:val="18D214EE"/>
    <w:rsid w:val="18D30E8D"/>
    <w:rsid w:val="191707C1"/>
    <w:rsid w:val="191B18F5"/>
    <w:rsid w:val="19223474"/>
    <w:rsid w:val="194B373A"/>
    <w:rsid w:val="196A7C74"/>
    <w:rsid w:val="198266B8"/>
    <w:rsid w:val="19946A53"/>
    <w:rsid w:val="199C1137"/>
    <w:rsid w:val="19A846E9"/>
    <w:rsid w:val="19B00734"/>
    <w:rsid w:val="19B77438"/>
    <w:rsid w:val="19B968F6"/>
    <w:rsid w:val="19E1107D"/>
    <w:rsid w:val="19EC6A88"/>
    <w:rsid w:val="19F31A57"/>
    <w:rsid w:val="1A0F4768"/>
    <w:rsid w:val="1A1E24A2"/>
    <w:rsid w:val="1A3C68B4"/>
    <w:rsid w:val="1A424778"/>
    <w:rsid w:val="1A492BF8"/>
    <w:rsid w:val="1A4E34E2"/>
    <w:rsid w:val="1A534FE3"/>
    <w:rsid w:val="1A756552"/>
    <w:rsid w:val="1AAB3704"/>
    <w:rsid w:val="1ACD6B6C"/>
    <w:rsid w:val="1AE9320B"/>
    <w:rsid w:val="1B593EEC"/>
    <w:rsid w:val="1B5F527B"/>
    <w:rsid w:val="1B701236"/>
    <w:rsid w:val="1B7747E1"/>
    <w:rsid w:val="1BA30B26"/>
    <w:rsid w:val="1BE42BC4"/>
    <w:rsid w:val="1C0735C5"/>
    <w:rsid w:val="1C085913"/>
    <w:rsid w:val="1C170D74"/>
    <w:rsid w:val="1C3425B4"/>
    <w:rsid w:val="1C4650FC"/>
    <w:rsid w:val="1C6C3216"/>
    <w:rsid w:val="1C8B27CB"/>
    <w:rsid w:val="1C935AE2"/>
    <w:rsid w:val="1CA3397A"/>
    <w:rsid w:val="1CAE3253"/>
    <w:rsid w:val="1CAE6F40"/>
    <w:rsid w:val="1CB339A6"/>
    <w:rsid w:val="1CB403CA"/>
    <w:rsid w:val="1CBF0ABE"/>
    <w:rsid w:val="1CE57F1E"/>
    <w:rsid w:val="1CEE350A"/>
    <w:rsid w:val="1D273327"/>
    <w:rsid w:val="1D4946BC"/>
    <w:rsid w:val="1D5030CD"/>
    <w:rsid w:val="1D567639"/>
    <w:rsid w:val="1D764B31"/>
    <w:rsid w:val="1D8F1A5E"/>
    <w:rsid w:val="1D9A07EC"/>
    <w:rsid w:val="1DAD49C3"/>
    <w:rsid w:val="1DC32E09"/>
    <w:rsid w:val="1DEE3330"/>
    <w:rsid w:val="1DFC05C7"/>
    <w:rsid w:val="1E2C2CAA"/>
    <w:rsid w:val="1E3302F5"/>
    <w:rsid w:val="1E38656C"/>
    <w:rsid w:val="1E4179CF"/>
    <w:rsid w:val="1E426EBA"/>
    <w:rsid w:val="1E577D0A"/>
    <w:rsid w:val="1E68061C"/>
    <w:rsid w:val="1E76001E"/>
    <w:rsid w:val="1E7A7539"/>
    <w:rsid w:val="1E886F79"/>
    <w:rsid w:val="1E8A7CBA"/>
    <w:rsid w:val="1EA45E3E"/>
    <w:rsid w:val="1EB660B9"/>
    <w:rsid w:val="1EDA29DE"/>
    <w:rsid w:val="1F1338DC"/>
    <w:rsid w:val="1F470500"/>
    <w:rsid w:val="1F4D16E9"/>
    <w:rsid w:val="1F4E065F"/>
    <w:rsid w:val="1F5275D0"/>
    <w:rsid w:val="1F59095F"/>
    <w:rsid w:val="1F7667D5"/>
    <w:rsid w:val="1F9078D7"/>
    <w:rsid w:val="1F95570F"/>
    <w:rsid w:val="1F990FFA"/>
    <w:rsid w:val="20230F6D"/>
    <w:rsid w:val="20410142"/>
    <w:rsid w:val="20BD525B"/>
    <w:rsid w:val="20D94C8E"/>
    <w:rsid w:val="20EC48AF"/>
    <w:rsid w:val="20FC3C98"/>
    <w:rsid w:val="212B632B"/>
    <w:rsid w:val="212D2EAE"/>
    <w:rsid w:val="21633C8B"/>
    <w:rsid w:val="2169631B"/>
    <w:rsid w:val="21AF20A4"/>
    <w:rsid w:val="21BD0297"/>
    <w:rsid w:val="21C94B35"/>
    <w:rsid w:val="21D06ED2"/>
    <w:rsid w:val="21E76A79"/>
    <w:rsid w:val="21F24981"/>
    <w:rsid w:val="222D5EBE"/>
    <w:rsid w:val="225C3FC7"/>
    <w:rsid w:val="22836C12"/>
    <w:rsid w:val="228569AB"/>
    <w:rsid w:val="228D26CE"/>
    <w:rsid w:val="22945315"/>
    <w:rsid w:val="22963F54"/>
    <w:rsid w:val="229C12E2"/>
    <w:rsid w:val="229F06DD"/>
    <w:rsid w:val="22CD0355"/>
    <w:rsid w:val="22D85D40"/>
    <w:rsid w:val="22EA62C1"/>
    <w:rsid w:val="23027641"/>
    <w:rsid w:val="230C4AB2"/>
    <w:rsid w:val="23150761"/>
    <w:rsid w:val="232C09A6"/>
    <w:rsid w:val="2390167A"/>
    <w:rsid w:val="239E204B"/>
    <w:rsid w:val="23EB3B50"/>
    <w:rsid w:val="245E4322"/>
    <w:rsid w:val="248A7123"/>
    <w:rsid w:val="24E64B69"/>
    <w:rsid w:val="24FC1D1C"/>
    <w:rsid w:val="250A069B"/>
    <w:rsid w:val="250D7B86"/>
    <w:rsid w:val="25632E71"/>
    <w:rsid w:val="257E2E5B"/>
    <w:rsid w:val="25D02FFD"/>
    <w:rsid w:val="25E47B7D"/>
    <w:rsid w:val="26021802"/>
    <w:rsid w:val="262325D7"/>
    <w:rsid w:val="263A4999"/>
    <w:rsid w:val="26425255"/>
    <w:rsid w:val="26797EDA"/>
    <w:rsid w:val="26B2554F"/>
    <w:rsid w:val="26DB7EAB"/>
    <w:rsid w:val="270A70EA"/>
    <w:rsid w:val="270D4AD8"/>
    <w:rsid w:val="272A0FBB"/>
    <w:rsid w:val="27476DD9"/>
    <w:rsid w:val="279664FC"/>
    <w:rsid w:val="27C94F39"/>
    <w:rsid w:val="27CE1102"/>
    <w:rsid w:val="27CE42CA"/>
    <w:rsid w:val="27D36DD5"/>
    <w:rsid w:val="27E2755C"/>
    <w:rsid w:val="27E56B08"/>
    <w:rsid w:val="27E97193"/>
    <w:rsid w:val="27EC34A4"/>
    <w:rsid w:val="28171939"/>
    <w:rsid w:val="285B795B"/>
    <w:rsid w:val="28687E65"/>
    <w:rsid w:val="28782890"/>
    <w:rsid w:val="287B307B"/>
    <w:rsid w:val="28860263"/>
    <w:rsid w:val="28A349F9"/>
    <w:rsid w:val="28B22F7D"/>
    <w:rsid w:val="28C42EEB"/>
    <w:rsid w:val="28D83258"/>
    <w:rsid w:val="28FB2A3F"/>
    <w:rsid w:val="29170468"/>
    <w:rsid w:val="29212E8D"/>
    <w:rsid w:val="296042FF"/>
    <w:rsid w:val="296E07D8"/>
    <w:rsid w:val="296F69EA"/>
    <w:rsid w:val="297E0DAB"/>
    <w:rsid w:val="2993139B"/>
    <w:rsid w:val="299376BB"/>
    <w:rsid w:val="299B5F04"/>
    <w:rsid w:val="29A155D7"/>
    <w:rsid w:val="29BF51B1"/>
    <w:rsid w:val="29DA78A5"/>
    <w:rsid w:val="29F924A3"/>
    <w:rsid w:val="2A151926"/>
    <w:rsid w:val="2A2E2D26"/>
    <w:rsid w:val="2A2E35A5"/>
    <w:rsid w:val="2A507C7F"/>
    <w:rsid w:val="2A5138A5"/>
    <w:rsid w:val="2AA34D9A"/>
    <w:rsid w:val="2AB26AF0"/>
    <w:rsid w:val="2AC84ACB"/>
    <w:rsid w:val="2ACB66B1"/>
    <w:rsid w:val="2ADB491E"/>
    <w:rsid w:val="2B144892"/>
    <w:rsid w:val="2B4E756B"/>
    <w:rsid w:val="2B711930"/>
    <w:rsid w:val="2B8054C5"/>
    <w:rsid w:val="2B8F3953"/>
    <w:rsid w:val="2B986D03"/>
    <w:rsid w:val="2BA60E1F"/>
    <w:rsid w:val="2BBC67D4"/>
    <w:rsid w:val="2BCB25F8"/>
    <w:rsid w:val="2BDB3D96"/>
    <w:rsid w:val="2BFA3B3E"/>
    <w:rsid w:val="2C1969DA"/>
    <w:rsid w:val="2C3607CC"/>
    <w:rsid w:val="2C4C53A8"/>
    <w:rsid w:val="2C6765D4"/>
    <w:rsid w:val="2C714E0E"/>
    <w:rsid w:val="2CAE501D"/>
    <w:rsid w:val="2CF306DD"/>
    <w:rsid w:val="2CFC255E"/>
    <w:rsid w:val="2CFE48F4"/>
    <w:rsid w:val="2D151532"/>
    <w:rsid w:val="2D2865B7"/>
    <w:rsid w:val="2D4D6FE7"/>
    <w:rsid w:val="2D4F5238"/>
    <w:rsid w:val="2D7F2DB0"/>
    <w:rsid w:val="2DB4527D"/>
    <w:rsid w:val="2DB80421"/>
    <w:rsid w:val="2DD85145"/>
    <w:rsid w:val="2DDD304C"/>
    <w:rsid w:val="2DE05D4B"/>
    <w:rsid w:val="2E0D1686"/>
    <w:rsid w:val="2E1B67F8"/>
    <w:rsid w:val="2E295E1B"/>
    <w:rsid w:val="2E326796"/>
    <w:rsid w:val="2E474078"/>
    <w:rsid w:val="2E507989"/>
    <w:rsid w:val="2E6E3CFB"/>
    <w:rsid w:val="2E840E29"/>
    <w:rsid w:val="2E8433D9"/>
    <w:rsid w:val="2E873CF0"/>
    <w:rsid w:val="2EA14EC7"/>
    <w:rsid w:val="2EAA4079"/>
    <w:rsid w:val="2EE01394"/>
    <w:rsid w:val="2EE77241"/>
    <w:rsid w:val="2EEE335E"/>
    <w:rsid w:val="2F0D0E1E"/>
    <w:rsid w:val="2F282022"/>
    <w:rsid w:val="2F445408"/>
    <w:rsid w:val="2F4B4049"/>
    <w:rsid w:val="2F6D4FB7"/>
    <w:rsid w:val="2F6F5865"/>
    <w:rsid w:val="2FAA5B44"/>
    <w:rsid w:val="2FC70C25"/>
    <w:rsid w:val="300F6E18"/>
    <w:rsid w:val="30262C13"/>
    <w:rsid w:val="302E54F0"/>
    <w:rsid w:val="30443639"/>
    <w:rsid w:val="30497609"/>
    <w:rsid w:val="304E7CB0"/>
    <w:rsid w:val="30501FCB"/>
    <w:rsid w:val="305331F2"/>
    <w:rsid w:val="30595A18"/>
    <w:rsid w:val="305F38FB"/>
    <w:rsid w:val="30607673"/>
    <w:rsid w:val="30765F3C"/>
    <w:rsid w:val="30935804"/>
    <w:rsid w:val="30A9369A"/>
    <w:rsid w:val="30AB389E"/>
    <w:rsid w:val="30B57438"/>
    <w:rsid w:val="30B87E1B"/>
    <w:rsid w:val="30BA79B5"/>
    <w:rsid w:val="30E0493C"/>
    <w:rsid w:val="30ED21AD"/>
    <w:rsid w:val="30F37206"/>
    <w:rsid w:val="31081195"/>
    <w:rsid w:val="310C3B5A"/>
    <w:rsid w:val="31147D8B"/>
    <w:rsid w:val="31310683"/>
    <w:rsid w:val="316565AF"/>
    <w:rsid w:val="31707702"/>
    <w:rsid w:val="318E0967"/>
    <w:rsid w:val="31A05036"/>
    <w:rsid w:val="31A16155"/>
    <w:rsid w:val="31B40F34"/>
    <w:rsid w:val="31CF5E09"/>
    <w:rsid w:val="31D6262E"/>
    <w:rsid w:val="31DD5420"/>
    <w:rsid w:val="31EB6A65"/>
    <w:rsid w:val="320901D0"/>
    <w:rsid w:val="32210D8A"/>
    <w:rsid w:val="322D7734"/>
    <w:rsid w:val="322E56F7"/>
    <w:rsid w:val="325D2C33"/>
    <w:rsid w:val="326020E9"/>
    <w:rsid w:val="3270744A"/>
    <w:rsid w:val="32760343"/>
    <w:rsid w:val="32805A9D"/>
    <w:rsid w:val="328C0BF4"/>
    <w:rsid w:val="32941CF1"/>
    <w:rsid w:val="32C0264B"/>
    <w:rsid w:val="32DF2AD1"/>
    <w:rsid w:val="32E97C4F"/>
    <w:rsid w:val="32EB1A69"/>
    <w:rsid w:val="32F04CDF"/>
    <w:rsid w:val="33072028"/>
    <w:rsid w:val="330B7787"/>
    <w:rsid w:val="338C5873"/>
    <w:rsid w:val="339007B2"/>
    <w:rsid w:val="33974B3A"/>
    <w:rsid w:val="33AA7583"/>
    <w:rsid w:val="33BA709B"/>
    <w:rsid w:val="33DA0B96"/>
    <w:rsid w:val="33E63FEB"/>
    <w:rsid w:val="33EA1602"/>
    <w:rsid w:val="34041A98"/>
    <w:rsid w:val="340A3E7E"/>
    <w:rsid w:val="344428AA"/>
    <w:rsid w:val="34572441"/>
    <w:rsid w:val="345968B4"/>
    <w:rsid w:val="346516FC"/>
    <w:rsid w:val="34771064"/>
    <w:rsid w:val="3487354C"/>
    <w:rsid w:val="348B7895"/>
    <w:rsid w:val="34BE65D8"/>
    <w:rsid w:val="34C81D0F"/>
    <w:rsid w:val="34CE737B"/>
    <w:rsid w:val="34F32D46"/>
    <w:rsid w:val="35312B01"/>
    <w:rsid w:val="353317B2"/>
    <w:rsid w:val="35340B51"/>
    <w:rsid w:val="35616BDC"/>
    <w:rsid w:val="35627CEB"/>
    <w:rsid w:val="35777939"/>
    <w:rsid w:val="357C50CC"/>
    <w:rsid w:val="35C02DAE"/>
    <w:rsid w:val="35DA3A24"/>
    <w:rsid w:val="35DC663D"/>
    <w:rsid w:val="363C1E23"/>
    <w:rsid w:val="364B3C57"/>
    <w:rsid w:val="364B65BF"/>
    <w:rsid w:val="36603C16"/>
    <w:rsid w:val="36723C5D"/>
    <w:rsid w:val="368D43F8"/>
    <w:rsid w:val="368F0C87"/>
    <w:rsid w:val="36A16CDA"/>
    <w:rsid w:val="36BC7881"/>
    <w:rsid w:val="36BD5378"/>
    <w:rsid w:val="36BD5820"/>
    <w:rsid w:val="36D95871"/>
    <w:rsid w:val="36E16BA3"/>
    <w:rsid w:val="36E47D00"/>
    <w:rsid w:val="36E7289C"/>
    <w:rsid w:val="36F00469"/>
    <w:rsid w:val="373566CD"/>
    <w:rsid w:val="373644ED"/>
    <w:rsid w:val="37492BB6"/>
    <w:rsid w:val="375E5870"/>
    <w:rsid w:val="37BC1633"/>
    <w:rsid w:val="37CC44F9"/>
    <w:rsid w:val="37F84701"/>
    <w:rsid w:val="3809396B"/>
    <w:rsid w:val="38160A60"/>
    <w:rsid w:val="38170E61"/>
    <w:rsid w:val="385A0A9D"/>
    <w:rsid w:val="38766B4A"/>
    <w:rsid w:val="38AA6EAE"/>
    <w:rsid w:val="391B34FF"/>
    <w:rsid w:val="391C048E"/>
    <w:rsid w:val="394E3410"/>
    <w:rsid w:val="395975B6"/>
    <w:rsid w:val="39CF18C3"/>
    <w:rsid w:val="39D701D9"/>
    <w:rsid w:val="3A3F2765"/>
    <w:rsid w:val="3A4B5CFF"/>
    <w:rsid w:val="3A5826B6"/>
    <w:rsid w:val="3A782816"/>
    <w:rsid w:val="3A960F1D"/>
    <w:rsid w:val="3AB85C59"/>
    <w:rsid w:val="3AD62AF7"/>
    <w:rsid w:val="3AD84E92"/>
    <w:rsid w:val="3AEC0481"/>
    <w:rsid w:val="3B107F0F"/>
    <w:rsid w:val="3B412579"/>
    <w:rsid w:val="3B4B1C4C"/>
    <w:rsid w:val="3B533197"/>
    <w:rsid w:val="3B7D7E13"/>
    <w:rsid w:val="3BC907C3"/>
    <w:rsid w:val="3BD01CB4"/>
    <w:rsid w:val="3BDF1F72"/>
    <w:rsid w:val="3C031541"/>
    <w:rsid w:val="3C056013"/>
    <w:rsid w:val="3C1308C2"/>
    <w:rsid w:val="3C3860E7"/>
    <w:rsid w:val="3C5924B3"/>
    <w:rsid w:val="3C8C2C34"/>
    <w:rsid w:val="3C9A5CBB"/>
    <w:rsid w:val="3CAF5C0A"/>
    <w:rsid w:val="3CB05D42"/>
    <w:rsid w:val="3CB430FE"/>
    <w:rsid w:val="3CD967E3"/>
    <w:rsid w:val="3CE05DC4"/>
    <w:rsid w:val="3CF46C13"/>
    <w:rsid w:val="3CFD7F37"/>
    <w:rsid w:val="3D065A90"/>
    <w:rsid w:val="3D0C79E0"/>
    <w:rsid w:val="3D0D7122"/>
    <w:rsid w:val="3D27089C"/>
    <w:rsid w:val="3D346DC1"/>
    <w:rsid w:val="3D477B05"/>
    <w:rsid w:val="3D792776"/>
    <w:rsid w:val="3D802EB3"/>
    <w:rsid w:val="3D9828A9"/>
    <w:rsid w:val="3DE2791A"/>
    <w:rsid w:val="3E04798C"/>
    <w:rsid w:val="3E296CB4"/>
    <w:rsid w:val="3E8B1D5F"/>
    <w:rsid w:val="3EA25030"/>
    <w:rsid w:val="3EA36F25"/>
    <w:rsid w:val="3EAA6689"/>
    <w:rsid w:val="3EC560BA"/>
    <w:rsid w:val="3F051B12"/>
    <w:rsid w:val="3F10258B"/>
    <w:rsid w:val="3F200F75"/>
    <w:rsid w:val="3F37118A"/>
    <w:rsid w:val="3F656D7F"/>
    <w:rsid w:val="3F7830D3"/>
    <w:rsid w:val="3F7A098E"/>
    <w:rsid w:val="3F9959F3"/>
    <w:rsid w:val="3FB17B64"/>
    <w:rsid w:val="3FBA3F5C"/>
    <w:rsid w:val="3FBF1CCE"/>
    <w:rsid w:val="3FCC6F8E"/>
    <w:rsid w:val="3FD716B8"/>
    <w:rsid w:val="3FDA2E5D"/>
    <w:rsid w:val="3FDB4513"/>
    <w:rsid w:val="3FE47979"/>
    <w:rsid w:val="40317410"/>
    <w:rsid w:val="403E4B1D"/>
    <w:rsid w:val="403E5A8C"/>
    <w:rsid w:val="404F739E"/>
    <w:rsid w:val="40574C5C"/>
    <w:rsid w:val="405F4321"/>
    <w:rsid w:val="40603DED"/>
    <w:rsid w:val="406C4ABE"/>
    <w:rsid w:val="40831BCD"/>
    <w:rsid w:val="40BF1EEA"/>
    <w:rsid w:val="40C52EAE"/>
    <w:rsid w:val="40C9603E"/>
    <w:rsid w:val="40DF6392"/>
    <w:rsid w:val="40EE7DCE"/>
    <w:rsid w:val="4116781C"/>
    <w:rsid w:val="416F7716"/>
    <w:rsid w:val="41725AC2"/>
    <w:rsid w:val="41874A60"/>
    <w:rsid w:val="418A5888"/>
    <w:rsid w:val="41AA69A0"/>
    <w:rsid w:val="41BF0AC3"/>
    <w:rsid w:val="41D16EB3"/>
    <w:rsid w:val="41DB66A4"/>
    <w:rsid w:val="42044303"/>
    <w:rsid w:val="42080E3D"/>
    <w:rsid w:val="421D7172"/>
    <w:rsid w:val="424C0CD0"/>
    <w:rsid w:val="42621029"/>
    <w:rsid w:val="42660B19"/>
    <w:rsid w:val="42A33B1C"/>
    <w:rsid w:val="42A41DA4"/>
    <w:rsid w:val="43140775"/>
    <w:rsid w:val="43174146"/>
    <w:rsid w:val="431B01DC"/>
    <w:rsid w:val="435374E2"/>
    <w:rsid w:val="435A1C72"/>
    <w:rsid w:val="436104D5"/>
    <w:rsid w:val="436A1CEB"/>
    <w:rsid w:val="43B417B7"/>
    <w:rsid w:val="43C94D0A"/>
    <w:rsid w:val="43D3134F"/>
    <w:rsid w:val="43DB5CE2"/>
    <w:rsid w:val="440E66CB"/>
    <w:rsid w:val="442A4EB7"/>
    <w:rsid w:val="4456696C"/>
    <w:rsid w:val="44772B8D"/>
    <w:rsid w:val="44A30AD6"/>
    <w:rsid w:val="44AB360A"/>
    <w:rsid w:val="44BA3374"/>
    <w:rsid w:val="44C63791"/>
    <w:rsid w:val="451A5F22"/>
    <w:rsid w:val="451D08A7"/>
    <w:rsid w:val="45372A46"/>
    <w:rsid w:val="45415A3B"/>
    <w:rsid w:val="45490368"/>
    <w:rsid w:val="455B5334"/>
    <w:rsid w:val="45611A6C"/>
    <w:rsid w:val="45705730"/>
    <w:rsid w:val="459E1862"/>
    <w:rsid w:val="45A37EE8"/>
    <w:rsid w:val="45B12031"/>
    <w:rsid w:val="45B54770"/>
    <w:rsid w:val="45BA448F"/>
    <w:rsid w:val="45BC6AA8"/>
    <w:rsid w:val="45F55B38"/>
    <w:rsid w:val="4613720A"/>
    <w:rsid w:val="461E1835"/>
    <w:rsid w:val="462E60AC"/>
    <w:rsid w:val="46556A6B"/>
    <w:rsid w:val="46733FB8"/>
    <w:rsid w:val="467C4DAF"/>
    <w:rsid w:val="467E61C4"/>
    <w:rsid w:val="468477C0"/>
    <w:rsid w:val="468C4AA7"/>
    <w:rsid w:val="46913047"/>
    <w:rsid w:val="46A706A5"/>
    <w:rsid w:val="46FB0A43"/>
    <w:rsid w:val="47195646"/>
    <w:rsid w:val="47353062"/>
    <w:rsid w:val="47527D5E"/>
    <w:rsid w:val="47541888"/>
    <w:rsid w:val="477A3B2C"/>
    <w:rsid w:val="4780658C"/>
    <w:rsid w:val="47853783"/>
    <w:rsid w:val="47C65E4E"/>
    <w:rsid w:val="47D211D2"/>
    <w:rsid w:val="47D41458"/>
    <w:rsid w:val="47E11851"/>
    <w:rsid w:val="47ED51D5"/>
    <w:rsid w:val="47F00E85"/>
    <w:rsid w:val="4801558F"/>
    <w:rsid w:val="48031F77"/>
    <w:rsid w:val="481F0A20"/>
    <w:rsid w:val="48434278"/>
    <w:rsid w:val="484D4DEE"/>
    <w:rsid w:val="48624746"/>
    <w:rsid w:val="487359D2"/>
    <w:rsid w:val="4887604C"/>
    <w:rsid w:val="48BC5937"/>
    <w:rsid w:val="48C80CA0"/>
    <w:rsid w:val="48E821ED"/>
    <w:rsid w:val="48F04BCA"/>
    <w:rsid w:val="496054B6"/>
    <w:rsid w:val="496E29BE"/>
    <w:rsid w:val="496F0BFB"/>
    <w:rsid w:val="499350E7"/>
    <w:rsid w:val="49D265A7"/>
    <w:rsid w:val="49D428AC"/>
    <w:rsid w:val="49D51101"/>
    <w:rsid w:val="49E20EB5"/>
    <w:rsid w:val="4A7A7858"/>
    <w:rsid w:val="4A914734"/>
    <w:rsid w:val="4A9C565B"/>
    <w:rsid w:val="4AB2371F"/>
    <w:rsid w:val="4AEA0A9B"/>
    <w:rsid w:val="4B1203F7"/>
    <w:rsid w:val="4B1413EB"/>
    <w:rsid w:val="4B156205"/>
    <w:rsid w:val="4B5C3E20"/>
    <w:rsid w:val="4BB33E83"/>
    <w:rsid w:val="4BD20EF3"/>
    <w:rsid w:val="4C087DBE"/>
    <w:rsid w:val="4C531E74"/>
    <w:rsid w:val="4C7152C4"/>
    <w:rsid w:val="4C940529"/>
    <w:rsid w:val="4C9B2BDF"/>
    <w:rsid w:val="4CA7676E"/>
    <w:rsid w:val="4CAA4A07"/>
    <w:rsid w:val="4CBB09FE"/>
    <w:rsid w:val="4CF606AD"/>
    <w:rsid w:val="4CFE6256"/>
    <w:rsid w:val="4D017D0E"/>
    <w:rsid w:val="4D14078D"/>
    <w:rsid w:val="4D302606"/>
    <w:rsid w:val="4D510618"/>
    <w:rsid w:val="4D5F4AE3"/>
    <w:rsid w:val="4D6C1FED"/>
    <w:rsid w:val="4D851CA0"/>
    <w:rsid w:val="4DCC0992"/>
    <w:rsid w:val="4DF416CF"/>
    <w:rsid w:val="4DF8629D"/>
    <w:rsid w:val="4E154513"/>
    <w:rsid w:val="4E2512C8"/>
    <w:rsid w:val="4E252F9E"/>
    <w:rsid w:val="4E2E0F86"/>
    <w:rsid w:val="4E4E16AF"/>
    <w:rsid w:val="4E4F2DA9"/>
    <w:rsid w:val="4E5C4D9A"/>
    <w:rsid w:val="4E9B7D9D"/>
    <w:rsid w:val="4EA24EB1"/>
    <w:rsid w:val="4EB26A8E"/>
    <w:rsid w:val="4ED41501"/>
    <w:rsid w:val="4ED4505D"/>
    <w:rsid w:val="4EF86CC0"/>
    <w:rsid w:val="4F2A76C7"/>
    <w:rsid w:val="4F463604"/>
    <w:rsid w:val="4F512041"/>
    <w:rsid w:val="4F72170C"/>
    <w:rsid w:val="4F7F141F"/>
    <w:rsid w:val="4F8965F3"/>
    <w:rsid w:val="4F8D562A"/>
    <w:rsid w:val="4FBF1097"/>
    <w:rsid w:val="4FCB2904"/>
    <w:rsid w:val="4FCE25E3"/>
    <w:rsid w:val="4FE279E5"/>
    <w:rsid w:val="4FF736F9"/>
    <w:rsid w:val="503843E8"/>
    <w:rsid w:val="503A5C56"/>
    <w:rsid w:val="50401423"/>
    <w:rsid w:val="504B6593"/>
    <w:rsid w:val="504D62C5"/>
    <w:rsid w:val="504F0E3F"/>
    <w:rsid w:val="50630821"/>
    <w:rsid w:val="506508DD"/>
    <w:rsid w:val="506643B4"/>
    <w:rsid w:val="506D7FF8"/>
    <w:rsid w:val="50711C50"/>
    <w:rsid w:val="508F360B"/>
    <w:rsid w:val="50CD03B8"/>
    <w:rsid w:val="51273DCC"/>
    <w:rsid w:val="5129736E"/>
    <w:rsid w:val="512D7218"/>
    <w:rsid w:val="514161D5"/>
    <w:rsid w:val="515D758B"/>
    <w:rsid w:val="516E2B15"/>
    <w:rsid w:val="51863A6C"/>
    <w:rsid w:val="51A92228"/>
    <w:rsid w:val="51AA02F7"/>
    <w:rsid w:val="51D06978"/>
    <w:rsid w:val="51E87A97"/>
    <w:rsid w:val="522E0F28"/>
    <w:rsid w:val="52374280"/>
    <w:rsid w:val="52444B99"/>
    <w:rsid w:val="52472C6E"/>
    <w:rsid w:val="524F3C49"/>
    <w:rsid w:val="5281172B"/>
    <w:rsid w:val="52815FD9"/>
    <w:rsid w:val="529A5359"/>
    <w:rsid w:val="52A33C8A"/>
    <w:rsid w:val="52AD68DD"/>
    <w:rsid w:val="52C674D3"/>
    <w:rsid w:val="52CF6267"/>
    <w:rsid w:val="52EB52B5"/>
    <w:rsid w:val="52FC5631"/>
    <w:rsid w:val="5312128A"/>
    <w:rsid w:val="533F76E7"/>
    <w:rsid w:val="536477CB"/>
    <w:rsid w:val="536E6BAF"/>
    <w:rsid w:val="537103F8"/>
    <w:rsid w:val="539354E6"/>
    <w:rsid w:val="53C847FE"/>
    <w:rsid w:val="53D63625"/>
    <w:rsid w:val="53ED7F01"/>
    <w:rsid w:val="53F84BB6"/>
    <w:rsid w:val="540439CF"/>
    <w:rsid w:val="540A1C44"/>
    <w:rsid w:val="541E10A8"/>
    <w:rsid w:val="544031EB"/>
    <w:rsid w:val="545E28C3"/>
    <w:rsid w:val="5499291E"/>
    <w:rsid w:val="54A35BFD"/>
    <w:rsid w:val="54B90C6C"/>
    <w:rsid w:val="55175CA3"/>
    <w:rsid w:val="552C79A0"/>
    <w:rsid w:val="55387195"/>
    <w:rsid w:val="555E38D2"/>
    <w:rsid w:val="556355CA"/>
    <w:rsid w:val="556A04C9"/>
    <w:rsid w:val="558143CA"/>
    <w:rsid w:val="55991245"/>
    <w:rsid w:val="55A52777"/>
    <w:rsid w:val="55B52A34"/>
    <w:rsid w:val="55C220B3"/>
    <w:rsid w:val="55DC047A"/>
    <w:rsid w:val="55F16041"/>
    <w:rsid w:val="56154105"/>
    <w:rsid w:val="561F04E5"/>
    <w:rsid w:val="562E14F6"/>
    <w:rsid w:val="5640378D"/>
    <w:rsid w:val="56472894"/>
    <w:rsid w:val="564E3E17"/>
    <w:rsid w:val="565D04BF"/>
    <w:rsid w:val="567F3E71"/>
    <w:rsid w:val="56970AC1"/>
    <w:rsid w:val="56B03DC5"/>
    <w:rsid w:val="56DE7D77"/>
    <w:rsid w:val="56DF5EA4"/>
    <w:rsid w:val="56E57FF1"/>
    <w:rsid w:val="573E341D"/>
    <w:rsid w:val="575A514F"/>
    <w:rsid w:val="57783D9C"/>
    <w:rsid w:val="578926C7"/>
    <w:rsid w:val="578C2F80"/>
    <w:rsid w:val="57961367"/>
    <w:rsid w:val="57A90FB6"/>
    <w:rsid w:val="57A919F7"/>
    <w:rsid w:val="57DC42A7"/>
    <w:rsid w:val="57DD1426"/>
    <w:rsid w:val="58090647"/>
    <w:rsid w:val="581225E1"/>
    <w:rsid w:val="58231207"/>
    <w:rsid w:val="58232884"/>
    <w:rsid w:val="583B32E8"/>
    <w:rsid w:val="586456A3"/>
    <w:rsid w:val="588C08D1"/>
    <w:rsid w:val="5898359F"/>
    <w:rsid w:val="58E36CD2"/>
    <w:rsid w:val="58E40B5C"/>
    <w:rsid w:val="59117494"/>
    <w:rsid w:val="592F41AF"/>
    <w:rsid w:val="59455C0C"/>
    <w:rsid w:val="5983112E"/>
    <w:rsid w:val="59C56849"/>
    <w:rsid w:val="59C72AA6"/>
    <w:rsid w:val="59D734D4"/>
    <w:rsid w:val="59E56191"/>
    <w:rsid w:val="59EF3692"/>
    <w:rsid w:val="5A3966BC"/>
    <w:rsid w:val="5A841A64"/>
    <w:rsid w:val="5A9C2C02"/>
    <w:rsid w:val="5AB64AC4"/>
    <w:rsid w:val="5ABF40E5"/>
    <w:rsid w:val="5ACB1E38"/>
    <w:rsid w:val="5ADD173D"/>
    <w:rsid w:val="5ADD7144"/>
    <w:rsid w:val="5B456296"/>
    <w:rsid w:val="5B4D0671"/>
    <w:rsid w:val="5B5A4B3C"/>
    <w:rsid w:val="5B723CA8"/>
    <w:rsid w:val="5B72714E"/>
    <w:rsid w:val="5B8B15E4"/>
    <w:rsid w:val="5B8B4FDC"/>
    <w:rsid w:val="5B995596"/>
    <w:rsid w:val="5B9B1643"/>
    <w:rsid w:val="5BDB4397"/>
    <w:rsid w:val="5BED20C1"/>
    <w:rsid w:val="5C0536A1"/>
    <w:rsid w:val="5C166CB5"/>
    <w:rsid w:val="5C2D5CBA"/>
    <w:rsid w:val="5C313392"/>
    <w:rsid w:val="5C425CFC"/>
    <w:rsid w:val="5C4F6328"/>
    <w:rsid w:val="5C712EAE"/>
    <w:rsid w:val="5CA67F65"/>
    <w:rsid w:val="5CAB38A1"/>
    <w:rsid w:val="5CC32DBF"/>
    <w:rsid w:val="5CDE151C"/>
    <w:rsid w:val="5CE67691"/>
    <w:rsid w:val="5D604059"/>
    <w:rsid w:val="5D687337"/>
    <w:rsid w:val="5D7B4E54"/>
    <w:rsid w:val="5D9E7743"/>
    <w:rsid w:val="5DA9205A"/>
    <w:rsid w:val="5DB93D22"/>
    <w:rsid w:val="5DBA28BE"/>
    <w:rsid w:val="5DC11B92"/>
    <w:rsid w:val="5DCF1811"/>
    <w:rsid w:val="5DDF380D"/>
    <w:rsid w:val="5E062D59"/>
    <w:rsid w:val="5E090FA4"/>
    <w:rsid w:val="5E400CDF"/>
    <w:rsid w:val="5E471FC2"/>
    <w:rsid w:val="5E8E3928"/>
    <w:rsid w:val="5E912F5F"/>
    <w:rsid w:val="5EB5160F"/>
    <w:rsid w:val="5EBC5F3E"/>
    <w:rsid w:val="5ED82947"/>
    <w:rsid w:val="5F28567D"/>
    <w:rsid w:val="5F2C67EF"/>
    <w:rsid w:val="5F341537"/>
    <w:rsid w:val="5F7E41B6"/>
    <w:rsid w:val="5F831C34"/>
    <w:rsid w:val="5FA1405D"/>
    <w:rsid w:val="5FA42829"/>
    <w:rsid w:val="5FA45965"/>
    <w:rsid w:val="5FAC3823"/>
    <w:rsid w:val="5FBF20F5"/>
    <w:rsid w:val="600B5B92"/>
    <w:rsid w:val="601569D7"/>
    <w:rsid w:val="601A28EB"/>
    <w:rsid w:val="603706C5"/>
    <w:rsid w:val="603810FF"/>
    <w:rsid w:val="604223DA"/>
    <w:rsid w:val="60545A9A"/>
    <w:rsid w:val="606340E6"/>
    <w:rsid w:val="608E59B3"/>
    <w:rsid w:val="60C07B37"/>
    <w:rsid w:val="610417D1"/>
    <w:rsid w:val="61217456"/>
    <w:rsid w:val="61240687"/>
    <w:rsid w:val="613E7560"/>
    <w:rsid w:val="616B6D93"/>
    <w:rsid w:val="61891CD7"/>
    <w:rsid w:val="61931174"/>
    <w:rsid w:val="61DA337A"/>
    <w:rsid w:val="61DF4169"/>
    <w:rsid w:val="61E34380"/>
    <w:rsid w:val="620233F5"/>
    <w:rsid w:val="620504F1"/>
    <w:rsid w:val="62192F11"/>
    <w:rsid w:val="6223305C"/>
    <w:rsid w:val="622E7628"/>
    <w:rsid w:val="62373E29"/>
    <w:rsid w:val="6238329F"/>
    <w:rsid w:val="623D12F6"/>
    <w:rsid w:val="624F0B60"/>
    <w:rsid w:val="6268494D"/>
    <w:rsid w:val="62854B94"/>
    <w:rsid w:val="62A50A9C"/>
    <w:rsid w:val="62B954DB"/>
    <w:rsid w:val="62D7137C"/>
    <w:rsid w:val="62DB4E6A"/>
    <w:rsid w:val="62E30C79"/>
    <w:rsid w:val="62F31AFE"/>
    <w:rsid w:val="62F51D1A"/>
    <w:rsid w:val="63203A80"/>
    <w:rsid w:val="6325172A"/>
    <w:rsid w:val="632610E9"/>
    <w:rsid w:val="63290614"/>
    <w:rsid w:val="632C14B3"/>
    <w:rsid w:val="634D067F"/>
    <w:rsid w:val="63517533"/>
    <w:rsid w:val="63656C59"/>
    <w:rsid w:val="637644DD"/>
    <w:rsid w:val="63790C76"/>
    <w:rsid w:val="63910587"/>
    <w:rsid w:val="63911720"/>
    <w:rsid w:val="639C03E7"/>
    <w:rsid w:val="63A70ADC"/>
    <w:rsid w:val="63C818EC"/>
    <w:rsid w:val="63D800D9"/>
    <w:rsid w:val="63FD3869"/>
    <w:rsid w:val="64041E13"/>
    <w:rsid w:val="64177A6E"/>
    <w:rsid w:val="643A183D"/>
    <w:rsid w:val="64444319"/>
    <w:rsid w:val="645161E4"/>
    <w:rsid w:val="64764706"/>
    <w:rsid w:val="647E6F66"/>
    <w:rsid w:val="64836A95"/>
    <w:rsid w:val="648F0188"/>
    <w:rsid w:val="64920F15"/>
    <w:rsid w:val="64BF79E1"/>
    <w:rsid w:val="64D83507"/>
    <w:rsid w:val="64F720BA"/>
    <w:rsid w:val="651915C4"/>
    <w:rsid w:val="655B422B"/>
    <w:rsid w:val="65A1703E"/>
    <w:rsid w:val="65BA2DA7"/>
    <w:rsid w:val="65BD5903"/>
    <w:rsid w:val="65C77271"/>
    <w:rsid w:val="65CE2D35"/>
    <w:rsid w:val="65DF1F54"/>
    <w:rsid w:val="65FD3CBE"/>
    <w:rsid w:val="6615622F"/>
    <w:rsid w:val="662D146F"/>
    <w:rsid w:val="66342B59"/>
    <w:rsid w:val="663E1CE5"/>
    <w:rsid w:val="66423429"/>
    <w:rsid w:val="666E7CEA"/>
    <w:rsid w:val="667F66FB"/>
    <w:rsid w:val="66976C44"/>
    <w:rsid w:val="66AB714B"/>
    <w:rsid w:val="66CE5358"/>
    <w:rsid w:val="66E850F0"/>
    <w:rsid w:val="67097C2E"/>
    <w:rsid w:val="671007B9"/>
    <w:rsid w:val="674D05B9"/>
    <w:rsid w:val="674D6636"/>
    <w:rsid w:val="676F5399"/>
    <w:rsid w:val="67773F9D"/>
    <w:rsid w:val="67BE7207"/>
    <w:rsid w:val="67CD74FD"/>
    <w:rsid w:val="681F2E0E"/>
    <w:rsid w:val="682016C0"/>
    <w:rsid w:val="68232E85"/>
    <w:rsid w:val="68282E4B"/>
    <w:rsid w:val="683C2438"/>
    <w:rsid w:val="68412467"/>
    <w:rsid w:val="68556DB7"/>
    <w:rsid w:val="68564138"/>
    <w:rsid w:val="687F687B"/>
    <w:rsid w:val="68844A51"/>
    <w:rsid w:val="689A2CB9"/>
    <w:rsid w:val="68DA34E7"/>
    <w:rsid w:val="68F93CE8"/>
    <w:rsid w:val="69181935"/>
    <w:rsid w:val="69253F4A"/>
    <w:rsid w:val="693370F8"/>
    <w:rsid w:val="69584DB0"/>
    <w:rsid w:val="6968396B"/>
    <w:rsid w:val="699B1675"/>
    <w:rsid w:val="69BC24C2"/>
    <w:rsid w:val="69C84535"/>
    <w:rsid w:val="69CC2514"/>
    <w:rsid w:val="69F824D3"/>
    <w:rsid w:val="69F9496F"/>
    <w:rsid w:val="6A086F97"/>
    <w:rsid w:val="6A242FD1"/>
    <w:rsid w:val="6A4053F4"/>
    <w:rsid w:val="6A421C2D"/>
    <w:rsid w:val="6A6D488B"/>
    <w:rsid w:val="6A793230"/>
    <w:rsid w:val="6A8B78DD"/>
    <w:rsid w:val="6A9D6853"/>
    <w:rsid w:val="6ADD2B0A"/>
    <w:rsid w:val="6AF8399D"/>
    <w:rsid w:val="6AFD3B53"/>
    <w:rsid w:val="6B0E4C3A"/>
    <w:rsid w:val="6B1765A5"/>
    <w:rsid w:val="6B2979D0"/>
    <w:rsid w:val="6B507960"/>
    <w:rsid w:val="6B5A2FD8"/>
    <w:rsid w:val="6B5C045C"/>
    <w:rsid w:val="6B672E50"/>
    <w:rsid w:val="6B886E32"/>
    <w:rsid w:val="6B952CA4"/>
    <w:rsid w:val="6BAA7385"/>
    <w:rsid w:val="6BBF5200"/>
    <w:rsid w:val="6BD9385B"/>
    <w:rsid w:val="6BEC47F0"/>
    <w:rsid w:val="6BF66B60"/>
    <w:rsid w:val="6C305081"/>
    <w:rsid w:val="6C884BBB"/>
    <w:rsid w:val="6C8B2065"/>
    <w:rsid w:val="6C8C3076"/>
    <w:rsid w:val="6C8D7096"/>
    <w:rsid w:val="6C9003BD"/>
    <w:rsid w:val="6CB735FA"/>
    <w:rsid w:val="6CBA368C"/>
    <w:rsid w:val="6CBA7B30"/>
    <w:rsid w:val="6CFA617E"/>
    <w:rsid w:val="6D010938"/>
    <w:rsid w:val="6D0D1A0E"/>
    <w:rsid w:val="6D67032A"/>
    <w:rsid w:val="6D706526"/>
    <w:rsid w:val="6D97020E"/>
    <w:rsid w:val="6DB0559C"/>
    <w:rsid w:val="6DD422BD"/>
    <w:rsid w:val="6DD75DA1"/>
    <w:rsid w:val="6DF40CCD"/>
    <w:rsid w:val="6E017A54"/>
    <w:rsid w:val="6E1716F4"/>
    <w:rsid w:val="6E6D549A"/>
    <w:rsid w:val="6E840FA7"/>
    <w:rsid w:val="6E845A1E"/>
    <w:rsid w:val="6E885CDC"/>
    <w:rsid w:val="6E934F2F"/>
    <w:rsid w:val="6EAE5472"/>
    <w:rsid w:val="6EBB1D37"/>
    <w:rsid w:val="6EBE69D3"/>
    <w:rsid w:val="6EC47B15"/>
    <w:rsid w:val="6EC6761E"/>
    <w:rsid w:val="6EFA2AD9"/>
    <w:rsid w:val="6F4D0DEE"/>
    <w:rsid w:val="6F6D2F36"/>
    <w:rsid w:val="6F6F7D52"/>
    <w:rsid w:val="6F703537"/>
    <w:rsid w:val="6F7E36D6"/>
    <w:rsid w:val="6F7E52F4"/>
    <w:rsid w:val="6F9771B5"/>
    <w:rsid w:val="6FB55565"/>
    <w:rsid w:val="70012AEC"/>
    <w:rsid w:val="70241EE0"/>
    <w:rsid w:val="70292969"/>
    <w:rsid w:val="70404AE2"/>
    <w:rsid w:val="704F6F95"/>
    <w:rsid w:val="70745366"/>
    <w:rsid w:val="707C03B1"/>
    <w:rsid w:val="70821F84"/>
    <w:rsid w:val="7086638A"/>
    <w:rsid w:val="709E3FA2"/>
    <w:rsid w:val="70EF70B2"/>
    <w:rsid w:val="71232251"/>
    <w:rsid w:val="71235FB7"/>
    <w:rsid w:val="71260C9B"/>
    <w:rsid w:val="7128150C"/>
    <w:rsid w:val="713A37F8"/>
    <w:rsid w:val="7153231D"/>
    <w:rsid w:val="715B3690"/>
    <w:rsid w:val="71925DB5"/>
    <w:rsid w:val="71A362E0"/>
    <w:rsid w:val="71D620E0"/>
    <w:rsid w:val="720C2CBF"/>
    <w:rsid w:val="7246216E"/>
    <w:rsid w:val="72600832"/>
    <w:rsid w:val="72914E8F"/>
    <w:rsid w:val="72A20473"/>
    <w:rsid w:val="72AA7D37"/>
    <w:rsid w:val="72E26ED5"/>
    <w:rsid w:val="72E51913"/>
    <w:rsid w:val="72F64820"/>
    <w:rsid w:val="732F3FA3"/>
    <w:rsid w:val="733C0404"/>
    <w:rsid w:val="73B845F5"/>
    <w:rsid w:val="73CE3FC9"/>
    <w:rsid w:val="74016CFC"/>
    <w:rsid w:val="74392F5E"/>
    <w:rsid w:val="74996DF5"/>
    <w:rsid w:val="74A36660"/>
    <w:rsid w:val="74B0159F"/>
    <w:rsid w:val="74C652C4"/>
    <w:rsid w:val="74E20230"/>
    <w:rsid w:val="750044AD"/>
    <w:rsid w:val="751E482D"/>
    <w:rsid w:val="756B19C7"/>
    <w:rsid w:val="7590142E"/>
    <w:rsid w:val="75950C22"/>
    <w:rsid w:val="75CE1F56"/>
    <w:rsid w:val="75EB7A6A"/>
    <w:rsid w:val="760B0935"/>
    <w:rsid w:val="76221663"/>
    <w:rsid w:val="7634447F"/>
    <w:rsid w:val="76415001"/>
    <w:rsid w:val="76733030"/>
    <w:rsid w:val="769470F3"/>
    <w:rsid w:val="769D7C6D"/>
    <w:rsid w:val="76B44383"/>
    <w:rsid w:val="76C24AC8"/>
    <w:rsid w:val="76CF5CCC"/>
    <w:rsid w:val="76DC47E3"/>
    <w:rsid w:val="76E063E5"/>
    <w:rsid w:val="76F86B86"/>
    <w:rsid w:val="77241D1A"/>
    <w:rsid w:val="77275D4A"/>
    <w:rsid w:val="774D2E53"/>
    <w:rsid w:val="775B5DC8"/>
    <w:rsid w:val="776517EF"/>
    <w:rsid w:val="777841F5"/>
    <w:rsid w:val="779142E8"/>
    <w:rsid w:val="77A13DC6"/>
    <w:rsid w:val="77F9775E"/>
    <w:rsid w:val="780A4798"/>
    <w:rsid w:val="7830715A"/>
    <w:rsid w:val="783B5C62"/>
    <w:rsid w:val="784500F5"/>
    <w:rsid w:val="7846303C"/>
    <w:rsid w:val="7863005F"/>
    <w:rsid w:val="78833532"/>
    <w:rsid w:val="78936C2A"/>
    <w:rsid w:val="78A0413C"/>
    <w:rsid w:val="78CA3216"/>
    <w:rsid w:val="78D25408"/>
    <w:rsid w:val="78E24696"/>
    <w:rsid w:val="7908577F"/>
    <w:rsid w:val="791A13CD"/>
    <w:rsid w:val="7924080B"/>
    <w:rsid w:val="79584CF0"/>
    <w:rsid w:val="795D2CD0"/>
    <w:rsid w:val="79607369"/>
    <w:rsid w:val="79654A77"/>
    <w:rsid w:val="79807F0B"/>
    <w:rsid w:val="79853E1E"/>
    <w:rsid w:val="79C7410C"/>
    <w:rsid w:val="79C84311"/>
    <w:rsid w:val="79D8107C"/>
    <w:rsid w:val="7A125A0C"/>
    <w:rsid w:val="7A5F5873"/>
    <w:rsid w:val="7A6D33A6"/>
    <w:rsid w:val="7A7D7E20"/>
    <w:rsid w:val="7A8A0A8B"/>
    <w:rsid w:val="7AA20C8F"/>
    <w:rsid w:val="7ACD4877"/>
    <w:rsid w:val="7AEC48BD"/>
    <w:rsid w:val="7B294A71"/>
    <w:rsid w:val="7B441F57"/>
    <w:rsid w:val="7B713345"/>
    <w:rsid w:val="7B957B10"/>
    <w:rsid w:val="7B981D49"/>
    <w:rsid w:val="7B9C54A1"/>
    <w:rsid w:val="7BB72877"/>
    <w:rsid w:val="7BF65B78"/>
    <w:rsid w:val="7BFE112F"/>
    <w:rsid w:val="7C6764BE"/>
    <w:rsid w:val="7CA071B7"/>
    <w:rsid w:val="7CC95A8A"/>
    <w:rsid w:val="7D1868D9"/>
    <w:rsid w:val="7D1D4835"/>
    <w:rsid w:val="7D3229F4"/>
    <w:rsid w:val="7D362B6A"/>
    <w:rsid w:val="7D5D06C1"/>
    <w:rsid w:val="7D73418E"/>
    <w:rsid w:val="7D7F2115"/>
    <w:rsid w:val="7D9B76DA"/>
    <w:rsid w:val="7DA17B86"/>
    <w:rsid w:val="7DF502E2"/>
    <w:rsid w:val="7DF9751C"/>
    <w:rsid w:val="7DFA78ED"/>
    <w:rsid w:val="7E461020"/>
    <w:rsid w:val="7E61240B"/>
    <w:rsid w:val="7E7D275B"/>
    <w:rsid w:val="7E807A47"/>
    <w:rsid w:val="7E8E1A90"/>
    <w:rsid w:val="7EB64039"/>
    <w:rsid w:val="7F0345A3"/>
    <w:rsid w:val="7F0B7D77"/>
    <w:rsid w:val="7F424BEE"/>
    <w:rsid w:val="7F490153"/>
    <w:rsid w:val="7F523730"/>
    <w:rsid w:val="7F60215C"/>
    <w:rsid w:val="7F657FCF"/>
    <w:rsid w:val="7F9C6759"/>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7"/>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8"/>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9"/>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60"/>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61"/>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62"/>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63"/>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4"/>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92"/>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5"/>
    <w:qFormat/>
    <w:uiPriority w:val="99"/>
    <w:rPr>
      <w:rFonts w:ascii="宋体" w:eastAsia="宋体"/>
      <w:sz w:val="18"/>
      <w:szCs w:val="18"/>
    </w:rPr>
  </w:style>
  <w:style w:type="paragraph" w:styleId="16">
    <w:name w:val="annotation text"/>
    <w:basedOn w:val="1"/>
    <w:link w:val="66"/>
    <w:unhideWhenUsed/>
    <w:qFormat/>
    <w:uiPriority w:val="0"/>
    <w:pPr>
      <w:jc w:val="left"/>
    </w:pPr>
  </w:style>
  <w:style w:type="paragraph" w:styleId="17">
    <w:name w:val="Body Text"/>
    <w:basedOn w:val="1"/>
    <w:next w:val="1"/>
    <w:link w:val="67"/>
    <w:unhideWhenUsed/>
    <w:qFormat/>
    <w:uiPriority w:val="99"/>
    <w:pPr>
      <w:spacing w:after="120"/>
    </w:pPr>
  </w:style>
  <w:style w:type="paragraph" w:styleId="18">
    <w:name w:val="Body Text Indent"/>
    <w:basedOn w:val="1"/>
    <w:next w:val="19"/>
    <w:link w:val="68"/>
    <w:qFormat/>
    <w:uiPriority w:val="99"/>
    <w:pPr>
      <w:ind w:firstLine="600"/>
    </w:pPr>
    <w:rPr>
      <w:sz w:val="32"/>
      <w:szCs w:val="20"/>
    </w:rPr>
  </w:style>
  <w:style w:type="paragraph" w:styleId="19">
    <w:name w:val="Body Text First Indent 2"/>
    <w:basedOn w:val="18"/>
    <w:next w:val="1"/>
    <w:qFormat/>
    <w:uiPriority w:val="99"/>
    <w:pPr>
      <w:tabs>
        <w:tab w:val="left" w:pos="1680"/>
      </w:tabs>
      <w:spacing w:after="120"/>
      <w:ind w:left="420" w:leftChars="200" w:firstLine="420" w:firstLineChars="200"/>
    </w:pPr>
    <w:rPr>
      <w:rFonts w:ascii="Times New Roman" w:hAnsi="Times New Roman" w:eastAsia="宋体" w:cs="Times New Roman"/>
      <w:sz w:val="21"/>
      <w:szCs w:val="24"/>
    </w:rPr>
  </w:style>
  <w:style w:type="paragraph" w:styleId="20">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1">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2">
    <w:name w:val="toc 5"/>
    <w:basedOn w:val="1"/>
    <w:next w:val="1"/>
    <w:qFormat/>
    <w:uiPriority w:val="99"/>
    <w:pPr>
      <w:ind w:left="840"/>
      <w:jc w:val="left"/>
    </w:pPr>
    <w:rPr>
      <w:rFonts w:ascii="Calibri" w:hAnsi="Calibri" w:eastAsia="宋体" w:cs="Times New Roman"/>
      <w:sz w:val="18"/>
      <w:szCs w:val="18"/>
    </w:rPr>
  </w:style>
  <w:style w:type="paragraph" w:styleId="23">
    <w:name w:val="toc 3"/>
    <w:basedOn w:val="1"/>
    <w:next w:val="1"/>
    <w:qFormat/>
    <w:uiPriority w:val="39"/>
    <w:pPr>
      <w:ind w:left="420"/>
      <w:jc w:val="left"/>
    </w:pPr>
    <w:rPr>
      <w:rFonts w:ascii="Calibri" w:hAnsi="Calibri" w:eastAsia="宋体" w:cs="Times New Roman"/>
      <w:i/>
      <w:iCs/>
      <w:sz w:val="20"/>
      <w:szCs w:val="20"/>
    </w:rPr>
  </w:style>
  <w:style w:type="paragraph" w:styleId="24">
    <w:name w:val="Plain Text"/>
    <w:basedOn w:val="1"/>
    <w:link w:val="69"/>
    <w:qFormat/>
    <w:uiPriority w:val="99"/>
    <w:rPr>
      <w:rFonts w:ascii="宋体" w:hAnsi="Courier New" w:cs="Courier New"/>
      <w:szCs w:val="21"/>
    </w:rPr>
  </w:style>
  <w:style w:type="paragraph" w:styleId="25">
    <w:name w:val="toc 8"/>
    <w:basedOn w:val="1"/>
    <w:next w:val="1"/>
    <w:qFormat/>
    <w:uiPriority w:val="99"/>
    <w:pPr>
      <w:ind w:left="1470"/>
      <w:jc w:val="left"/>
    </w:pPr>
    <w:rPr>
      <w:rFonts w:ascii="Calibri" w:hAnsi="Calibri" w:eastAsia="宋体" w:cs="Times New Roman"/>
      <w:sz w:val="18"/>
      <w:szCs w:val="18"/>
    </w:rPr>
  </w:style>
  <w:style w:type="paragraph" w:styleId="26">
    <w:name w:val="Date"/>
    <w:basedOn w:val="1"/>
    <w:next w:val="1"/>
    <w:link w:val="70"/>
    <w:unhideWhenUsed/>
    <w:qFormat/>
    <w:uiPriority w:val="99"/>
    <w:pPr>
      <w:ind w:left="100" w:leftChars="2500"/>
    </w:pPr>
  </w:style>
  <w:style w:type="paragraph" w:styleId="27">
    <w:name w:val="Body Text Indent 2"/>
    <w:basedOn w:val="1"/>
    <w:link w:val="71"/>
    <w:qFormat/>
    <w:uiPriority w:val="99"/>
    <w:pPr>
      <w:spacing w:after="120" w:line="480" w:lineRule="auto"/>
      <w:ind w:left="420" w:leftChars="200"/>
    </w:pPr>
    <w:rPr>
      <w:rFonts w:ascii="Times New Roman" w:hAnsi="Times New Roman" w:eastAsia="宋体" w:cs="Times New Roman"/>
      <w:sz w:val="28"/>
      <w:szCs w:val="24"/>
    </w:rPr>
  </w:style>
  <w:style w:type="paragraph" w:styleId="28">
    <w:name w:val="Balloon Text"/>
    <w:basedOn w:val="1"/>
    <w:link w:val="72"/>
    <w:unhideWhenUsed/>
    <w:qFormat/>
    <w:uiPriority w:val="0"/>
    <w:rPr>
      <w:sz w:val="18"/>
      <w:szCs w:val="18"/>
    </w:rPr>
  </w:style>
  <w:style w:type="paragraph" w:styleId="29">
    <w:name w:val="footer"/>
    <w:basedOn w:val="1"/>
    <w:next w:val="30"/>
    <w:link w:val="73"/>
    <w:unhideWhenUsed/>
    <w:qFormat/>
    <w:uiPriority w:val="0"/>
    <w:pPr>
      <w:tabs>
        <w:tab w:val="center" w:pos="4153"/>
        <w:tab w:val="right" w:pos="8306"/>
      </w:tabs>
      <w:snapToGrid w:val="0"/>
      <w:jc w:val="left"/>
    </w:pPr>
    <w:rPr>
      <w:sz w:val="18"/>
      <w:szCs w:val="18"/>
    </w:rPr>
  </w:style>
  <w:style w:type="paragraph" w:customStyle="1" w:styleId="30">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31">
    <w:name w:val="header"/>
    <w:basedOn w:val="1"/>
    <w:link w:val="74"/>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3">
    <w:name w:val="toc 4"/>
    <w:basedOn w:val="1"/>
    <w:next w:val="1"/>
    <w:qFormat/>
    <w:uiPriority w:val="99"/>
    <w:pPr>
      <w:ind w:left="630"/>
      <w:jc w:val="left"/>
    </w:pPr>
    <w:rPr>
      <w:rFonts w:ascii="Calibri" w:hAnsi="Calibri" w:eastAsia="宋体" w:cs="Times New Roman"/>
      <w:sz w:val="18"/>
      <w:szCs w:val="18"/>
    </w:rPr>
  </w:style>
  <w:style w:type="paragraph" w:styleId="34">
    <w:name w:val="toc 6"/>
    <w:basedOn w:val="1"/>
    <w:next w:val="1"/>
    <w:qFormat/>
    <w:uiPriority w:val="99"/>
    <w:pPr>
      <w:ind w:left="1050"/>
      <w:jc w:val="left"/>
    </w:pPr>
    <w:rPr>
      <w:rFonts w:ascii="Calibri" w:hAnsi="Calibri" w:eastAsia="宋体" w:cs="Times New Roman"/>
      <w:sz w:val="18"/>
      <w:szCs w:val="18"/>
    </w:rPr>
  </w:style>
  <w:style w:type="paragraph" w:styleId="35">
    <w:name w:val="Body Text Indent 3"/>
    <w:basedOn w:val="1"/>
    <w:link w:val="75"/>
    <w:qFormat/>
    <w:uiPriority w:val="99"/>
    <w:pPr>
      <w:spacing w:after="120"/>
      <w:ind w:left="420" w:leftChars="200"/>
    </w:pPr>
    <w:rPr>
      <w:rFonts w:ascii="Times New Roman" w:hAnsi="Times New Roman" w:eastAsia="宋体" w:cs="Times New Roman"/>
      <w:sz w:val="16"/>
      <w:szCs w:val="16"/>
    </w:rPr>
  </w:style>
  <w:style w:type="paragraph" w:styleId="36">
    <w:name w:val="index 9"/>
    <w:basedOn w:val="1"/>
    <w:next w:val="1"/>
    <w:qFormat/>
    <w:uiPriority w:val="0"/>
    <w:pPr>
      <w:spacing w:line="360" w:lineRule="auto"/>
      <w:ind w:left="1890" w:hanging="210"/>
    </w:pPr>
    <w:rPr>
      <w:rFonts w:ascii="Calibri" w:hAnsi="Calibri" w:eastAsia="宋体" w:cs="Times New Roman"/>
      <w:sz w:val="24"/>
      <w:szCs w:val="24"/>
    </w:rPr>
  </w:style>
  <w:style w:type="paragraph" w:styleId="37">
    <w:name w:val="toc 2"/>
    <w:basedOn w:val="1"/>
    <w:next w:val="1"/>
    <w:qFormat/>
    <w:uiPriority w:val="39"/>
    <w:pPr>
      <w:ind w:left="210"/>
      <w:jc w:val="left"/>
    </w:pPr>
    <w:rPr>
      <w:rFonts w:ascii="Calibri" w:hAnsi="Calibri" w:eastAsia="宋体" w:cs="Times New Roman"/>
      <w:smallCaps/>
      <w:sz w:val="20"/>
      <w:szCs w:val="20"/>
    </w:rPr>
  </w:style>
  <w:style w:type="paragraph" w:styleId="38">
    <w:name w:val="toc 9"/>
    <w:basedOn w:val="1"/>
    <w:next w:val="1"/>
    <w:qFormat/>
    <w:uiPriority w:val="99"/>
    <w:pPr>
      <w:ind w:left="1680"/>
      <w:jc w:val="left"/>
    </w:pPr>
    <w:rPr>
      <w:rFonts w:ascii="Calibri" w:hAnsi="Calibri" w:eastAsia="宋体" w:cs="Times New Roman"/>
      <w:sz w:val="18"/>
      <w:szCs w:val="18"/>
    </w:rPr>
  </w:style>
  <w:style w:type="paragraph" w:styleId="39">
    <w:name w:val="Body Text 2"/>
    <w:basedOn w:val="1"/>
    <w:link w:val="76"/>
    <w:qFormat/>
    <w:uiPriority w:val="99"/>
    <w:pPr>
      <w:spacing w:after="120" w:line="480" w:lineRule="auto"/>
    </w:pPr>
    <w:rPr>
      <w:rFonts w:ascii="Times New Roman" w:hAnsi="Times New Roman" w:eastAsia="宋体" w:cs="Times New Roman"/>
      <w:sz w:val="28"/>
      <w:szCs w:val="24"/>
    </w:rPr>
  </w:style>
  <w:style w:type="paragraph" w:styleId="4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1">
    <w:name w:val="Title"/>
    <w:basedOn w:val="1"/>
    <w:link w:val="77"/>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42">
    <w:name w:val="annotation subject"/>
    <w:basedOn w:val="16"/>
    <w:next w:val="16"/>
    <w:link w:val="78"/>
    <w:unhideWhenUsed/>
    <w:qFormat/>
    <w:uiPriority w:val="0"/>
    <w:rPr>
      <w:b/>
      <w:bCs/>
    </w:rPr>
  </w:style>
  <w:style w:type="paragraph" w:styleId="43">
    <w:name w:val="Body Text First Indent"/>
    <w:basedOn w:val="17"/>
    <w:link w:val="79"/>
    <w:qFormat/>
    <w:uiPriority w:val="99"/>
    <w:pPr>
      <w:tabs>
        <w:tab w:val="left" w:pos="840"/>
      </w:tabs>
      <w:ind w:firstLine="420"/>
    </w:pPr>
    <w:rPr>
      <w:rFonts w:ascii="Times New Roman" w:hAnsi="Times New Roman" w:eastAsia="宋体" w:cs="Times New Roman"/>
      <w:szCs w:val="20"/>
    </w:rPr>
  </w:style>
  <w:style w:type="table" w:styleId="45">
    <w:name w:val="Table Grid"/>
    <w:basedOn w:val="4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basedOn w:val="46"/>
    <w:unhideWhenUsed/>
    <w:qFormat/>
    <w:uiPriority w:val="0"/>
    <w:rPr>
      <w:color w:val="800080" w:themeColor="followedHyperlink"/>
      <w:u w:val="single"/>
      <w14:textFill>
        <w14:solidFill>
          <w14:schemeClr w14:val="folHlink"/>
        </w14:solidFill>
      </w14:textFill>
    </w:rPr>
  </w:style>
  <w:style w:type="character" w:styleId="50">
    <w:name w:val="Hyperlink"/>
    <w:basedOn w:val="46"/>
    <w:unhideWhenUsed/>
    <w:qFormat/>
    <w:uiPriority w:val="99"/>
    <w:rPr>
      <w:color w:val="0000FF" w:themeColor="hyperlink"/>
      <w:u w:val="single"/>
      <w14:textFill>
        <w14:solidFill>
          <w14:schemeClr w14:val="hlink"/>
        </w14:solidFill>
      </w14:textFill>
    </w:rPr>
  </w:style>
  <w:style w:type="character" w:styleId="51">
    <w:name w:val="annotation reference"/>
    <w:qFormat/>
    <w:uiPriority w:val="0"/>
    <w:rPr>
      <w:sz w:val="21"/>
    </w:rPr>
  </w:style>
  <w:style w:type="paragraph" w:customStyle="1" w:styleId="52">
    <w:name w:val="TOC1"/>
    <w:basedOn w:val="1"/>
    <w:next w:val="1"/>
    <w:qFormat/>
    <w:uiPriority w:val="0"/>
    <w:pPr>
      <w:spacing w:before="120" w:after="120"/>
      <w:jc w:val="left"/>
    </w:pPr>
    <w:rPr>
      <w:b/>
      <w:bCs/>
      <w:caps/>
      <w:sz w:val="20"/>
      <w:szCs w:val="20"/>
    </w:rPr>
  </w:style>
  <w:style w:type="paragraph" w:customStyle="1" w:styleId="53">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4">
    <w:name w:val="BodyText1I2"/>
    <w:basedOn w:val="55"/>
    <w:next w:val="1"/>
    <w:qFormat/>
    <w:uiPriority w:val="0"/>
    <w:pPr>
      <w:spacing w:after="120"/>
      <w:ind w:left="420" w:leftChars="200" w:firstLine="420" w:firstLineChars="200"/>
      <w:jc w:val="both"/>
      <w:textAlignment w:val="baseline"/>
    </w:pPr>
  </w:style>
  <w:style w:type="paragraph" w:customStyle="1" w:styleId="55">
    <w:name w:val="BodyTextIndent"/>
    <w:basedOn w:val="1"/>
    <w:qFormat/>
    <w:uiPriority w:val="0"/>
    <w:pPr>
      <w:spacing w:after="120"/>
      <w:ind w:left="420" w:leftChars="200"/>
      <w:jc w:val="both"/>
      <w:textAlignment w:val="baseline"/>
    </w:pPr>
  </w:style>
  <w:style w:type="character" w:customStyle="1" w:styleId="56">
    <w:name w:val="标题 1 字符"/>
    <w:basedOn w:val="46"/>
    <w:link w:val="3"/>
    <w:qFormat/>
    <w:uiPriority w:val="0"/>
    <w:rPr>
      <w:rFonts w:ascii="Calibri" w:hAnsi="Calibri" w:eastAsia="仿宋" w:cs="Times New Roman"/>
      <w:b/>
      <w:bCs/>
      <w:kern w:val="44"/>
      <w:sz w:val="30"/>
      <w:szCs w:val="30"/>
    </w:rPr>
  </w:style>
  <w:style w:type="character" w:customStyle="1" w:styleId="57">
    <w:name w:val="标题 2 字符1"/>
    <w:basedOn w:val="46"/>
    <w:link w:val="4"/>
    <w:qFormat/>
    <w:uiPriority w:val="0"/>
    <w:rPr>
      <w:rFonts w:ascii="Cambria" w:hAnsi="Cambria" w:eastAsia="宋体" w:cs="Times New Roman"/>
      <w:b/>
      <w:bCs/>
      <w:kern w:val="0"/>
      <w:sz w:val="28"/>
      <w:szCs w:val="28"/>
    </w:rPr>
  </w:style>
  <w:style w:type="character" w:customStyle="1" w:styleId="58">
    <w:name w:val="标题 3 字符"/>
    <w:basedOn w:val="46"/>
    <w:link w:val="5"/>
    <w:qFormat/>
    <w:uiPriority w:val="0"/>
    <w:rPr>
      <w:rFonts w:ascii="Calibri" w:hAnsi="Calibri" w:eastAsia="宋体" w:cs="Times New Roman"/>
      <w:b/>
      <w:bCs/>
      <w:kern w:val="0"/>
      <w:sz w:val="32"/>
      <w:szCs w:val="32"/>
    </w:rPr>
  </w:style>
  <w:style w:type="character" w:customStyle="1" w:styleId="59">
    <w:name w:val="标题 4 字符"/>
    <w:basedOn w:val="46"/>
    <w:link w:val="6"/>
    <w:qFormat/>
    <w:uiPriority w:val="0"/>
    <w:rPr>
      <w:rFonts w:ascii="Cambria" w:hAnsi="Cambria" w:eastAsia="宋体" w:cs="Times New Roman"/>
      <w:b/>
      <w:bCs/>
      <w:kern w:val="0"/>
      <w:sz w:val="28"/>
      <w:szCs w:val="28"/>
    </w:rPr>
  </w:style>
  <w:style w:type="character" w:customStyle="1" w:styleId="60">
    <w:name w:val="标题 5 字符"/>
    <w:basedOn w:val="46"/>
    <w:link w:val="7"/>
    <w:qFormat/>
    <w:uiPriority w:val="0"/>
    <w:rPr>
      <w:rFonts w:ascii="Times New Roman" w:hAnsi="Times New Roman" w:eastAsia="宋体" w:cs="Times New Roman"/>
      <w:b/>
      <w:bCs/>
      <w:kern w:val="0"/>
      <w:sz w:val="28"/>
      <w:szCs w:val="28"/>
    </w:rPr>
  </w:style>
  <w:style w:type="character" w:customStyle="1" w:styleId="61">
    <w:name w:val="标题 6 字符"/>
    <w:basedOn w:val="46"/>
    <w:link w:val="8"/>
    <w:qFormat/>
    <w:uiPriority w:val="0"/>
    <w:rPr>
      <w:rFonts w:ascii="Arial" w:hAnsi="Arial" w:eastAsia="黑体" w:cs="Times New Roman"/>
      <w:b/>
      <w:bCs/>
      <w:kern w:val="0"/>
      <w:sz w:val="24"/>
      <w:szCs w:val="24"/>
    </w:rPr>
  </w:style>
  <w:style w:type="character" w:customStyle="1" w:styleId="62">
    <w:name w:val="标题 7 字符"/>
    <w:basedOn w:val="46"/>
    <w:link w:val="9"/>
    <w:qFormat/>
    <w:uiPriority w:val="99"/>
    <w:rPr>
      <w:rFonts w:ascii="Times New Roman" w:hAnsi="Times New Roman" w:eastAsia="宋体" w:cs="Times New Roman"/>
      <w:b/>
      <w:bCs/>
      <w:kern w:val="0"/>
      <w:sz w:val="24"/>
      <w:szCs w:val="24"/>
    </w:rPr>
  </w:style>
  <w:style w:type="character" w:customStyle="1" w:styleId="63">
    <w:name w:val="标题 8 字符"/>
    <w:basedOn w:val="46"/>
    <w:link w:val="10"/>
    <w:qFormat/>
    <w:uiPriority w:val="99"/>
    <w:rPr>
      <w:rFonts w:ascii="Arial" w:hAnsi="Arial" w:eastAsia="黑体" w:cs="Times New Roman"/>
      <w:kern w:val="0"/>
      <w:sz w:val="24"/>
      <w:szCs w:val="24"/>
    </w:rPr>
  </w:style>
  <w:style w:type="character" w:customStyle="1" w:styleId="64">
    <w:name w:val="标题 9 字符"/>
    <w:basedOn w:val="46"/>
    <w:link w:val="11"/>
    <w:qFormat/>
    <w:uiPriority w:val="99"/>
    <w:rPr>
      <w:rFonts w:ascii="Arial" w:hAnsi="Arial" w:eastAsia="黑体" w:cs="Times New Roman"/>
      <w:kern w:val="0"/>
      <w:sz w:val="20"/>
      <w:szCs w:val="20"/>
    </w:rPr>
  </w:style>
  <w:style w:type="character" w:customStyle="1" w:styleId="65">
    <w:name w:val="文档结构图 字符"/>
    <w:basedOn w:val="46"/>
    <w:link w:val="15"/>
    <w:qFormat/>
    <w:uiPriority w:val="99"/>
    <w:rPr>
      <w:rFonts w:ascii="宋体" w:eastAsia="宋体"/>
      <w:sz w:val="18"/>
      <w:szCs w:val="18"/>
    </w:rPr>
  </w:style>
  <w:style w:type="character" w:customStyle="1" w:styleId="66">
    <w:name w:val="批注文字 字符"/>
    <w:basedOn w:val="46"/>
    <w:link w:val="16"/>
    <w:qFormat/>
    <w:uiPriority w:val="0"/>
  </w:style>
  <w:style w:type="character" w:customStyle="1" w:styleId="67">
    <w:name w:val="正文文本 字符"/>
    <w:basedOn w:val="46"/>
    <w:link w:val="17"/>
    <w:qFormat/>
    <w:uiPriority w:val="99"/>
  </w:style>
  <w:style w:type="character" w:customStyle="1" w:styleId="68">
    <w:name w:val="正文文本缩进 字符"/>
    <w:basedOn w:val="46"/>
    <w:link w:val="18"/>
    <w:qFormat/>
    <w:uiPriority w:val="99"/>
    <w:rPr>
      <w:sz w:val="32"/>
      <w:szCs w:val="20"/>
    </w:rPr>
  </w:style>
  <w:style w:type="character" w:customStyle="1" w:styleId="69">
    <w:name w:val="纯文本 字符"/>
    <w:basedOn w:val="46"/>
    <w:link w:val="24"/>
    <w:qFormat/>
    <w:uiPriority w:val="99"/>
    <w:rPr>
      <w:rFonts w:ascii="宋体" w:hAnsi="Courier New" w:cs="Courier New"/>
      <w:szCs w:val="21"/>
    </w:rPr>
  </w:style>
  <w:style w:type="character" w:customStyle="1" w:styleId="70">
    <w:name w:val="日期 字符"/>
    <w:basedOn w:val="46"/>
    <w:link w:val="26"/>
    <w:qFormat/>
    <w:uiPriority w:val="99"/>
  </w:style>
  <w:style w:type="character" w:customStyle="1" w:styleId="71">
    <w:name w:val="正文文本缩进 2 字符"/>
    <w:basedOn w:val="46"/>
    <w:link w:val="27"/>
    <w:qFormat/>
    <w:uiPriority w:val="99"/>
    <w:rPr>
      <w:rFonts w:ascii="Times New Roman" w:hAnsi="Times New Roman" w:eastAsia="宋体" w:cs="Times New Roman"/>
      <w:sz w:val="28"/>
      <w:szCs w:val="24"/>
    </w:rPr>
  </w:style>
  <w:style w:type="character" w:customStyle="1" w:styleId="72">
    <w:name w:val="批注框文本 字符"/>
    <w:basedOn w:val="46"/>
    <w:link w:val="28"/>
    <w:qFormat/>
    <w:uiPriority w:val="0"/>
    <w:rPr>
      <w:sz w:val="18"/>
      <w:szCs w:val="18"/>
    </w:rPr>
  </w:style>
  <w:style w:type="character" w:customStyle="1" w:styleId="73">
    <w:name w:val="页脚 字符"/>
    <w:basedOn w:val="46"/>
    <w:link w:val="29"/>
    <w:qFormat/>
    <w:uiPriority w:val="0"/>
    <w:rPr>
      <w:sz w:val="18"/>
      <w:szCs w:val="18"/>
    </w:rPr>
  </w:style>
  <w:style w:type="character" w:customStyle="1" w:styleId="74">
    <w:name w:val="页眉 字符"/>
    <w:basedOn w:val="46"/>
    <w:link w:val="31"/>
    <w:qFormat/>
    <w:uiPriority w:val="0"/>
    <w:rPr>
      <w:sz w:val="18"/>
      <w:szCs w:val="18"/>
    </w:rPr>
  </w:style>
  <w:style w:type="character" w:customStyle="1" w:styleId="75">
    <w:name w:val="正文文本缩进 3 字符"/>
    <w:basedOn w:val="46"/>
    <w:link w:val="35"/>
    <w:qFormat/>
    <w:uiPriority w:val="99"/>
    <w:rPr>
      <w:rFonts w:ascii="Times New Roman" w:hAnsi="Times New Roman" w:eastAsia="宋体" w:cs="Times New Roman"/>
      <w:sz w:val="16"/>
      <w:szCs w:val="16"/>
    </w:rPr>
  </w:style>
  <w:style w:type="character" w:customStyle="1" w:styleId="76">
    <w:name w:val="正文文本 2 字符"/>
    <w:basedOn w:val="46"/>
    <w:link w:val="39"/>
    <w:qFormat/>
    <w:uiPriority w:val="99"/>
    <w:rPr>
      <w:rFonts w:ascii="Times New Roman" w:hAnsi="Times New Roman" w:eastAsia="宋体" w:cs="Times New Roman"/>
      <w:sz w:val="28"/>
      <w:szCs w:val="24"/>
    </w:rPr>
  </w:style>
  <w:style w:type="character" w:customStyle="1" w:styleId="77">
    <w:name w:val="标题 字符"/>
    <w:basedOn w:val="46"/>
    <w:link w:val="41"/>
    <w:qFormat/>
    <w:uiPriority w:val="99"/>
    <w:rPr>
      <w:rFonts w:ascii="宋体" w:hAnsi="Arial" w:eastAsia="宋体" w:cs="Arial"/>
      <w:b/>
      <w:bCs/>
      <w:kern w:val="28"/>
      <w:sz w:val="32"/>
      <w:szCs w:val="32"/>
    </w:rPr>
  </w:style>
  <w:style w:type="character" w:customStyle="1" w:styleId="78">
    <w:name w:val="批注主题 字符"/>
    <w:basedOn w:val="66"/>
    <w:link w:val="42"/>
    <w:qFormat/>
    <w:uiPriority w:val="0"/>
    <w:rPr>
      <w:b/>
      <w:bCs/>
    </w:rPr>
  </w:style>
  <w:style w:type="character" w:customStyle="1" w:styleId="79">
    <w:name w:val="正文文本首行缩进 字符"/>
    <w:basedOn w:val="67"/>
    <w:link w:val="43"/>
    <w:qFormat/>
    <w:uiPriority w:val="99"/>
    <w:rPr>
      <w:rFonts w:ascii="Times New Roman" w:hAnsi="Times New Roman" w:eastAsia="宋体" w:cs="Times New Roman"/>
      <w:szCs w:val="20"/>
    </w:rPr>
  </w:style>
  <w:style w:type="character" w:customStyle="1" w:styleId="80">
    <w:name w:val="正文文本首行缩进 2 字符"/>
    <w:basedOn w:val="68"/>
    <w:qFormat/>
    <w:uiPriority w:val="99"/>
    <w:rPr>
      <w:rFonts w:ascii="Times New Roman" w:hAnsi="Times New Roman" w:eastAsia="宋体" w:cs="Times New Roman"/>
      <w:sz w:val="32"/>
      <w:szCs w:val="24"/>
    </w:rPr>
  </w:style>
  <w:style w:type="paragraph" w:customStyle="1" w:styleId="81">
    <w:name w:val="列出段落1"/>
    <w:basedOn w:val="1"/>
    <w:qFormat/>
    <w:uiPriority w:val="0"/>
    <w:pPr>
      <w:ind w:firstLine="420" w:firstLineChars="200"/>
    </w:pPr>
  </w:style>
  <w:style w:type="paragraph" w:customStyle="1" w:styleId="82">
    <w:name w:val="_Style 3"/>
    <w:basedOn w:val="1"/>
    <w:next w:val="1"/>
    <w:qFormat/>
    <w:uiPriority w:val="99"/>
    <w:pPr>
      <w:spacing w:line="360" w:lineRule="auto"/>
      <w:ind w:firstLine="420" w:firstLineChars="200"/>
    </w:pPr>
    <w:rPr>
      <w:sz w:val="24"/>
      <w:szCs w:val="24"/>
    </w:rPr>
  </w:style>
  <w:style w:type="character" w:customStyle="1" w:styleId="83">
    <w:name w:val="font01"/>
    <w:basedOn w:val="46"/>
    <w:qFormat/>
    <w:uiPriority w:val="0"/>
    <w:rPr>
      <w:rFonts w:ascii="Helvetica" w:hAnsi="Helvetica" w:eastAsia="Helvetica" w:cs="Helvetica"/>
      <w:color w:val="000000"/>
      <w:sz w:val="16"/>
      <w:szCs w:val="16"/>
      <w:u w:val="none"/>
    </w:rPr>
  </w:style>
  <w:style w:type="character" w:customStyle="1" w:styleId="84">
    <w:name w:val="font41"/>
    <w:basedOn w:val="46"/>
    <w:qFormat/>
    <w:uiPriority w:val="0"/>
    <w:rPr>
      <w:rFonts w:hint="eastAsia" w:ascii="宋体" w:hAnsi="宋体" w:eastAsia="宋体" w:cs="宋体"/>
      <w:color w:val="000000"/>
      <w:sz w:val="16"/>
      <w:szCs w:val="16"/>
      <w:u w:val="none"/>
    </w:rPr>
  </w:style>
  <w:style w:type="character" w:customStyle="1" w:styleId="85">
    <w:name w:val="font11"/>
    <w:basedOn w:val="46"/>
    <w:qFormat/>
    <w:uiPriority w:val="0"/>
    <w:rPr>
      <w:rFonts w:hint="default" w:ascii="Times New Roman" w:hAnsi="Times New Roman" w:cs="Times New Roman"/>
      <w:color w:val="000000"/>
      <w:sz w:val="16"/>
      <w:szCs w:val="16"/>
      <w:u w:val="none"/>
    </w:rPr>
  </w:style>
  <w:style w:type="character" w:customStyle="1" w:styleId="86">
    <w:name w:val="font21"/>
    <w:basedOn w:val="46"/>
    <w:qFormat/>
    <w:uiPriority w:val="0"/>
    <w:rPr>
      <w:rFonts w:ascii="Helvetica" w:hAnsi="Helvetica" w:eastAsia="Helvetica" w:cs="Helvetica"/>
      <w:color w:val="000000"/>
      <w:sz w:val="16"/>
      <w:szCs w:val="16"/>
      <w:u w:val="none"/>
    </w:rPr>
  </w:style>
  <w:style w:type="character" w:customStyle="1" w:styleId="87">
    <w:name w:val="font51"/>
    <w:basedOn w:val="46"/>
    <w:qFormat/>
    <w:uiPriority w:val="0"/>
    <w:rPr>
      <w:rFonts w:hint="eastAsia" w:ascii="宋体" w:hAnsi="宋体" w:eastAsia="宋体" w:cs="宋体"/>
      <w:color w:val="000000"/>
      <w:sz w:val="16"/>
      <w:szCs w:val="16"/>
      <w:u w:val="none"/>
    </w:rPr>
  </w:style>
  <w:style w:type="character" w:customStyle="1" w:styleId="88">
    <w:name w:val="font31"/>
    <w:basedOn w:val="46"/>
    <w:qFormat/>
    <w:uiPriority w:val="0"/>
    <w:rPr>
      <w:rFonts w:hint="eastAsia" w:ascii="宋体" w:hAnsi="宋体" w:eastAsia="宋体" w:cs="宋体"/>
      <w:color w:val="000000"/>
      <w:sz w:val="16"/>
      <w:szCs w:val="16"/>
      <w:u w:val="none"/>
    </w:rPr>
  </w:style>
  <w:style w:type="character" w:customStyle="1" w:styleId="89">
    <w:name w:val="font61"/>
    <w:basedOn w:val="46"/>
    <w:qFormat/>
    <w:uiPriority w:val="0"/>
    <w:rPr>
      <w:rFonts w:hint="eastAsia" w:ascii="宋体" w:hAnsi="宋体" w:eastAsia="宋体" w:cs="宋体"/>
      <w:color w:val="000000"/>
      <w:sz w:val="16"/>
      <w:szCs w:val="16"/>
      <w:u w:val="none"/>
    </w:rPr>
  </w:style>
  <w:style w:type="paragraph" w:customStyle="1" w:styleId="90">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91">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92">
    <w:name w:val="正文缩进 字符"/>
    <w:link w:val="13"/>
    <w:qFormat/>
    <w:uiPriority w:val="0"/>
    <w:rPr>
      <w:rFonts w:eastAsia="宋体"/>
    </w:rPr>
  </w:style>
  <w:style w:type="character" w:customStyle="1" w:styleId="93">
    <w:name w:val="无间隔 字符"/>
    <w:link w:val="94"/>
    <w:qFormat/>
    <w:uiPriority w:val="0"/>
    <w:rPr>
      <w:rFonts w:ascii="Cambria" w:hAnsi="Cambria"/>
      <w:sz w:val="22"/>
      <w:lang w:eastAsia="en-US" w:bidi="en-US"/>
    </w:rPr>
  </w:style>
  <w:style w:type="paragraph" w:styleId="94">
    <w:name w:val="No Spacing"/>
    <w:basedOn w:val="1"/>
    <w:link w:val="93"/>
    <w:qFormat/>
    <w:uiPriority w:val="0"/>
    <w:pPr>
      <w:widowControl/>
      <w:numPr>
        <w:ilvl w:val="4"/>
        <w:numId w:val="2"/>
      </w:numPr>
      <w:ind w:left="0" w:firstLine="0"/>
      <w:jc w:val="left"/>
    </w:pPr>
    <w:rPr>
      <w:rFonts w:ascii="Cambria" w:hAnsi="Cambria"/>
      <w:sz w:val="22"/>
      <w:lang w:eastAsia="en-US" w:bidi="en-US"/>
    </w:rPr>
  </w:style>
  <w:style w:type="character" w:customStyle="1" w:styleId="95">
    <w:name w:val="样式2 Char"/>
    <w:link w:val="96"/>
    <w:qFormat/>
    <w:uiPriority w:val="0"/>
    <w:rPr>
      <w:rFonts w:ascii="宋体" w:hAnsi="宋体"/>
      <w:sz w:val="28"/>
      <w:szCs w:val="28"/>
    </w:rPr>
  </w:style>
  <w:style w:type="paragraph" w:customStyle="1" w:styleId="96">
    <w:name w:val="样式2"/>
    <w:basedOn w:val="1"/>
    <w:link w:val="95"/>
    <w:qFormat/>
    <w:uiPriority w:val="0"/>
    <w:pPr>
      <w:widowControl/>
      <w:spacing w:line="590" w:lineRule="exact"/>
      <w:ind w:firstLine="560" w:firstLineChars="200"/>
    </w:pPr>
    <w:rPr>
      <w:rFonts w:ascii="宋体" w:hAnsi="宋体"/>
      <w:sz w:val="28"/>
      <w:szCs w:val="28"/>
    </w:rPr>
  </w:style>
  <w:style w:type="character" w:customStyle="1" w:styleId="97">
    <w:name w:val="zj-122 Char"/>
    <w:link w:val="98"/>
    <w:qFormat/>
    <w:uiPriority w:val="99"/>
    <w:rPr>
      <w:rFonts w:ascii="Cambria" w:hAnsi="Cambria"/>
      <w:iCs/>
      <w:szCs w:val="21"/>
      <w:lang w:bidi="en-US"/>
    </w:rPr>
  </w:style>
  <w:style w:type="paragraph" w:customStyle="1" w:styleId="98">
    <w:name w:val="zj-122"/>
    <w:basedOn w:val="94"/>
    <w:link w:val="97"/>
    <w:qFormat/>
    <w:uiPriority w:val="99"/>
    <w:rPr>
      <w:iCs/>
      <w:sz w:val="21"/>
      <w:szCs w:val="21"/>
      <w:lang w:eastAsia="zh-CN"/>
    </w:rPr>
  </w:style>
  <w:style w:type="paragraph" w:customStyle="1" w:styleId="99">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a9"/>
    <w:basedOn w:val="46"/>
    <w:qFormat/>
    <w:uiPriority w:val="0"/>
  </w:style>
  <w:style w:type="character" w:customStyle="1" w:styleId="101">
    <w:name w:val="msonormal"/>
    <w:basedOn w:val="46"/>
    <w:qFormat/>
    <w:uiPriority w:val="0"/>
  </w:style>
  <w:style w:type="character" w:customStyle="1" w:styleId="102">
    <w:name w:val="标题 1 Char Char"/>
    <w:qFormat/>
    <w:uiPriority w:val="0"/>
    <w:rPr>
      <w:rFonts w:eastAsia="宋体"/>
      <w:b/>
      <w:spacing w:val="-2"/>
      <w:sz w:val="24"/>
      <w:lang w:val="en-US" w:eastAsia="zh-CN" w:bidi="ar-SA"/>
    </w:rPr>
  </w:style>
  <w:style w:type="character" w:customStyle="1" w:styleId="103">
    <w:name w:val="标题 2 字符"/>
    <w:qFormat/>
    <w:uiPriority w:val="0"/>
    <w:rPr>
      <w:rFonts w:ascii="Arial" w:hAnsi="Arial" w:eastAsia="黑体"/>
      <w:b/>
      <w:bCs/>
      <w:kern w:val="2"/>
      <w:sz w:val="32"/>
      <w:szCs w:val="32"/>
    </w:rPr>
  </w:style>
  <w:style w:type="character" w:customStyle="1" w:styleId="104">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5">
    <w:name w:val="text-4"/>
    <w:basedOn w:val="46"/>
    <w:qFormat/>
    <w:uiPriority w:val="0"/>
  </w:style>
  <w:style w:type="character" w:customStyle="1" w:styleId="106">
    <w:name w:val="boldtitle1"/>
    <w:qFormat/>
    <w:uiPriority w:val="0"/>
    <w:rPr>
      <w:rFonts w:hint="default" w:ascii="Arial Black" w:hAnsi="Arial Black"/>
      <w:sz w:val="36"/>
      <w:szCs w:val="36"/>
    </w:rPr>
  </w:style>
  <w:style w:type="character" w:customStyle="1" w:styleId="107">
    <w:name w:val="Body Char"/>
    <w:link w:val="108"/>
    <w:qFormat/>
    <w:uiPriority w:val="0"/>
    <w:rPr>
      <w:szCs w:val="21"/>
    </w:rPr>
  </w:style>
  <w:style w:type="paragraph" w:customStyle="1" w:styleId="108">
    <w:name w:val="Body"/>
    <w:basedOn w:val="1"/>
    <w:link w:val="107"/>
    <w:qFormat/>
    <w:uiPriority w:val="0"/>
    <w:pPr>
      <w:widowControl/>
      <w:tabs>
        <w:tab w:val="left" w:pos="9356"/>
      </w:tabs>
      <w:spacing w:before="80" w:after="80" w:line="288" w:lineRule="auto"/>
      <w:ind w:left="426" w:leftChars="213" w:right="200"/>
    </w:pPr>
    <w:rPr>
      <w:szCs w:val="21"/>
    </w:rPr>
  </w:style>
  <w:style w:type="paragraph" w:customStyle="1" w:styleId="109">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10">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11">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2">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3">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4">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5">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6">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7">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8">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9">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20">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1">
    <w:name w:val="Char Char"/>
    <w:basedOn w:val="1"/>
    <w:qFormat/>
    <w:uiPriority w:val="99"/>
    <w:rPr>
      <w:rFonts w:ascii="Tahoma" w:hAnsi="Tahoma" w:eastAsia="宋体" w:cs="Times New Roman"/>
      <w:sz w:val="24"/>
      <w:szCs w:val="20"/>
    </w:rPr>
  </w:style>
  <w:style w:type="paragraph" w:customStyle="1" w:styleId="122">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3">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4">
    <w:name w:val="Char Char Char1 Char"/>
    <w:basedOn w:val="1"/>
    <w:qFormat/>
    <w:uiPriority w:val="99"/>
    <w:rPr>
      <w:rFonts w:ascii="仿宋_GB2312" w:hAnsi="Times New Roman" w:eastAsia="仿宋_GB2312" w:cs="Times New Roman"/>
      <w:b/>
      <w:sz w:val="32"/>
      <w:szCs w:val="32"/>
    </w:rPr>
  </w:style>
  <w:style w:type="paragraph" w:customStyle="1" w:styleId="125">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6">
    <w:name w:val="List Paragraph1"/>
    <w:basedOn w:val="1"/>
    <w:qFormat/>
    <w:uiPriority w:val="99"/>
    <w:pPr>
      <w:ind w:firstLine="420" w:firstLineChars="200"/>
    </w:pPr>
    <w:rPr>
      <w:rFonts w:ascii="Calibri" w:hAnsi="Calibri" w:eastAsia="宋体" w:cs="Calibri"/>
      <w:szCs w:val="21"/>
    </w:rPr>
  </w:style>
  <w:style w:type="paragraph" w:customStyle="1" w:styleId="127">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8">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9">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3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1">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3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3">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4">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5">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7">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8">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9">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40">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41">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42">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3">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4">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5">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6">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7">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8">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9">
    <w:name w:val="ZTE标题6"/>
    <w:basedOn w:val="147"/>
    <w:qFormat/>
    <w:uiPriority w:val="99"/>
    <w:pPr>
      <w:tabs>
        <w:tab w:val="left" w:pos="1276"/>
      </w:tabs>
      <w:spacing w:before="120"/>
      <w:ind w:left="1276" w:hanging="1276"/>
    </w:pPr>
  </w:style>
  <w:style w:type="paragraph" w:customStyle="1" w:styleId="150">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51">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52">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3">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5">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6">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7">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8">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9">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60">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61">
    <w:name w:val="正文 3"/>
    <w:basedOn w:val="132"/>
    <w:next w:val="132"/>
    <w:qFormat/>
    <w:uiPriority w:val="99"/>
    <w:pPr>
      <w:spacing w:before="120"/>
    </w:pPr>
    <w:rPr>
      <w:rFonts w:ascii="Garamond" w:hAnsi="Garamond"/>
      <w:color w:val="auto"/>
    </w:rPr>
  </w:style>
  <w:style w:type="paragraph" w:customStyle="1" w:styleId="162">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3">
    <w:name w:val="List Paragraph"/>
    <w:basedOn w:val="1"/>
    <w:link w:val="167"/>
    <w:qFormat/>
    <w:uiPriority w:val="99"/>
    <w:pPr>
      <w:ind w:firstLine="420" w:firstLineChars="200"/>
    </w:pPr>
    <w:rPr>
      <w:rFonts w:ascii="Calibri" w:hAnsi="Calibri" w:eastAsia="宋体" w:cs="Times New Roman"/>
    </w:rPr>
  </w:style>
  <w:style w:type="paragraph" w:customStyle="1" w:styleId="164">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5">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6">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7">
    <w:name w:val="列表段落 字符"/>
    <w:link w:val="163"/>
    <w:qFormat/>
    <w:locked/>
    <w:uiPriority w:val="99"/>
    <w:rPr>
      <w:rFonts w:ascii="Calibri" w:hAnsi="Calibri" w:eastAsia="宋体" w:cs="Times New Roman"/>
    </w:rPr>
  </w:style>
  <w:style w:type="paragraph" w:customStyle="1" w:styleId="168">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9">
    <w:name w:val="font81"/>
    <w:basedOn w:val="46"/>
    <w:qFormat/>
    <w:uiPriority w:val="0"/>
    <w:rPr>
      <w:rFonts w:hint="eastAsia" w:ascii="宋体" w:hAnsi="宋体" w:eastAsia="宋体" w:cs="宋体"/>
      <w:color w:val="000000"/>
      <w:sz w:val="20"/>
      <w:szCs w:val="20"/>
      <w:u w:val="none"/>
    </w:rPr>
  </w:style>
  <w:style w:type="character" w:customStyle="1" w:styleId="170">
    <w:name w:val="font71"/>
    <w:basedOn w:val="46"/>
    <w:qFormat/>
    <w:uiPriority w:val="0"/>
    <w:rPr>
      <w:rFonts w:ascii="Arial" w:hAnsi="Arial" w:cs="Arial"/>
      <w:color w:val="000000"/>
      <w:sz w:val="24"/>
      <w:szCs w:val="24"/>
      <w:u w:val="none"/>
    </w:rPr>
  </w:style>
  <w:style w:type="character" w:customStyle="1" w:styleId="171">
    <w:name w:val="font91"/>
    <w:basedOn w:val="46"/>
    <w:qFormat/>
    <w:uiPriority w:val="0"/>
    <w:rPr>
      <w:rFonts w:hint="default" w:ascii="Arial" w:hAnsi="Arial" w:cs="Arial"/>
      <w:color w:val="000000"/>
      <w:sz w:val="24"/>
      <w:szCs w:val="24"/>
      <w:u w:val="none"/>
    </w:rPr>
  </w:style>
  <w:style w:type="character" w:customStyle="1" w:styleId="172">
    <w:name w:val="font101"/>
    <w:basedOn w:val="46"/>
    <w:qFormat/>
    <w:uiPriority w:val="0"/>
    <w:rPr>
      <w:rFonts w:hint="eastAsia" w:ascii="宋体" w:hAnsi="宋体" w:eastAsia="宋体" w:cs="宋体"/>
      <w:color w:val="000000"/>
      <w:sz w:val="24"/>
      <w:szCs w:val="24"/>
      <w:u w:val="none"/>
    </w:rPr>
  </w:style>
  <w:style w:type="character" w:customStyle="1" w:styleId="173">
    <w:name w:val="标题 1 Char1"/>
    <w:basedOn w:val="46"/>
    <w:qFormat/>
    <w:uiPriority w:val="0"/>
    <w:rPr>
      <w:rFonts w:asciiTheme="minorHAnsi" w:hAnsiTheme="minorHAnsi" w:eastAsiaTheme="minorEastAsia" w:cstheme="minorBidi"/>
      <w:b/>
      <w:bCs/>
      <w:kern w:val="44"/>
      <w:sz w:val="44"/>
      <w:szCs w:val="44"/>
    </w:rPr>
  </w:style>
  <w:style w:type="character" w:customStyle="1" w:styleId="174">
    <w:name w:val="标题 2 Char1"/>
    <w:basedOn w:val="46"/>
    <w:semiHidden/>
    <w:qFormat/>
    <w:uiPriority w:val="0"/>
    <w:rPr>
      <w:rFonts w:asciiTheme="majorHAnsi" w:hAnsiTheme="majorHAnsi" w:eastAsiaTheme="majorEastAsia" w:cstheme="majorBidi"/>
      <w:b/>
      <w:bCs/>
      <w:kern w:val="2"/>
      <w:sz w:val="32"/>
      <w:szCs w:val="32"/>
    </w:rPr>
  </w:style>
  <w:style w:type="character" w:customStyle="1" w:styleId="175">
    <w:name w:val="标题 3 Char1"/>
    <w:basedOn w:val="46"/>
    <w:semiHidden/>
    <w:qFormat/>
    <w:uiPriority w:val="0"/>
    <w:rPr>
      <w:rFonts w:asciiTheme="minorHAnsi" w:hAnsiTheme="minorHAnsi" w:eastAsiaTheme="minorEastAsia" w:cstheme="minorBidi"/>
      <w:b/>
      <w:bCs/>
      <w:kern w:val="2"/>
      <w:sz w:val="32"/>
      <w:szCs w:val="32"/>
    </w:rPr>
  </w:style>
  <w:style w:type="character" w:customStyle="1" w:styleId="176">
    <w:name w:val="标题 4 Char1"/>
    <w:basedOn w:val="46"/>
    <w:semiHidden/>
    <w:qFormat/>
    <w:uiPriority w:val="0"/>
    <w:rPr>
      <w:rFonts w:asciiTheme="majorHAnsi" w:hAnsiTheme="majorHAnsi" w:eastAsiaTheme="majorEastAsia" w:cstheme="majorBidi"/>
      <w:b/>
      <w:bCs/>
      <w:kern w:val="2"/>
      <w:sz w:val="28"/>
      <w:szCs w:val="28"/>
    </w:rPr>
  </w:style>
  <w:style w:type="character" w:customStyle="1" w:styleId="177">
    <w:name w:val="标题 5 Char1"/>
    <w:basedOn w:val="46"/>
    <w:semiHidden/>
    <w:qFormat/>
    <w:uiPriority w:val="0"/>
    <w:rPr>
      <w:rFonts w:asciiTheme="minorHAnsi" w:hAnsiTheme="minorHAnsi" w:eastAsiaTheme="minorEastAsia" w:cstheme="minorBidi"/>
      <w:b/>
      <w:bCs/>
      <w:kern w:val="2"/>
      <w:sz w:val="28"/>
      <w:szCs w:val="28"/>
    </w:rPr>
  </w:style>
  <w:style w:type="character" w:customStyle="1" w:styleId="178">
    <w:name w:val="标题 6 Char1"/>
    <w:basedOn w:val="46"/>
    <w:semiHidden/>
    <w:qFormat/>
    <w:uiPriority w:val="0"/>
    <w:rPr>
      <w:rFonts w:asciiTheme="majorHAnsi" w:hAnsiTheme="majorHAnsi" w:eastAsiaTheme="majorEastAsia" w:cstheme="majorBidi"/>
      <w:b/>
      <w:bCs/>
      <w:kern w:val="2"/>
      <w:sz w:val="24"/>
      <w:szCs w:val="24"/>
    </w:rPr>
  </w:style>
  <w:style w:type="character" w:customStyle="1" w:styleId="179">
    <w:name w:val="标题 7 Char1"/>
    <w:basedOn w:val="46"/>
    <w:semiHidden/>
    <w:qFormat/>
    <w:uiPriority w:val="0"/>
    <w:rPr>
      <w:rFonts w:asciiTheme="minorHAnsi" w:hAnsiTheme="minorHAnsi" w:eastAsiaTheme="minorEastAsia" w:cstheme="minorBidi"/>
      <w:b/>
      <w:bCs/>
      <w:kern w:val="2"/>
      <w:sz w:val="24"/>
      <w:szCs w:val="24"/>
    </w:rPr>
  </w:style>
  <w:style w:type="character" w:customStyle="1" w:styleId="180">
    <w:name w:val="标题 8 Char1"/>
    <w:basedOn w:val="46"/>
    <w:semiHidden/>
    <w:qFormat/>
    <w:uiPriority w:val="0"/>
    <w:rPr>
      <w:rFonts w:asciiTheme="majorHAnsi" w:hAnsiTheme="majorHAnsi" w:eastAsiaTheme="majorEastAsia" w:cstheme="majorBidi"/>
      <w:kern w:val="2"/>
      <w:sz w:val="24"/>
      <w:szCs w:val="24"/>
    </w:rPr>
  </w:style>
  <w:style w:type="character" w:customStyle="1" w:styleId="181">
    <w:name w:val="标题 9 Char1"/>
    <w:basedOn w:val="46"/>
    <w:semiHidden/>
    <w:qFormat/>
    <w:uiPriority w:val="0"/>
    <w:rPr>
      <w:rFonts w:asciiTheme="majorHAnsi" w:hAnsiTheme="majorHAnsi" w:eastAsiaTheme="majorEastAsia" w:cstheme="majorBidi"/>
      <w:kern w:val="2"/>
      <w:sz w:val="21"/>
      <w:szCs w:val="21"/>
    </w:rPr>
  </w:style>
  <w:style w:type="paragraph" w:customStyle="1" w:styleId="182">
    <w:name w:val="列出段落11"/>
    <w:basedOn w:val="1"/>
    <w:qFormat/>
    <w:uiPriority w:val="99"/>
    <w:pPr>
      <w:ind w:firstLine="420" w:firstLineChars="200"/>
    </w:pPr>
    <w:rPr>
      <w:rFonts w:ascii="Calibri" w:hAnsi="Calibri" w:eastAsia="宋体" w:cs="Times New Roman"/>
    </w:rPr>
  </w:style>
  <w:style w:type="paragraph" w:customStyle="1" w:styleId="183">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4">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5">
    <w:name w:val="网格型1"/>
    <w:basedOn w:val="44"/>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6">
    <w:name w:val="网格型11"/>
    <w:basedOn w:val="4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7">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列表段落1"/>
    <w:basedOn w:val="1"/>
    <w:qFormat/>
    <w:uiPriority w:val="0"/>
    <w:pPr>
      <w:ind w:firstLine="420" w:firstLineChars="200"/>
    </w:pPr>
    <w:rPr>
      <w:rFonts w:ascii="Calibri" w:hAnsi="Calibri" w:eastAsia="宋体" w:cs="Times New Roman"/>
    </w:rPr>
  </w:style>
  <w:style w:type="paragraph" w:customStyle="1" w:styleId="190">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91">
    <w:name w:val="网格型2"/>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WPSOffice手动目录 1"/>
    <w:qFormat/>
    <w:uiPriority w:val="0"/>
    <w:pPr>
      <w:ind w:leftChars="0"/>
    </w:pPr>
    <w:rPr>
      <w:rFonts w:asciiTheme="minorHAnsi" w:hAnsiTheme="minorHAnsi" w:eastAsiaTheme="minorEastAsia" w:cstheme="minorBidi"/>
      <w:sz w:val="20"/>
      <w:szCs w:val="20"/>
    </w:rPr>
  </w:style>
  <w:style w:type="paragraph" w:customStyle="1" w:styleId="193">
    <w:name w:val="WPSOffice手动目录 2"/>
    <w:qFormat/>
    <w:uiPriority w:val="0"/>
    <w:pPr>
      <w:ind w:leftChars="200"/>
    </w:pPr>
    <w:rPr>
      <w:rFonts w:asciiTheme="minorHAnsi" w:hAnsiTheme="minorHAnsi" w:eastAsiaTheme="minorEastAsia" w:cstheme="minorBidi"/>
      <w:sz w:val="20"/>
      <w:szCs w:val="20"/>
    </w:rPr>
  </w:style>
  <w:style w:type="character" w:customStyle="1" w:styleId="194">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5">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6">
    <w:name w:val="179"/>
    <w:basedOn w:val="1"/>
    <w:qFormat/>
    <w:uiPriority w:val="0"/>
    <w:pPr>
      <w:spacing w:line="360" w:lineRule="auto"/>
      <w:ind w:firstLine="420" w:firstLineChars="200"/>
      <w:jc w:val="both"/>
      <w:textAlignment w:val="baseline"/>
    </w:pPr>
  </w:style>
  <w:style w:type="paragraph" w:customStyle="1" w:styleId="197">
    <w:name w:val="Heading3"/>
    <w:next w:val="198"/>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8">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9">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200">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201">
    <w:name w:val="Normal (Web)"/>
    <w:basedOn w:val="1"/>
    <w:qFormat/>
    <w:uiPriority w:val="0"/>
    <w:pPr>
      <w:widowControl/>
      <w:jc w:val="left"/>
    </w:pPr>
    <w:rPr>
      <w:rFonts w:hint="eastAsia" w:ascii="宋体" w:hAnsi="宋体" w:cs="Times New Roman"/>
      <w:kern w:val="0"/>
      <w:sz w:val="24"/>
    </w:rPr>
  </w:style>
  <w:style w:type="paragraph" w:customStyle="1" w:styleId="202">
    <w:name w:val="Other|1"/>
    <w:basedOn w:val="1"/>
    <w:qFormat/>
    <w:uiPriority w:val="0"/>
    <w:pPr>
      <w:widowControl w:val="0"/>
      <w:shd w:val="clear" w:color="auto" w:fill="auto"/>
      <w:jc w:val="center"/>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26644</Words>
  <Characters>29749</Characters>
  <Lines>210</Lines>
  <Paragraphs>59</Paragraphs>
  <TotalTime>0</TotalTime>
  <ScaleCrop>false</ScaleCrop>
  <LinksUpToDate>false</LinksUpToDate>
  <CharactersWithSpaces>30361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猫咪酱(≧▽≦)</cp:lastModifiedBy>
  <dcterms:modified xsi:type="dcterms:W3CDTF">2023-07-11T01:53:01Z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EC004FEE139F4ACF85D7E047B9F73737</vt:lpwstr>
  </property>
</Properties>
</file>