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pPr>
        <w:pStyle w:val="17"/>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left="0" w:leftChars="0" w:right="420" w:rightChars="200" w:firstLine="2560" w:firstLineChars="800"/>
        <w:jc w:val="left"/>
        <w:textAlignment w:val="auto"/>
        <w:rPr>
          <w:rFonts w:hint="default"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val="en-US" w:eastAsia="zh-CN"/>
        </w:rPr>
        <w:t>SXZC-2022-0005</w:t>
      </w:r>
    </w:p>
    <w:p>
      <w:pPr>
        <w:keepNext w:val="0"/>
        <w:keepLines w:val="0"/>
        <w:pageBreakBefore w:val="0"/>
        <w:widowControl w:val="0"/>
        <w:kinsoku/>
        <w:wordWrap/>
        <w:overflowPunct/>
        <w:topLinePunct w:val="0"/>
        <w:autoSpaceDE/>
        <w:autoSpaceDN/>
        <w:bidi w:val="0"/>
        <w:adjustRightInd/>
        <w:snapToGrid/>
        <w:ind w:right="420" w:rightChars="200" w:firstLine="2560" w:firstLineChars="800"/>
        <w:jc w:val="left"/>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val="en-US" w:eastAsia="zh-CN"/>
        </w:rPr>
        <w:t>实训室建设工程项目</w:t>
      </w:r>
    </w:p>
    <w:p>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left"/>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空调</w:t>
      </w:r>
    </w:p>
    <w:p>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pPr>
        <w:pStyle w:val="2"/>
        <w:rPr>
          <w:rFonts w:ascii="Times New Roman" w:hAnsi="Times New Roman" w:cs="Times New Roman"/>
          <w:color w:val="auto"/>
          <w:sz w:val="32"/>
          <w:szCs w:val="32"/>
        </w:rPr>
      </w:pPr>
    </w:p>
    <w:p>
      <w:pPr>
        <w:rPr>
          <w:rFonts w:ascii="Times New Roman" w:hAnsi="Times New Roman" w:cs="Times New Roman"/>
          <w:color w:val="auto"/>
          <w:sz w:val="32"/>
          <w:szCs w:val="32"/>
        </w:rPr>
      </w:pPr>
    </w:p>
    <w:p>
      <w:pPr>
        <w:pStyle w:val="2"/>
        <w:rPr>
          <w:color w:val="auto"/>
        </w:rPr>
      </w:pPr>
    </w:p>
    <w:p>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6月</w:t>
      </w:r>
    </w:p>
    <w:p>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19"/>
          <w:r>
            <w:rPr>
              <w:rFonts w:ascii="宋体" w:hAnsi="宋体" w:eastAsia="宋体"/>
              <w:b/>
              <w:bCs/>
              <w:color w:val="auto"/>
              <w:sz w:val="44"/>
              <w:szCs w:val="44"/>
            </w:rPr>
            <w:t>目录</w:t>
          </w:r>
        </w:p>
        <w:p>
          <w:pPr>
            <w:pStyle w:val="190"/>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第一章 邀请</w:t>
          </w:r>
          <w:r>
            <w:rPr>
              <w:rFonts w:hint="eastAsia"/>
              <w:b/>
              <w:color w:val="auto"/>
              <w:sz w:val="30"/>
              <w:szCs w:val="30"/>
              <w:lang w:val="en-US" w:eastAsia="zh-CN"/>
            </w:rPr>
            <w:t>函</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第二章磋商须知</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第六章响应文件格式</w:t>
          </w:r>
          <w:r>
            <w:rPr>
              <w:b/>
              <w:color w:val="auto"/>
              <w:sz w:val="30"/>
              <w:szCs w:val="30"/>
            </w:rPr>
            <w:fldChar w:fldCharType="end"/>
          </w: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ind w:left="0" w:leftChars="0" w:firstLine="0" w:firstLineChars="0"/>
            <w:rPr>
              <w:color w:val="auto"/>
            </w:rPr>
          </w:pPr>
        </w:p>
        <w:p>
          <w:pPr>
            <w:pStyle w:val="191"/>
            <w:tabs>
              <w:tab w:val="right" w:leader="dot" w:pos="8820"/>
            </w:tabs>
            <w:ind w:left="0" w:leftChars="0" w:firstLine="0" w:firstLineChars="0"/>
            <w:rPr>
              <w:color w:val="auto"/>
            </w:rPr>
          </w:pPr>
        </w:p>
        <w:p>
          <w:pPr>
            <w:pStyle w:val="191"/>
            <w:tabs>
              <w:tab w:val="right" w:leader="dot" w:pos="8820"/>
            </w:tabs>
            <w:rPr>
              <w:color w:val="auto"/>
            </w:rPr>
          </w:pPr>
        </w:p>
        <w:p>
          <w:pPr>
            <w:rPr>
              <w:color w:val="auto"/>
            </w:rPr>
          </w:pPr>
          <w:r>
            <w:rPr>
              <w:b/>
              <w:color w:val="auto"/>
            </w:rPr>
            <w:fldChar w:fldCharType="end"/>
          </w:r>
        </w:p>
      </w:sdtContent>
    </w:sdt>
    <w:p>
      <w:pPr>
        <w:numPr>
          <w:ilvl w:val="0"/>
          <w:numId w:val="4"/>
        </w:numPr>
        <w:spacing w:line="500" w:lineRule="exact"/>
        <w:jc w:val="center"/>
        <w:outlineLvl w:val="0"/>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pPr>
        <w:pStyle w:val="2"/>
        <w:numPr>
          <w:ilvl w:val="0"/>
          <w:numId w:val="0"/>
        </w:numPr>
        <w:rPr>
          <w:color w:val="auto"/>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职业技术教育中心实训室建设工程</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val="en-US" w:eastAsia="zh-CN"/>
        </w:rPr>
        <w:t>本项目竞争性磋商公告规定的提交响应文件截止时间前提交响应文件并签到。</w:t>
      </w: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28359089"/>
      <w:bookmarkStart w:id="3" w:name="_Toc35393629"/>
      <w:bookmarkStart w:id="4" w:name="_Toc17951"/>
      <w:bookmarkStart w:id="5" w:name="_Toc28359012"/>
      <w:bookmarkStart w:id="6" w:name="_Toc35393798"/>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SXZC-2022-0005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2022-02-001650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职业技术教育中心实训室建设工程</w:t>
      </w:r>
      <w:r>
        <w:rPr>
          <w:rFonts w:hint="eastAsia" w:ascii="宋体" w:hAnsi="宋体" w:eastAsia="宋体" w:cs="宋体"/>
          <w:color w:val="auto"/>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137.2</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val="en-US" w:eastAsia="zh-CN"/>
        </w:rPr>
        <w:t>空调395台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rPr>
        <w:t>合同履行期限：</w:t>
      </w:r>
      <w:r>
        <w:rPr>
          <w:rFonts w:hint="eastAsia" w:ascii="Times New Roman" w:hAnsi="Times New Roman" w:eastAsia="宋体" w:cs="Times New Roman"/>
          <w:color w:val="auto"/>
          <w:sz w:val="24"/>
          <w:szCs w:val="24"/>
        </w:rPr>
        <w:t>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1个月内完成</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28359090"/>
      <w:bookmarkStart w:id="8" w:name="_Toc30736"/>
      <w:bookmarkStart w:id="9" w:name="_Toc28359013"/>
      <w:bookmarkStart w:id="10" w:name="_Toc35393630"/>
      <w:bookmarkStart w:id="11" w:name="_Toc35393799"/>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14"/>
      <w:bookmarkStart w:id="13" w:name="_Toc28359091"/>
      <w:r>
        <w:rPr>
          <w:rFonts w:hint="eastAsia" w:ascii="宋体" w:hAnsi="宋体" w:eastAsia="宋体" w:cs="宋体"/>
          <w:color w:val="auto"/>
          <w:sz w:val="24"/>
          <w:szCs w:val="24"/>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b/>
          <w:bCs/>
          <w:color w:val="auto"/>
          <w:sz w:val="24"/>
          <w:szCs w:val="24"/>
          <w:lang w:val="en-US" w:eastAsia="zh-CN"/>
        </w:rPr>
        <w:t>专门面向中小企业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6、本项目的特定资格要求：无</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default" w:ascii="仿宋" w:hAnsi="仿宋" w:cs="仿宋"/>
          <w:color w:val="auto"/>
          <w:spacing w:val="-3"/>
          <w:sz w:val="24"/>
          <w:lang w:val="en-US" w:eastAsia="zh-CN"/>
        </w:rPr>
      </w:pPr>
      <w:r>
        <w:rPr>
          <w:rFonts w:hint="eastAsia" w:ascii="仿宋" w:hAnsi="仿宋" w:cs="仿宋"/>
          <w:color w:val="auto"/>
          <w:spacing w:val="-3"/>
          <w:sz w:val="24"/>
          <w:lang w:val="en-US" w:eastAsia="zh-CN"/>
        </w:rPr>
        <w:t>1、</w:t>
      </w:r>
      <w:r>
        <w:rPr>
          <w:rFonts w:hint="eastAsia" w:ascii="仿宋" w:hAnsi="仿宋" w:cs="仿宋"/>
          <w:color w:val="auto"/>
          <w:spacing w:val="-3"/>
          <w:sz w:val="24"/>
        </w:rPr>
        <w:t>时间：</w:t>
      </w:r>
      <w:r>
        <w:rPr>
          <w:rFonts w:hint="eastAsia" w:ascii="仿宋" w:hAnsi="仿宋" w:cs="仿宋"/>
          <w:color w:val="auto"/>
          <w:spacing w:val="-3"/>
          <w:sz w:val="24"/>
          <w:lang w:val="en-US" w:eastAsia="zh-CN"/>
        </w:rPr>
        <w:t>2022年6月27日至2022年7月1日，每天上午01:00 至12:00，下午13:00 至23:00（北京时间，法定节假日除外）。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2"/>
          <w:sz w:val="24"/>
          <w:lang w:val="en-US" w:eastAsia="zh-CN"/>
        </w:rPr>
      </w:pPr>
      <w:r>
        <w:rPr>
          <w:rFonts w:hint="eastAsia" w:ascii="仿宋" w:hAnsi="仿宋" w:cs="仿宋"/>
          <w:color w:val="auto"/>
          <w:spacing w:val="-3"/>
          <w:sz w:val="24"/>
          <w:lang w:val="en-US" w:eastAsia="zh-CN"/>
        </w:rPr>
        <w:t>2</w:t>
      </w:r>
      <w:r>
        <w:rPr>
          <w:rFonts w:hint="eastAsia" w:ascii="仿宋" w:hAnsi="仿宋" w:cs="仿宋"/>
          <w:color w:val="auto"/>
          <w:spacing w:val="-3"/>
          <w:sz w:val="24"/>
        </w:rPr>
        <w:t>、</w:t>
      </w:r>
      <w:r>
        <w:rPr>
          <w:rFonts w:hint="eastAsia" w:ascii="仿宋" w:hAnsi="仿宋" w:cs="仿宋"/>
          <w:color w:val="auto"/>
          <w:spacing w:val="-3"/>
          <w:sz w:val="24"/>
          <w:lang w:val="en-US" w:eastAsia="zh-CN"/>
        </w:rPr>
        <w:t>方式</w:t>
      </w:r>
      <w:r>
        <w:rPr>
          <w:rFonts w:hint="eastAsia" w:ascii="仿宋" w:hAnsi="仿宋" w:cs="仿宋"/>
          <w:color w:val="auto"/>
          <w:spacing w:val="-3"/>
          <w:sz w:val="24"/>
        </w:rPr>
        <w:t>：登录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政府电子采购平台直接获取</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lang w:val="en-US" w:eastAsia="zh-CN"/>
        </w:rPr>
      </w:pPr>
      <w:r>
        <w:rPr>
          <w:rFonts w:hint="eastAsia" w:ascii="仿宋" w:hAnsi="仿宋" w:cs="仿宋"/>
          <w:color w:val="auto"/>
          <w:spacing w:val="-3"/>
          <w:sz w:val="24"/>
          <w:lang w:val="en-US" w:eastAsia="zh-CN"/>
        </w:rPr>
        <w:t>1、开始时间：2022年7月2日08点00分（北京时间）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default" w:ascii="仿宋" w:hAnsi="仿宋" w:cs="仿宋"/>
          <w:color w:val="auto"/>
          <w:spacing w:val="-3"/>
          <w:sz w:val="24"/>
          <w:lang w:val="en-US"/>
        </w:rPr>
      </w:pPr>
      <w:r>
        <w:rPr>
          <w:rFonts w:hint="eastAsia" w:ascii="仿宋" w:hAnsi="仿宋" w:cs="仿宋"/>
          <w:color w:val="auto"/>
          <w:spacing w:val="-3"/>
          <w:sz w:val="24"/>
          <w:lang w:val="en-US" w:eastAsia="zh-CN"/>
        </w:rPr>
        <w:t>2、</w:t>
      </w:r>
      <w:r>
        <w:rPr>
          <w:rFonts w:hint="eastAsia" w:ascii="仿宋" w:hAnsi="仿宋" w:cs="仿宋"/>
          <w:color w:val="auto"/>
          <w:spacing w:val="-3"/>
          <w:sz w:val="24"/>
        </w:rPr>
        <w:t>截止时间：</w:t>
      </w:r>
      <w:r>
        <w:rPr>
          <w:rFonts w:hint="eastAsia" w:ascii="仿宋" w:hAnsi="仿宋" w:cs="仿宋"/>
          <w:color w:val="auto"/>
          <w:spacing w:val="-3"/>
          <w:sz w:val="24"/>
          <w:lang w:val="en-US" w:eastAsia="zh-CN"/>
        </w:rPr>
        <w:t>2022年7月7日09点30分（北京时间）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将加密的电子响应文件上传到项目所属区域内的电子响应文件栏目。逾期未完成上传或未按规定加密的响应文件，采购人将拒收。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lang w:val="en-US" w:eastAsia="zh-CN"/>
        </w:rPr>
      </w:pPr>
      <w:r>
        <w:rPr>
          <w:rFonts w:hint="eastAsia" w:ascii="仿宋" w:hAnsi="仿宋" w:cs="仿宋"/>
          <w:color w:val="auto"/>
          <w:spacing w:val="-3"/>
          <w:sz w:val="24"/>
          <w:lang w:val="en-US" w:eastAsia="zh-CN"/>
        </w:rPr>
        <w:t>1、</w:t>
      </w:r>
      <w:r>
        <w:rPr>
          <w:rFonts w:hint="eastAsia" w:ascii="仿宋" w:hAnsi="仿宋" w:cs="仿宋"/>
          <w:color w:val="auto"/>
          <w:spacing w:val="-3"/>
          <w:sz w:val="24"/>
          <w:lang w:eastAsia="zh-CN"/>
        </w:rPr>
        <w:t>时间：</w:t>
      </w:r>
      <w:r>
        <w:rPr>
          <w:rFonts w:hint="eastAsia" w:ascii="仿宋" w:hAnsi="仿宋" w:cs="仿宋"/>
          <w:color w:val="auto"/>
          <w:spacing w:val="-3"/>
          <w:sz w:val="24"/>
          <w:lang w:val="en-US" w:eastAsia="zh-CN"/>
        </w:rPr>
        <w:t>2022年7月7日09点30分（北京时间）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1</w:t>
      </w:r>
      <w:r>
        <w:rPr>
          <w:rFonts w:hint="eastAsia" w:ascii="宋体" w:hAnsi="宋体" w:eastAsia="宋体" w:cs="宋体"/>
          <w:b/>
          <w:bCs/>
          <w:color w:val="auto"/>
          <w:sz w:val="24"/>
          <w:szCs w:val="24"/>
          <w:lang w:val="en-US" w:eastAsia="zh-CN"/>
        </w:rPr>
        <w:t>、</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平台上传电子响应文件一份。投标过程中如遇系统操作问题可咨询：0722-3563205、全省供应商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2、政府采购相关政策执行：落实政府采购强制、优先采购节能产品政策；政府采购优先采购环保产品政策；政府采购促进中小企业发展（监狱企业、残疾人福利性单位视同小微企业）等政策。</w:t>
      </w:r>
    </w:p>
    <w:p>
      <w:pPr>
        <w:pStyle w:val="2"/>
        <w:ind w:left="0" w:leftChars="0" w:firstLine="480" w:firstLineChars="200"/>
        <w:rPr>
          <w:rFonts w:hint="eastAsia" w:ascii="宋体" w:hAnsi="宋体" w:eastAsia="宋体" w:cs="宋体"/>
          <w:i w:val="0"/>
          <w:iCs w:val="0"/>
          <w:color w:val="auto"/>
          <w:kern w:val="2"/>
          <w:sz w:val="24"/>
          <w:szCs w:val="24"/>
          <w:lang w:val="en-US" w:eastAsia="zh-CN" w:bidi="ar-SA"/>
        </w:rPr>
      </w:pPr>
      <w:r>
        <w:rPr>
          <w:rFonts w:hint="eastAsia" w:ascii="宋体" w:hAnsi="宋体" w:cs="宋体"/>
          <w:i w:val="0"/>
          <w:iCs w:val="0"/>
          <w:color w:val="auto"/>
          <w:kern w:val="2"/>
          <w:sz w:val="24"/>
          <w:szCs w:val="24"/>
          <w:lang w:val="en-US" w:eastAsia="zh-CN" w:bidi="ar-SA"/>
        </w:rPr>
        <w:t>3</w:t>
      </w:r>
      <w:r>
        <w:rPr>
          <w:rFonts w:hint="eastAsia" w:ascii="宋体" w:hAnsi="宋体" w:eastAsia="宋体" w:cs="宋体"/>
          <w:i w:val="0"/>
          <w:iCs w:val="0"/>
          <w:color w:val="auto"/>
          <w:kern w:val="2"/>
          <w:sz w:val="24"/>
          <w:szCs w:val="24"/>
          <w:lang w:val="en-US" w:eastAsia="zh-CN" w:bidi="ar-SA"/>
        </w:rPr>
        <w:t>、为支持扶持中小微企业及推进“政采贷”政策落实，目前随县已开通的“政采</w:t>
      </w:r>
    </w:p>
    <w:p>
      <w:pPr>
        <w:pStyle w:val="2"/>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贷”银行有2家，联系方式如下：</w:t>
      </w:r>
      <w:r>
        <w:rPr>
          <w:rFonts w:hint="eastAsia" w:ascii="宋体" w:hAnsi="宋体" w:cs="宋体"/>
          <w:i w:val="0"/>
          <w:iCs w:val="0"/>
          <w:color w:val="auto"/>
          <w:kern w:val="2"/>
          <w:sz w:val="24"/>
          <w:szCs w:val="24"/>
          <w:lang w:val="en-US" w:eastAsia="zh-CN" w:bidi="ar-SA"/>
        </w:rPr>
        <w:t>（</w:t>
      </w:r>
      <w:r>
        <w:rPr>
          <w:rFonts w:hint="eastAsia" w:ascii="宋体" w:hAnsi="宋体" w:eastAsia="宋体" w:cs="宋体"/>
          <w:i w:val="0"/>
          <w:iCs w:val="0"/>
          <w:color w:val="auto"/>
          <w:kern w:val="2"/>
          <w:sz w:val="24"/>
          <w:szCs w:val="24"/>
          <w:lang w:val="en-US" w:eastAsia="zh-CN" w:bidi="ar-SA"/>
        </w:rPr>
        <w:t>1）建设银行随县支行：0722-3338009；</w:t>
      </w:r>
      <w:r>
        <w:rPr>
          <w:rFonts w:hint="eastAsia" w:ascii="宋体" w:hAnsi="宋体" w:cs="宋体"/>
          <w:i w:val="0"/>
          <w:iCs w:val="0"/>
          <w:color w:val="auto"/>
          <w:kern w:val="2"/>
          <w:sz w:val="24"/>
          <w:szCs w:val="24"/>
          <w:lang w:val="en-US" w:eastAsia="zh-CN" w:bidi="ar-SA"/>
        </w:rPr>
        <w:t>（</w:t>
      </w:r>
      <w:r>
        <w:rPr>
          <w:rFonts w:hint="eastAsia" w:ascii="宋体" w:hAnsi="宋体" w:eastAsia="宋体" w:cs="宋体"/>
          <w:i w:val="0"/>
          <w:iCs w:val="0"/>
          <w:color w:val="auto"/>
          <w:kern w:val="2"/>
          <w:sz w:val="24"/>
          <w:szCs w:val="24"/>
          <w:lang w:val="en-US" w:eastAsia="zh-CN" w:bidi="ar-SA"/>
        </w:rPr>
        <w:t>2）邮储银行随县支行：0722-3338</w:t>
      </w:r>
      <w:r>
        <w:rPr>
          <w:rFonts w:hint="eastAsia" w:ascii="宋体" w:hAnsi="宋体" w:cs="宋体"/>
          <w:i w:val="0"/>
          <w:iCs w:val="0"/>
          <w:color w:val="auto"/>
          <w:kern w:val="2"/>
          <w:sz w:val="24"/>
          <w:szCs w:val="24"/>
          <w:lang w:val="en-US" w:eastAsia="zh-CN" w:bidi="ar-SA"/>
        </w:rPr>
        <w:t>922</w:t>
      </w:r>
      <w:r>
        <w:rPr>
          <w:rFonts w:hint="eastAsia" w:ascii="宋体" w:hAnsi="宋体" w:eastAsia="宋体" w:cs="宋体"/>
          <w:i w:val="0"/>
          <w:iCs w:val="0"/>
          <w:color w:val="auto"/>
          <w:kern w:val="2"/>
          <w:sz w:val="24"/>
          <w:szCs w:val="24"/>
          <w:lang w:val="en-US" w:eastAsia="zh-CN" w:bidi="ar-SA"/>
        </w:rPr>
        <w:t>。</w:t>
      </w:r>
    </w:p>
    <w:p>
      <w:pPr>
        <w:overflowPunct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质疑：供应商对磋商文件、采购过程和中标结果使自己的权益受到损害的，可以在知道或者应知其权益受到损害之日起7个工作日内，向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：万栋</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35393805"/>
      <w:bookmarkStart w:id="20" w:name="_Toc28359095"/>
      <w:bookmarkStart w:id="21" w:name="_Toc35393636"/>
      <w:bookmarkStart w:id="22" w:name="_Toc24012"/>
      <w:bookmarkStart w:id="23" w:name="_Toc20538"/>
      <w:bookmarkStart w:id="24" w:name="_Toc28359018"/>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职业技术教育中心</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随县厉山镇随岳高速路口</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联系人：张晓红</w:t>
      </w:r>
      <w:r>
        <w:rPr>
          <w:rFonts w:hint="eastAsia" w:ascii="宋体" w:hAnsi="宋体" w:eastAsia="宋体" w:cs="宋体"/>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25" w:name="_Toc35393638"/>
      <w:bookmarkStart w:id="26" w:name="_Toc28359020"/>
      <w:bookmarkStart w:id="27" w:name="_Toc35393807"/>
      <w:bookmarkStart w:id="28" w:name="_Toc28359097"/>
      <w:r>
        <w:rPr>
          <w:rFonts w:hint="eastAsia" w:ascii="宋体" w:hAnsi="宋体" w:eastAsia="宋体" w:cs="宋体"/>
          <w:color w:val="auto"/>
          <w:sz w:val="24"/>
          <w:szCs w:val="24"/>
          <w:lang w:val="en-US" w:eastAsia="zh-CN"/>
        </w:rPr>
        <w:t>0722-3567167</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6</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24</w:t>
      </w:r>
      <w:r>
        <w:rPr>
          <w:rFonts w:hint="eastAsia" w:asciiTheme="minorEastAsia" w:hAnsi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9"/>
        <w:rPr>
          <w:rFonts w:hint="eastAsia" w:ascii="Times New Roman" w:hAnsi="Times New Roman" w:cs="Times New Roman"/>
          <w:b/>
          <w:color w:val="auto"/>
          <w:sz w:val="36"/>
          <w:szCs w:val="36"/>
          <w:lang w:val="hr-HR" w:bidi="ar-EG"/>
        </w:rPr>
      </w:pPr>
      <w:bookmarkStart w:id="29" w:name="_Toc6463"/>
    </w:p>
    <w:p>
      <w:pPr>
        <w:pStyle w:val="2"/>
        <w:rPr>
          <w:rFonts w:hint="eastAsia" w:ascii="Times New Roman" w:hAnsi="Times New Roman" w:cs="Times New Roman"/>
          <w:b/>
          <w:color w:val="auto"/>
          <w:sz w:val="36"/>
          <w:szCs w:val="36"/>
          <w:lang w:val="hr-HR" w:bidi="ar-EG"/>
        </w:rPr>
      </w:pPr>
    </w:p>
    <w:bookmarkEnd w:id="29"/>
    <w:p>
      <w:bookmarkStart w:id="30" w:name="_Toc22032"/>
    </w:p>
    <w:p>
      <w:pPr>
        <w:pStyle w:val="2"/>
      </w:pPr>
    </w:p>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1" w:name="_Toc6368"/>
      <w:r>
        <w:rPr>
          <w:rFonts w:hint="eastAsia" w:ascii="Times New Roman" w:hAnsi="Times New Roman" w:cs="Times New Roman"/>
          <w:b/>
          <w:color w:val="auto"/>
          <w:sz w:val="36"/>
          <w:szCs w:val="36"/>
          <w:lang w:val="hr-HR" w:bidi="ar-EG"/>
        </w:rPr>
        <w:t>第二章磋商须知</w:t>
      </w:r>
      <w:bookmarkEnd w:id="31"/>
    </w:p>
    <w:p>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pPr>
        <w:pStyle w:val="161"/>
        <w:keepNext w:val="0"/>
        <w:keepLines w:val="0"/>
        <w:pageBreakBefore w:val="0"/>
        <w:widowControl w:val="0"/>
        <w:numPr>
          <w:ilvl w:val="0"/>
          <w:numId w:val="7"/>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pPr>
        <w:pStyle w:val="161"/>
        <w:ind w:left="480" w:firstLine="0" w:firstLineChars="0"/>
        <w:rPr>
          <w:rFonts w:ascii="Times New Roman" w:hAnsi="Times New Roman"/>
          <w:color w:val="auto"/>
          <w:sz w:val="24"/>
          <w:szCs w:val="24"/>
        </w:rPr>
      </w:pPr>
    </w:p>
    <w:tbl>
      <w:tblPr>
        <w:tblStyle w:val="4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2022-02-001650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职业技术教育中心实训室建设工程</w:t>
            </w:r>
            <w:r>
              <w:rPr>
                <w:rFonts w:hint="eastAsia" w:ascii="宋体" w:hAnsi="宋体" w:eastAsia="宋体" w:cs="宋体"/>
                <w:color w:val="auto"/>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395台空调</w:t>
            </w: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r>
              <w:rPr>
                <w:rFonts w:hint="eastAsia" w:ascii="Times New Roman" w:hAnsi="Times New Roman" w:eastAsia="宋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137.2</w:t>
            </w:r>
            <w:r>
              <w:rPr>
                <w:rFonts w:hint="eastAsia" w:ascii="Times New Roman" w:hAnsi="Times New Roman" w:eastAsia="宋体" w:cs="Times New Roman"/>
                <w:color w:val="auto"/>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color w:val="auto"/>
                <w:kern w:val="0"/>
                <w:sz w:val="24"/>
                <w:szCs w:val="24"/>
              </w:rPr>
              <w:fldChar w:fldCharType="separate"/>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异常的公式结尾</w:t>
            </w:r>
            <w:r>
              <w:rPr>
                <w:rFonts w:ascii="Times New Roman" w:hAnsi="Times New Roman" w:cs="Times New Roman"/>
                <w:color w:val="auto"/>
                <w:kern w:val="0"/>
                <w:sz w:val="24"/>
                <w:szCs w:val="24"/>
              </w:rPr>
              <w:fldChar w:fldCharType="end"/>
            </w:r>
            <w:r>
              <w:rPr>
                <w:rFonts w:hint="eastAsia" w:ascii="Times New Roman" w:hAnsi="Times New Roman" w:cs="Times New Roman"/>
                <w:color w:val="auto"/>
                <w:kern w:val="0"/>
                <w:sz w:val="24"/>
                <w:szCs w:val="24"/>
              </w:rPr>
              <w:t>名</w:t>
            </w:r>
            <w:r>
              <w:rPr>
                <w:rFonts w:hint="eastAsia" w:ascii="Times New Roman" w:hAnsi="Times New Roman" w:eastAsia="宋体" w:cs="Times New Roman"/>
                <w:color w:val="auto"/>
                <w:kern w:val="0"/>
                <w:sz w:val="24"/>
                <w:szCs w:val="24"/>
              </w:rPr>
              <w:t>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lang w:val="en-US" w:eastAsia="zh-CN"/>
              </w:rPr>
              <w:t>职业技术教育中心</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张晓红</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联系方式：</w:t>
            </w:r>
            <w:r>
              <w:rPr>
                <w:rFonts w:hint="eastAsia" w:ascii="宋体" w:hAnsi="宋体" w:eastAsia="宋体" w:cs="宋体"/>
                <w:color w:val="auto"/>
                <w:sz w:val="24"/>
                <w:szCs w:val="24"/>
                <w:lang w:val="en-US" w:eastAsia="zh-CN"/>
              </w:rPr>
              <w:t>0722-3567167</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地    址：</w:t>
            </w:r>
            <w:r>
              <w:rPr>
                <w:rFonts w:hint="eastAsia" w:ascii="宋体" w:hAnsi="宋体" w:eastAsia="宋体" w:cs="宋体"/>
                <w:color w:val="auto"/>
                <w:sz w:val="24"/>
                <w:szCs w:val="24"/>
                <w:lang w:val="en-US" w:eastAsia="zh-CN"/>
              </w:rPr>
              <w:t>随县厉山镇随岳高速路口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万 栋</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pPr>
              <w:numPr>
                <w:ilvl w:val="0"/>
                <w:numId w:val="8"/>
              </w:numPr>
              <w:ind w:left="638" w:leftChars="0" w:hanging="638" w:hangingChars="266"/>
              <w:rPr>
                <w:rFonts w:ascii="Times New Roman" w:hAnsi="Times New Roman" w:eastAsia="宋体" w:cs="Times New Roman"/>
                <w:color w:val="auto"/>
                <w:sz w:val="24"/>
              </w:rPr>
            </w:pPr>
            <w:r>
              <w:rPr>
                <w:rFonts w:ascii="Times New Roman" w:hAnsi="Times New Roman" w:eastAsia="宋体" w:cs="Times New Roman"/>
                <w:color w:val="auto"/>
                <w:sz w:val="24"/>
              </w:rPr>
              <w:t>供应商应</w:t>
            </w:r>
            <w:r>
              <w:rPr>
                <w:rFonts w:hint="eastAsia" w:ascii="Times New Roman" w:hAnsi="Times New Roman" w:eastAsia="宋体" w:cs="Times New Roman"/>
                <w:color w:val="auto"/>
                <w:sz w:val="24"/>
              </w:rPr>
              <w:t>满足</w:t>
            </w:r>
            <w:r>
              <w:rPr>
                <w:rFonts w:ascii="Times New Roman" w:hAnsi="Times New Roman" w:eastAsia="宋体" w:cs="Times New Roman"/>
                <w:color w:val="auto"/>
                <w:sz w:val="24"/>
              </w:rPr>
              <w:t>《</w:t>
            </w:r>
            <w:r>
              <w:rPr>
                <w:rFonts w:hint="eastAsia" w:ascii="Times New Roman" w:hAnsi="Times New Roman" w:eastAsia="宋体" w:cs="Times New Roman"/>
                <w:color w:val="auto"/>
                <w:sz w:val="24"/>
              </w:rPr>
              <w:t>中华人民</w:t>
            </w:r>
            <w:r>
              <w:rPr>
                <w:rFonts w:ascii="Times New Roman" w:hAnsi="Times New Roman" w:eastAsia="宋体" w:cs="Times New Roman"/>
                <w:color w:val="auto"/>
                <w:sz w:val="24"/>
              </w:rPr>
              <w:t>共和国政府采购法》第二十二条规定的相关条件；</w:t>
            </w:r>
          </w:p>
          <w:p>
            <w:pPr>
              <w:widowControl/>
              <w:spacing w:line="360" w:lineRule="auto"/>
              <w:rPr>
                <w:rFonts w:ascii="Times New Roman" w:hAnsi="Times New Roman" w:eastAsia="宋体" w:cs="Times New Roman"/>
                <w:color w:val="auto"/>
                <w:sz w:val="24"/>
              </w:rPr>
            </w:pPr>
            <w:r>
              <w:rPr>
                <w:rFonts w:hint="eastAsia" w:ascii="Times New Roman" w:hAnsi="Times New Roman" w:eastAsia="宋体" w:cs="Times New Roman"/>
                <w:color w:val="auto"/>
                <w:kern w:val="0"/>
                <w:sz w:val="24"/>
                <w:szCs w:val="24"/>
              </w:rPr>
              <w:t>（2）</w:t>
            </w:r>
            <w:r>
              <w:rPr>
                <w:rFonts w:hint="eastAsia" w:ascii="Times New Roman" w:hAnsi="Times New Roman" w:eastAsia="宋体" w:cs="Times New Roman"/>
                <w:color w:val="auto"/>
                <w:sz w:val="24"/>
              </w:rPr>
              <w:t>单位负责人为同一人或者存在直接控股、管理关系的不同投标人，不得参加本项目同一合同项下的政府采购活动。</w:t>
            </w:r>
          </w:p>
          <w:p>
            <w:pPr>
              <w:pStyle w:val="2"/>
              <w:numPr>
                <w:ilvl w:val="0"/>
                <w:numId w:val="0"/>
              </w:numPr>
              <w:rPr>
                <w:rFonts w:hint="eastAsia"/>
              </w:rPr>
            </w:pPr>
          </w:p>
          <w:p>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3</w:t>
            </w:r>
            <w:r>
              <w:rPr>
                <w:rFonts w:hint="eastAsia" w:ascii="Times New Roman" w:hAnsi="Times New Roman" w:eastAsia="宋体" w:cs="Times New Roman"/>
                <w:color w:val="auto"/>
                <w:kern w:val="0"/>
                <w:sz w:val="24"/>
                <w:szCs w:val="24"/>
              </w:rPr>
              <w:t>）未被列入“信用中国”、“中国政府采购网”失信被执行人、重大税收违法案件当事人名单、政府采购严重违法失信行为记录名单。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pPr>
              <w:pStyle w:val="89"/>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89"/>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C0504D" w:themeColor="accent2"/>
                <w:sz w:val="24"/>
                <w:szCs w:val="24"/>
                <w:lang w:val="en-US"/>
                <w14:textFill>
                  <w14:solidFill>
                    <w14:schemeClr w14:val="accent2"/>
                  </w14:solidFill>
                </w14:textFill>
              </w:rPr>
              <w:t>由采购人代表和</w:t>
            </w:r>
            <w:r>
              <w:rPr>
                <w:rFonts w:ascii="Times New Roman" w:hAnsi="Times New Roman" w:cs="Times New Roman"/>
                <w:color w:val="C0504D" w:themeColor="accent2"/>
                <w:sz w:val="24"/>
                <w:szCs w:val="24"/>
                <w:u w:val="single"/>
                <w:lang w:val="en-US"/>
                <w14:textFill>
                  <w14:solidFill>
                    <w14:schemeClr w14:val="accent2"/>
                  </w14:solidFill>
                </w14:textFill>
              </w:rPr>
              <w:t xml:space="preserve"> 2 </w:t>
            </w:r>
            <w:r>
              <w:rPr>
                <w:rFonts w:ascii="Times New Roman" w:hAnsi="Times New Roman" w:cs="Times New Roman"/>
                <w:color w:val="C0504D" w:themeColor="accent2"/>
                <w:sz w:val="24"/>
                <w:szCs w:val="24"/>
                <w:lang w:val="en-US"/>
                <w14:textFill>
                  <w14:solidFill>
                    <w14:schemeClr w14:val="accent2"/>
                  </w14:solidFill>
                </w14:textFill>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kern w:val="0"/>
                <w:sz w:val="24"/>
                <w:szCs w:val="24"/>
              </w:rPr>
              <w:t>磋商时间：</w:t>
            </w:r>
            <w:r>
              <w:rPr>
                <w:rFonts w:hint="eastAsia" w:ascii="宋体" w:hAnsi="宋体" w:eastAsia="宋体" w:cs="宋体"/>
                <w:color w:val="auto"/>
                <w:sz w:val="24"/>
                <w:szCs w:val="24"/>
                <w:lang w:val="en-US" w:eastAsia="zh-CN"/>
              </w:rPr>
              <w:t>详见竞争性磋商公告</w:t>
            </w:r>
            <w:r>
              <w:rPr>
                <w:rFonts w:hint="eastAsia" w:ascii="Times New Roman" w:hAnsi="Times New Roman" w:eastAsia="宋体" w:cs="Times New Roman"/>
                <w:b/>
                <w:bCs/>
                <w:color w:val="0000FF"/>
                <w:kern w:val="0"/>
                <w:sz w:val="24"/>
                <w:szCs w:val="24"/>
                <w:lang w:val="en-US" w:eastAsia="zh-CN"/>
              </w:rPr>
              <w:t>。</w:t>
            </w:r>
          </w:p>
          <w:p>
            <w:pPr>
              <w:rPr>
                <w:rFonts w:hint="eastAsia"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rPr>
              <w:t>供应商法人或授权代表应携带随州</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电子采购平台具有电子签章功能的CA锁，于递交响应文件截止时间前，到磋商现场或线上解密响应文件，参加磋商过程。为了确保视频磋商效果，建议供应商携带安装湖北省政府采购电子平台相关软件，且调试完好的计算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numPr>
                <w:ilvl w:val="0"/>
                <w:numId w:val="9"/>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本项目非专门面向中小企业</w:t>
            </w:r>
          </w:p>
          <w:p>
            <w:pPr>
              <w:pStyle w:val="89"/>
              <w:numPr>
                <w:ilvl w:val="0"/>
                <w:numId w:val="9"/>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pPr>
              <w:pStyle w:val="89"/>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ascii="Times New Roman" w:hAnsi="Times New Roman" w:cs="Times New Roman"/>
                <w:color w:val="auto"/>
                <w:sz w:val="24"/>
                <w:szCs w:val="24"/>
              </w:rPr>
              <w:t>6%</w:t>
            </w:r>
            <w:r>
              <w:rPr>
                <w:rFonts w:hint="eastAsia" w:ascii="Times New Roman" w:hAnsi="Times New Roman" w:cs="Times New Roman"/>
                <w:color w:val="auto"/>
                <w:sz w:val="24"/>
                <w:szCs w:val="24"/>
              </w:rPr>
              <w:t>的价格扣除。</w:t>
            </w:r>
          </w:p>
          <w:p>
            <w:pPr>
              <w:pStyle w:val="89"/>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8"/>
                <w:rFonts w:hint="eastAsia"/>
                <w:color w:val="auto"/>
                <w:sz w:val="24"/>
              </w:rPr>
              <w:t>https://dzcg.hubeigp.gov.cn/assets/special/100/hbenterpoint.html</w:t>
            </w:r>
            <w:r>
              <w:rPr>
                <w:rStyle w:val="48"/>
                <w:rFonts w:hint="eastAsia"/>
                <w:color w:val="auto"/>
                <w:sz w:val="24"/>
                <w:lang w:eastAsia="zh-CN"/>
              </w:rPr>
              <w:t>）</w:t>
            </w:r>
            <w:r>
              <w:rPr>
                <w:rStyle w:val="48"/>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pPr>
              <w:ind w:left="278" w:hanging="278" w:hangingChars="116"/>
              <w:rPr>
                <w:color w:val="auto"/>
                <w:sz w:val="24"/>
              </w:rPr>
            </w:pPr>
            <w:r>
              <w:rPr>
                <w:color w:val="auto"/>
                <w:sz w:val="24"/>
              </w:rPr>
              <w:t>（3）交易平台环境要求：</w:t>
            </w:r>
          </w:p>
          <w:p>
            <w:pPr>
              <w:ind w:left="214" w:leftChars="85" w:hanging="36" w:hangingChars="15"/>
              <w:rPr>
                <w:color w:val="auto"/>
                <w:sz w:val="24"/>
              </w:rPr>
            </w:pPr>
            <w:r>
              <w:rPr>
                <w:color w:val="auto"/>
                <w:sz w:val="24"/>
              </w:rPr>
              <w:t>①操作系统：Windows 7及以上版本；</w:t>
            </w:r>
          </w:p>
          <w:p>
            <w:pPr>
              <w:ind w:left="214" w:leftChars="85" w:hanging="36" w:hangingChars="15"/>
              <w:rPr>
                <w:color w:val="auto"/>
                <w:sz w:val="24"/>
              </w:rPr>
            </w:pPr>
            <w:r>
              <w:rPr>
                <w:color w:val="auto"/>
                <w:sz w:val="24"/>
              </w:rPr>
              <w:t>②浏览器：360浏览器、Internet Explorer 11、10；</w:t>
            </w:r>
          </w:p>
          <w:p>
            <w:pPr>
              <w:ind w:left="214" w:leftChars="85" w:hanging="36" w:hangingChars="15"/>
              <w:rPr>
                <w:color w:val="auto"/>
                <w:sz w:val="24"/>
              </w:rPr>
            </w:pPr>
            <w:r>
              <w:rPr>
                <w:color w:val="auto"/>
                <w:sz w:val="24"/>
              </w:rPr>
              <w:t>③办公软件：Microsoft Office 2007-2016完整版、WPS Office 2019个人版、WPS Office 企业版；</w:t>
            </w:r>
          </w:p>
          <w:p>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pPr>
        <w:spacing w:line="500" w:lineRule="exact"/>
        <w:jc w:val="center"/>
        <w:rPr>
          <w:rFonts w:ascii="Times New Roman" w:hAnsi="Times New Roman" w:cs="Times New Roman"/>
          <w:b/>
          <w:color w:val="auto"/>
          <w:sz w:val="24"/>
          <w:szCs w:val="24"/>
          <w:lang w:val="hr-HR" w:bidi="ar-EG"/>
        </w:rPr>
      </w:pPr>
      <w:r>
        <w:rPr>
          <w:rFonts w:hint="eastAsia" w:ascii="Times New Roman" w:hAnsi="Times New Roman" w:cs="Times New Roman"/>
          <w:b/>
          <w:color w:val="auto"/>
          <w:sz w:val="24"/>
          <w:szCs w:val="24"/>
          <w:lang w:val="hr-HR" w:bidi="ar-EG"/>
        </w:rPr>
        <w:t>二、供应商须知</w:t>
      </w:r>
    </w:p>
    <w:p>
      <w:pPr>
        <w:spacing w:line="440" w:lineRule="exact"/>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并提供相关证明材料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rPr>
        <w:t>两天</w:t>
      </w:r>
      <w:r>
        <w:rPr>
          <w:rFonts w:hint="eastAsia" w:ascii="Times New Roman" w:hAnsi="Times New Roman" w:cs="Times New Roman"/>
          <w:color w:val="auto"/>
          <w:sz w:val="24"/>
          <w:szCs w:val="24"/>
        </w:rPr>
        <w:t>前以书面形式要求采购单位作出书面澄清。对于在此时间之后递交的询问或质疑，不予受理。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15</w:t>
      </w:r>
      <w:r>
        <w:rPr>
          <w:rFonts w:hint="eastAsia" w:ascii="Times New Roman" w:hAnsi="Times New Roman" w:cs="Times New Roman"/>
          <w:bCs/>
          <w:color w:val="auto"/>
          <w:sz w:val="24"/>
          <w:szCs w:val="24"/>
        </w:rPr>
        <w:t>）供应商认为需要提供的其他资格证明文件及资料。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2" w:name="_Toc9068"/>
      <w:bookmarkStart w:id="33" w:name="_Toc3291"/>
      <w:r>
        <w:rPr>
          <w:rFonts w:hint="eastAsia" w:ascii="Times New Roman" w:hAnsi="Times New Roman" w:eastAsia="黑体" w:cs="Times New Roman"/>
          <w:color w:val="auto"/>
          <w:sz w:val="24"/>
          <w:szCs w:val="24"/>
        </w:rPr>
        <w:t>四、报价要求</w:t>
      </w:r>
      <w:bookmarkEnd w:id="32"/>
      <w:bookmarkEnd w:id="33"/>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pPr>
        <w:pStyle w:val="51"/>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bCs/>
          <w:color w:val="auto"/>
          <w:sz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pPr>
        <w:pStyle w:val="17"/>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8"/>
          <w:szCs w:val="28"/>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pStyle w:val="2"/>
        <w:rPr>
          <w:color w:val="auto"/>
        </w:rPr>
      </w:pPr>
    </w:p>
    <w:p>
      <w:pPr>
        <w:rPr>
          <w:color w:val="auto"/>
        </w:rPr>
      </w:pPr>
    </w:p>
    <w:p>
      <w:pPr>
        <w:pStyle w:val="2"/>
        <w:rPr>
          <w:color w:val="auto"/>
        </w:rPr>
      </w:pPr>
    </w:p>
    <w:p>
      <w:pPr>
        <w:rPr>
          <w:color w:val="auto"/>
        </w:rPr>
      </w:pPr>
    </w:p>
    <w:p>
      <w:pPr>
        <w:pStyle w:val="2"/>
        <w:ind w:left="0" w:leftChars="0" w:firstLine="0" w:firstLineChars="0"/>
        <w:rPr>
          <w:color w:val="auto"/>
        </w:rPr>
      </w:pPr>
    </w:p>
    <w:p>
      <w:pPr>
        <w:rPr>
          <w:color w:val="auto"/>
        </w:rPr>
      </w:pPr>
    </w:p>
    <w:p>
      <w:pPr>
        <w:rPr>
          <w:color w:val="auto"/>
        </w:rPr>
      </w:pPr>
    </w:p>
    <w:p>
      <w:pPr>
        <w:numPr>
          <w:ilvl w:val="0"/>
          <w:numId w:val="10"/>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4"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30"/>
      <w:bookmarkEnd w:id="34"/>
      <w:bookmarkStart w:id="35" w:name="_Toc1458930"/>
      <w:bookmarkStart w:id="36" w:name="_Toc432753211"/>
      <w:bookmarkStart w:id="37" w:name="_Toc78299292"/>
    </w:p>
    <w:p>
      <w:pPr>
        <w:pStyle w:val="2"/>
        <w:numPr>
          <w:ilvl w:val="0"/>
          <w:numId w:val="0"/>
        </w:numPr>
        <w:rPr>
          <w:color w:val="auto"/>
          <w:lang w:val="hr-HR"/>
        </w:rPr>
      </w:pPr>
    </w:p>
    <w:bookmarkEnd w:id="35"/>
    <w:bookmarkEnd w:id="36"/>
    <w:bookmarkEnd w:id="37"/>
    <w:p>
      <w:pPr>
        <w:spacing w:after="156" w:afterLines="50" w:line="360" w:lineRule="auto"/>
        <w:ind w:firstLine="480" w:firstLineChars="200"/>
        <w:jc w:val="both"/>
        <w:outlineLvl w:val="0"/>
        <w:rPr>
          <w:rFonts w:ascii="宋体" w:hAnsi="宋体" w:eastAsia="宋体" w:cs="宋体"/>
          <w:color w:val="auto"/>
          <w:sz w:val="24"/>
          <w:szCs w:val="24"/>
        </w:rPr>
      </w:pPr>
      <w:bookmarkStart w:id="38" w:name="_Toc2507"/>
      <w:bookmarkStart w:id="39" w:name="_Toc23295"/>
      <w:r>
        <w:rPr>
          <w:rFonts w:hint="eastAsia" w:ascii="宋体" w:hAnsi="宋体" w:eastAsia="宋体" w:cs="宋体"/>
          <w:color w:val="auto"/>
          <w:sz w:val="24"/>
          <w:szCs w:val="24"/>
        </w:rPr>
        <w:t>依据政府集中采购要求，现委托随县政府采购中心就“随县职业技术教育中心教学设施设备采购项目”以竞争性磋商的方式进行采购。</w:t>
      </w:r>
    </w:p>
    <w:p>
      <w:pPr>
        <w:spacing w:after="156" w:afterLines="50" w:line="360" w:lineRule="auto"/>
        <w:ind w:firstLine="480" w:firstLineChars="200"/>
        <w:jc w:val="both"/>
        <w:outlineLvl w:val="0"/>
        <w:rPr>
          <w:rFonts w:hint="eastAsia" w:ascii="宋体" w:hAnsi="宋体" w:eastAsia="宋体" w:cs="宋体"/>
          <w:color w:val="auto"/>
          <w:sz w:val="24"/>
          <w:szCs w:val="24"/>
        </w:rPr>
      </w:pPr>
      <w:r>
        <w:rPr>
          <w:rFonts w:hint="eastAsia" w:ascii="宋体" w:hAnsi="宋体" w:eastAsia="宋体" w:cs="宋体"/>
          <w:color w:val="auto"/>
          <w:sz w:val="24"/>
          <w:szCs w:val="24"/>
        </w:rPr>
        <w:t>本项目采购预算：人民币137.2万元；最高限价：人民币137.2万元。</w:t>
      </w:r>
    </w:p>
    <w:p>
      <w:pPr>
        <w:rPr>
          <w:rFonts w:ascii="宋体" w:hAnsi="宋体"/>
          <w:b/>
          <w:sz w:val="28"/>
          <w:szCs w:val="28"/>
        </w:rPr>
      </w:pPr>
      <w:bookmarkStart w:id="40" w:name="_Toc75007952"/>
      <w:bookmarkStart w:id="41" w:name="_Toc1458932"/>
      <w:r>
        <w:rPr>
          <w:rFonts w:hint="eastAsia" w:ascii="宋体" w:hAnsi="宋体"/>
          <w:b/>
          <w:sz w:val="28"/>
          <w:szCs w:val="28"/>
        </w:rPr>
        <w:t>一、采购清单</w:t>
      </w:r>
      <w:bookmarkEnd w:id="40"/>
      <w:bookmarkEnd w:id="41"/>
    </w:p>
    <w:p>
      <w:pPr>
        <w:rPr>
          <w:rFonts w:ascii="宋体" w:hAnsi="宋体"/>
          <w:sz w:val="24"/>
        </w:rPr>
      </w:pPr>
      <w:r>
        <w:rPr>
          <w:rFonts w:hint="eastAsia" w:ascii="宋体" w:hAnsi="宋体"/>
          <w:sz w:val="24"/>
        </w:rPr>
        <w:t>说明：文件中“★”标注的技术、服务及商务要求为实质性要求，应满足或优于。</w:t>
      </w:r>
    </w:p>
    <w:p>
      <w:pPr>
        <w:rPr>
          <w:rFonts w:ascii="宋体" w:hAnsi="宋体"/>
          <w:sz w:val="24"/>
        </w:rPr>
      </w:pPr>
    </w:p>
    <w:tbl>
      <w:tblPr>
        <w:tblStyle w:val="42"/>
        <w:tblW w:w="8789" w:type="dxa"/>
        <w:tblInd w:w="250" w:type="dxa"/>
        <w:tblLayout w:type="fixed"/>
        <w:tblCellMar>
          <w:top w:w="0" w:type="dxa"/>
          <w:left w:w="108" w:type="dxa"/>
          <w:bottom w:w="0" w:type="dxa"/>
          <w:right w:w="108" w:type="dxa"/>
        </w:tblCellMar>
      </w:tblPr>
      <w:tblGrid>
        <w:gridCol w:w="851"/>
        <w:gridCol w:w="849"/>
        <w:gridCol w:w="1560"/>
        <w:gridCol w:w="851"/>
        <w:gridCol w:w="850"/>
        <w:gridCol w:w="1985"/>
        <w:gridCol w:w="1843"/>
      </w:tblGrid>
      <w:tr>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bookmarkStart w:id="42" w:name="_Toc511894509"/>
            <w:bookmarkStart w:id="43" w:name="_Toc494561953"/>
            <w:bookmarkStart w:id="44" w:name="_Toc511889431"/>
            <w:bookmarkStart w:id="45" w:name="_Toc68535320"/>
            <w:r>
              <w:rPr>
                <w:rFonts w:hint="eastAsia" w:ascii="宋体" w:hAnsi="宋体"/>
                <w:color w:val="auto"/>
                <w:sz w:val="24"/>
                <w:szCs w:val="24"/>
              </w:rPr>
              <w:t>序号</w:t>
            </w:r>
          </w:p>
        </w:tc>
        <w:tc>
          <w:tcPr>
            <w:tcW w:w="2409" w:type="dxa"/>
            <w:gridSpan w:val="2"/>
            <w:tcBorders>
              <w:top w:val="single" w:color="auto" w:sz="4" w:space="0"/>
              <w:left w:val="nil"/>
              <w:bottom w:val="single" w:color="auto" w:sz="4" w:space="0"/>
              <w:right w:val="single" w:color="auto" w:sz="4" w:space="0"/>
            </w:tcBorders>
            <w:shd w:val="pct10" w:color="C4BC96" w:fill="DDD9C3"/>
            <w:vAlign w:val="center"/>
          </w:tcPr>
          <w:p>
            <w:pPr>
              <w:shd w:val="clear"/>
              <w:ind w:firstLine="720" w:firstLineChars="300"/>
              <w:rPr>
                <w:rFonts w:ascii="宋体" w:hAnsi="宋体"/>
                <w:color w:val="auto"/>
                <w:sz w:val="24"/>
                <w:szCs w:val="24"/>
              </w:rPr>
            </w:pPr>
            <w:r>
              <w:rPr>
                <w:rFonts w:hint="eastAsia" w:ascii="宋体" w:hAnsi="宋体"/>
                <w:color w:val="auto"/>
                <w:sz w:val="24"/>
                <w:szCs w:val="24"/>
              </w:rPr>
              <w:t>名  称</w:t>
            </w:r>
          </w:p>
        </w:tc>
        <w:tc>
          <w:tcPr>
            <w:tcW w:w="851" w:type="dxa"/>
            <w:tcBorders>
              <w:top w:val="single" w:color="auto" w:sz="4" w:space="0"/>
              <w:left w:val="nil"/>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r>
              <w:rPr>
                <w:rFonts w:hint="eastAsia" w:ascii="宋体" w:hAnsi="宋体"/>
                <w:color w:val="auto"/>
                <w:sz w:val="24"/>
                <w:szCs w:val="24"/>
              </w:rPr>
              <w:t>数量</w:t>
            </w:r>
          </w:p>
        </w:tc>
        <w:tc>
          <w:tcPr>
            <w:tcW w:w="850" w:type="dxa"/>
            <w:tcBorders>
              <w:top w:val="single" w:color="auto" w:sz="4" w:space="0"/>
              <w:left w:val="single" w:color="auto" w:sz="4" w:space="0"/>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r>
              <w:rPr>
                <w:rFonts w:hint="eastAsia" w:ascii="宋体" w:hAnsi="宋体"/>
                <w:color w:val="auto"/>
                <w:sz w:val="24"/>
                <w:szCs w:val="24"/>
              </w:rPr>
              <w:t>单位</w:t>
            </w:r>
          </w:p>
        </w:tc>
        <w:tc>
          <w:tcPr>
            <w:tcW w:w="1985" w:type="dxa"/>
            <w:tcBorders>
              <w:top w:val="single" w:color="auto" w:sz="4" w:space="0"/>
              <w:left w:val="nil"/>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r>
              <w:rPr>
                <w:rFonts w:hint="eastAsia" w:ascii="宋体" w:hAnsi="宋体"/>
                <w:color w:val="auto"/>
                <w:sz w:val="24"/>
                <w:szCs w:val="24"/>
              </w:rPr>
              <w:t>要求/备注</w:t>
            </w:r>
          </w:p>
        </w:tc>
        <w:tc>
          <w:tcPr>
            <w:tcW w:w="1843" w:type="dxa"/>
            <w:tcBorders>
              <w:top w:val="single" w:color="auto" w:sz="4" w:space="0"/>
              <w:left w:val="nil"/>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r>
              <w:rPr>
                <w:rFonts w:hint="eastAsia" w:ascii="宋体" w:hAnsi="宋体"/>
                <w:color w:val="auto"/>
                <w:sz w:val="24"/>
                <w:szCs w:val="24"/>
              </w:rPr>
              <w:t>货物/服务</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rPr>
              <w:t>1</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rPr>
              <w:t>5P柜机</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46</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rPr>
              <w:t>套</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rPr>
            </w:pPr>
            <w:r>
              <w:rPr>
                <w:rFonts w:hint="eastAsia" w:ascii="宋体" w:hAnsi="宋体"/>
                <w:color w:val="auto"/>
                <w:sz w:val="24"/>
                <w:szCs w:val="24"/>
              </w:rPr>
              <w:t>详见“详细技术参数”</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2</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lang w:val="en-US" w:eastAsia="zh-CN"/>
              </w:rPr>
              <w:t>1.5</w:t>
            </w:r>
            <w:r>
              <w:rPr>
                <w:rFonts w:hint="eastAsia" w:ascii="宋体" w:hAnsi="宋体"/>
                <w:color w:val="auto"/>
                <w:sz w:val="24"/>
                <w:szCs w:val="24"/>
              </w:rPr>
              <w:t>P</w:t>
            </w:r>
            <w:r>
              <w:rPr>
                <w:rFonts w:hint="eastAsia" w:ascii="宋体" w:hAnsi="宋体"/>
                <w:color w:val="auto"/>
                <w:sz w:val="24"/>
                <w:szCs w:val="24"/>
                <w:lang w:eastAsia="zh-CN"/>
              </w:rPr>
              <w:t>挂</w:t>
            </w:r>
            <w:r>
              <w:rPr>
                <w:rFonts w:hint="eastAsia" w:ascii="宋体" w:hAnsi="宋体"/>
                <w:color w:val="auto"/>
                <w:sz w:val="24"/>
                <w:szCs w:val="24"/>
              </w:rPr>
              <w:t>机</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 xml:space="preserve">349 </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rPr>
              <w:t>套</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eastAsia="zh-CN"/>
              </w:rPr>
            </w:pPr>
            <w:r>
              <w:rPr>
                <w:rFonts w:hint="eastAsia" w:ascii="宋体" w:hAnsi="宋体"/>
                <w:color w:val="auto"/>
                <w:sz w:val="24"/>
                <w:szCs w:val="24"/>
                <w:lang w:val="en-US" w:eastAsia="zh-CN"/>
              </w:rPr>
              <w:t xml:space="preserve"> </w:t>
            </w:r>
            <w:r>
              <w:rPr>
                <w:rFonts w:hint="eastAsia" w:ascii="宋体" w:hAnsi="宋体"/>
                <w:color w:val="auto"/>
                <w:sz w:val="24"/>
                <w:szCs w:val="24"/>
              </w:rPr>
              <w:t>详见“详细技术参数”</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宋体" w:hAnsi="宋体" w:eastAsia="宋体" w:cs="宋体"/>
                <w:kern w:val="0"/>
                <w:sz w:val="24"/>
                <w:szCs w:val="24"/>
                <w:lang w:val="en-US" w:eastAsia="zh-CN"/>
              </w:rPr>
              <w:t>5P柜机加长铜管</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米</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宋体" w:hAnsi="宋体" w:eastAsia="宋体" w:cs="宋体"/>
                <w:kern w:val="0"/>
                <w:sz w:val="24"/>
                <w:szCs w:val="24"/>
                <w:lang w:val="en-US" w:eastAsia="zh-CN"/>
              </w:rPr>
              <w:t>1.5P挂机加长铜管</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米</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5</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Calibri" w:hAnsi="Calibri" w:cs="Calibri"/>
                <w:sz w:val="24"/>
                <w:szCs w:val="18"/>
                <w:lang w:val="en-US" w:eastAsia="zh-CN"/>
              </w:rPr>
              <w:t>5</w:t>
            </w:r>
            <w:r>
              <w:rPr>
                <w:rFonts w:ascii="Calibri" w:hAnsi="Calibri" w:cs="Calibri"/>
                <w:sz w:val="24"/>
                <w:szCs w:val="18"/>
              </w:rPr>
              <w:t>P</w:t>
            </w:r>
            <w:r>
              <w:rPr>
                <w:rFonts w:hint="eastAsia" w:ascii="Calibri" w:hAnsi="Calibri" w:cs="Calibri"/>
                <w:sz w:val="24"/>
                <w:szCs w:val="18"/>
                <w:lang w:val="en-US" w:eastAsia="zh-CN"/>
              </w:rPr>
              <w:t>挂</w:t>
            </w:r>
            <w:r>
              <w:rPr>
                <w:rFonts w:ascii="Calibri" w:hAnsi="Calibri" w:cs="Calibri"/>
                <w:sz w:val="24"/>
                <w:szCs w:val="18"/>
              </w:rPr>
              <w:t>机</w:t>
            </w:r>
            <w:r>
              <w:rPr>
                <w:rFonts w:hint="eastAsia" w:ascii="Calibri" w:hAnsi="Calibri" w:cs="Calibri"/>
                <w:sz w:val="24"/>
                <w:szCs w:val="18"/>
                <w:lang w:val="en-US" w:eastAsia="zh-CN"/>
              </w:rPr>
              <w:t>支架</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46</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付</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Calibri" w:hAnsi="Calibri" w:cs="Calibri"/>
                <w:sz w:val="24"/>
                <w:szCs w:val="18"/>
                <w:lang w:val="en-US" w:eastAsia="zh-CN"/>
              </w:rPr>
              <w:t>1.5</w:t>
            </w:r>
            <w:r>
              <w:rPr>
                <w:rFonts w:ascii="Calibri" w:hAnsi="Calibri" w:cs="Calibri"/>
                <w:sz w:val="24"/>
                <w:szCs w:val="18"/>
              </w:rPr>
              <w:t>P</w:t>
            </w:r>
            <w:r>
              <w:rPr>
                <w:rFonts w:hint="eastAsia" w:ascii="Calibri" w:hAnsi="Calibri" w:cs="Calibri"/>
                <w:sz w:val="24"/>
                <w:szCs w:val="18"/>
                <w:lang w:val="en-US" w:eastAsia="zh-CN"/>
              </w:rPr>
              <w:t>挂</w:t>
            </w:r>
            <w:r>
              <w:rPr>
                <w:rFonts w:ascii="Calibri" w:hAnsi="Calibri" w:cs="Calibri"/>
                <w:sz w:val="24"/>
                <w:szCs w:val="18"/>
              </w:rPr>
              <w:t>机</w:t>
            </w:r>
            <w:r>
              <w:rPr>
                <w:rFonts w:hint="eastAsia" w:ascii="Calibri" w:hAnsi="Calibri" w:cs="Calibri"/>
                <w:sz w:val="24"/>
                <w:szCs w:val="18"/>
                <w:lang w:val="en-US" w:eastAsia="zh-CN"/>
              </w:rPr>
              <w:t>支架</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349</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付</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7</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宋体" w:hAnsi="宋体" w:eastAsia="宋体" w:cs="宋体"/>
                <w:kern w:val="0"/>
                <w:sz w:val="24"/>
                <w:szCs w:val="24"/>
                <w:lang w:val="en-US" w:eastAsia="zh-CN"/>
              </w:rPr>
              <w:t>空调开孔</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744</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个</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8" w:hRule="atLeast"/>
        </w:trPr>
        <w:tc>
          <w:tcPr>
            <w:tcW w:w="1700" w:type="dxa"/>
            <w:gridSpan w:val="2"/>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szCs w:val="24"/>
              </w:rPr>
            </w:pPr>
            <w:r>
              <w:rPr>
                <w:rFonts w:hint="eastAsia" w:ascii="宋体" w:hAnsi="宋体"/>
                <w:color w:val="auto"/>
                <w:sz w:val="24"/>
                <w:szCs w:val="24"/>
              </w:rPr>
              <w:t>项目工期</w:t>
            </w:r>
          </w:p>
        </w:tc>
        <w:tc>
          <w:tcPr>
            <w:tcW w:w="7089" w:type="dxa"/>
            <w:gridSpan w:val="5"/>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szCs w:val="24"/>
              </w:rPr>
            </w:pPr>
            <w:r>
              <w:rPr>
                <w:rFonts w:hint="eastAsia" w:ascii="宋体" w:hAnsi="宋体"/>
                <w:color w:val="auto"/>
                <w:sz w:val="24"/>
                <w:szCs w:val="24"/>
              </w:rPr>
              <w:t>★合同签订之后 30 日历日</w:t>
            </w:r>
          </w:p>
        </w:tc>
      </w:tr>
      <w:tr>
        <w:tblPrEx>
          <w:tblCellMar>
            <w:top w:w="0" w:type="dxa"/>
            <w:left w:w="108" w:type="dxa"/>
            <w:bottom w:w="0" w:type="dxa"/>
            <w:right w:w="108" w:type="dxa"/>
          </w:tblCellMar>
        </w:tblPrEx>
        <w:trPr>
          <w:trHeight w:val="794" w:hRule="atLeast"/>
        </w:trPr>
        <w:tc>
          <w:tcPr>
            <w:tcW w:w="1700" w:type="dxa"/>
            <w:gridSpan w:val="2"/>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szCs w:val="24"/>
              </w:rPr>
            </w:pPr>
            <w:r>
              <w:rPr>
                <w:rFonts w:hint="eastAsia" w:ascii="宋体" w:hAnsi="宋体"/>
                <w:color w:val="auto"/>
                <w:sz w:val="24"/>
                <w:szCs w:val="24"/>
              </w:rPr>
              <w:t>质保期</w:t>
            </w:r>
          </w:p>
        </w:tc>
        <w:tc>
          <w:tcPr>
            <w:tcW w:w="7089" w:type="dxa"/>
            <w:gridSpan w:val="5"/>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szCs w:val="24"/>
              </w:rPr>
            </w:pPr>
            <w:r>
              <w:rPr>
                <w:rFonts w:hint="eastAsia" w:ascii="宋体" w:hAnsi="宋体"/>
                <w:color w:val="auto"/>
                <w:sz w:val="24"/>
                <w:szCs w:val="24"/>
              </w:rPr>
              <w:t>★采购人验收合格之日起：整机</w:t>
            </w:r>
            <w:r>
              <w:rPr>
                <w:rFonts w:hint="eastAsia" w:ascii="宋体" w:hAnsi="宋体"/>
                <w:color w:val="auto"/>
                <w:sz w:val="24"/>
                <w:szCs w:val="24"/>
                <w:lang w:val="en-US" w:eastAsia="zh-CN"/>
              </w:rPr>
              <w:t>5</w:t>
            </w:r>
            <w:r>
              <w:rPr>
                <w:rFonts w:hint="eastAsia" w:ascii="宋体" w:hAnsi="宋体"/>
                <w:color w:val="auto"/>
                <w:sz w:val="24"/>
                <w:szCs w:val="24"/>
              </w:rPr>
              <w:t>年包修，免费更换零部件。压缩机10年保修。</w:t>
            </w:r>
          </w:p>
        </w:tc>
      </w:tr>
    </w:tbl>
    <w:p>
      <w:pPr>
        <w:snapToGrid w:val="0"/>
        <w:spacing w:line="360" w:lineRule="auto"/>
        <w:ind w:firstLine="600" w:firstLineChars="200"/>
        <w:rPr>
          <w:rFonts w:ascii="宋体" w:hAnsi="宋体" w:cs="Times New Roman"/>
          <w:sz w:val="30"/>
          <w:szCs w:val="30"/>
          <w:lang w:val="zh-CN"/>
        </w:rPr>
      </w:pPr>
    </w:p>
    <w:bookmarkEnd w:id="42"/>
    <w:bookmarkEnd w:id="43"/>
    <w:bookmarkEnd w:id="44"/>
    <w:bookmarkEnd w:id="45"/>
    <w:p>
      <w:pPr>
        <w:rPr>
          <w:rFonts w:hint="eastAsia" w:ascii="宋体" w:hAnsi="宋体"/>
          <w:b/>
          <w:sz w:val="28"/>
          <w:szCs w:val="28"/>
          <w:lang w:val="en-US" w:eastAsia="zh-CN"/>
        </w:rPr>
      </w:pPr>
      <w:r>
        <w:rPr>
          <w:rFonts w:hint="eastAsia" w:ascii="宋体" w:hAnsi="宋体"/>
          <w:b/>
          <w:sz w:val="28"/>
          <w:szCs w:val="28"/>
          <w:lang w:val="en-US" w:eastAsia="zh-CN"/>
        </w:rPr>
        <w:t>二、项目概述及简介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根据《关于按要求上报相关上级补助资金申报材料的通知》（鄂财教函【2020】4号）、《湖北省财政厅 湖北省教育厅关于印发&lt;湖北省中等职业教育发展引导奖补资金管理办法&gt;的通知》（鄂财教规【2017】20号）文件精神，2022年，省财政根据鄂财教发【2021】91号文件精神，下达我校中等职业教育发展引导奖补资金301万元，用于随县职教中心实训室建设工程项目，主要建设内容包含：新建四个实训室、安装教室和学生寝室空调。该分配方案已报省教育厅备案。以提高随县职教中心综合办学实力和核心竞争力为目标，力争建设成具有大型实训中心、实习基地的产教结合的特色学校。</w:t>
      </w:r>
    </w:p>
    <w:p>
      <w:pPr>
        <w:pStyle w:val="41"/>
        <w:ind w:left="0" w:leftChars="0" w:firstLine="0" w:firstLineChars="0"/>
        <w:rPr>
          <w:rStyle w:val="192"/>
          <w:rFonts w:asciiTheme="minorEastAsia" w:hAnsiTheme="minorEastAsia" w:cstheme="minorEastAsia"/>
          <w:sz w:val="24"/>
          <w:lang w:val="zh-CN"/>
        </w:rPr>
      </w:pPr>
    </w:p>
    <w:p>
      <w:pPr>
        <w:bidi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三、</w:t>
      </w:r>
      <w:r>
        <w:rPr>
          <w:rFonts w:hint="eastAsia" w:asciiTheme="minorEastAsia" w:hAnsiTheme="minorEastAsia" w:eastAsiaTheme="minorEastAsia" w:cstheme="minorEastAsia"/>
          <w:b/>
          <w:bCs/>
          <w:color w:val="auto"/>
          <w:sz w:val="28"/>
          <w:szCs w:val="28"/>
          <w:highlight w:val="none"/>
          <w:lang w:val="en-US" w:eastAsia="zh-CN"/>
        </w:rPr>
        <w:t>国家相关行政主管部门颁布的标准、规范</w:t>
      </w:r>
    </w:p>
    <w:p>
      <w:pPr>
        <w:snapToGrid/>
        <w:spacing w:before="0" w:beforeAutospacing="0" w:after="0" w:afterAutospacing="0" w:line="240" w:lineRule="auto"/>
        <w:ind w:firstLine="480" w:firstLineChars="200"/>
        <w:jc w:val="both"/>
        <w:textAlignment w:val="baseline"/>
        <w:rPr>
          <w:rFonts w:hint="eastAsia"/>
          <w:sz w:val="24"/>
          <w:szCs w:val="24"/>
          <w:lang w:val="en-US" w:eastAsia="zh-CN"/>
        </w:rPr>
      </w:pPr>
      <w:r>
        <w:rPr>
          <w:rStyle w:val="192"/>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2"/>
          <w:rFonts w:hint="eastAsia" w:asciiTheme="minorEastAsia" w:hAnsiTheme="minorEastAsia" w:cstheme="minorEastAsia"/>
          <w:b w:val="0"/>
          <w:i w:val="0"/>
          <w:caps w:val="0"/>
          <w:spacing w:val="0"/>
          <w:w w:val="100"/>
          <w:kern w:val="2"/>
          <w:sz w:val="24"/>
          <w:szCs w:val="24"/>
          <w:lang w:val="zh-CN" w:eastAsia="zh-CN" w:bidi="ar-SA"/>
        </w:rPr>
        <w:t>。</w:t>
      </w:r>
    </w:p>
    <w:p>
      <w:pPr>
        <w:numPr>
          <w:ilvl w:val="0"/>
          <w:numId w:val="11"/>
        </w:numPr>
        <w:rPr>
          <w:rFonts w:ascii="宋体" w:hAnsi="宋体"/>
          <w:b/>
          <w:sz w:val="28"/>
          <w:szCs w:val="28"/>
        </w:rPr>
      </w:pPr>
      <w:r>
        <w:rPr>
          <w:rFonts w:hint="eastAsia" w:ascii="宋体" w:hAnsi="宋体"/>
          <w:b/>
          <w:sz w:val="28"/>
          <w:szCs w:val="28"/>
        </w:rPr>
        <w:t>技术、服务要求</w:t>
      </w:r>
    </w:p>
    <w:p>
      <w:pPr>
        <w:ind w:left="55" w:leftChars="26"/>
        <w:rPr>
          <w:rFonts w:asciiTheme="minorEastAsia" w:hAnsiTheme="minorEastAsia" w:cstheme="minorEastAsia"/>
          <w:sz w:val="24"/>
        </w:rPr>
      </w:pPr>
      <w:r>
        <w:rPr>
          <w:rFonts w:hint="eastAsia" w:asciiTheme="minorEastAsia" w:hAnsiTheme="minorEastAsia" w:cstheme="minorEastAsia"/>
          <w:b/>
          <w:sz w:val="24"/>
        </w:rPr>
        <w:t>说明：</w:t>
      </w:r>
      <w:r>
        <w:rPr>
          <w:rFonts w:hint="eastAsia" w:asciiTheme="minorEastAsia" w:hAnsiTheme="minorEastAsia" w:cstheme="minorEastAsia"/>
          <w:sz w:val="24"/>
        </w:rPr>
        <w:t>1、投标人在投标文件《技术、服务要求响应、偏离说明表》中未对以下技术、服务要求逐条说明响应或偏离情况的，其投标</w:t>
      </w:r>
      <w:r>
        <w:rPr>
          <w:rFonts w:hint="eastAsia" w:asciiTheme="minorEastAsia" w:hAnsiTheme="minorEastAsia" w:cstheme="minorEastAsia"/>
          <w:b/>
          <w:bCs/>
          <w:sz w:val="24"/>
        </w:rPr>
        <w:t>按无效投标处理</w:t>
      </w:r>
      <w:r>
        <w:rPr>
          <w:rFonts w:hint="eastAsia" w:asciiTheme="minorEastAsia" w:hAnsiTheme="minorEastAsia" w:cstheme="minorEastAsia"/>
          <w:sz w:val="24"/>
        </w:rPr>
        <w:t>。</w:t>
      </w:r>
    </w:p>
    <w:p>
      <w:pPr>
        <w:rPr>
          <w:sz w:val="24"/>
        </w:rPr>
      </w:pPr>
      <w:r>
        <w:rPr>
          <w:rFonts w:hint="eastAsia" w:asciiTheme="minorEastAsia" w:hAnsiTheme="minorEastAsia" w:cstheme="minorEastAsia"/>
          <w:sz w:val="24"/>
        </w:rPr>
        <w:t>2、下表标注有</w:t>
      </w:r>
      <w:r>
        <w:rPr>
          <w:rFonts w:hint="eastAsia" w:asciiTheme="minorEastAsia" w:hAnsiTheme="minorEastAsia" w:cstheme="minorEastAsia"/>
          <w:b/>
          <w:sz w:val="24"/>
        </w:rPr>
        <w:t>“△”号</w:t>
      </w:r>
      <w:r>
        <w:rPr>
          <w:rFonts w:hint="eastAsia" w:asciiTheme="minorEastAsia" w:hAnsiTheme="minorEastAsia" w:cstheme="minorEastAsia"/>
          <w:sz w:val="24"/>
        </w:rPr>
        <w:t>的条款，为</w:t>
      </w:r>
      <w:r>
        <w:rPr>
          <w:rFonts w:hint="eastAsia" w:asciiTheme="minorEastAsia" w:hAnsiTheme="minorEastAsia" w:cstheme="minorEastAsia"/>
          <w:b/>
          <w:sz w:val="24"/>
        </w:rPr>
        <w:t xml:space="preserve"> “评审因素及评分标准”</w:t>
      </w:r>
      <w:r>
        <w:rPr>
          <w:rFonts w:hint="eastAsia" w:asciiTheme="minorEastAsia" w:hAnsiTheme="minorEastAsia" w:cstheme="minorEastAsia"/>
          <w:sz w:val="24"/>
        </w:rPr>
        <w:t>中的评分内容。</w:t>
      </w:r>
    </w:p>
    <w:tbl>
      <w:tblPr>
        <w:tblStyle w:val="4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657"/>
        <w:gridCol w:w="587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10" w:type="dxa"/>
            <w:vAlign w:val="center"/>
          </w:tcPr>
          <w:p>
            <w:pPr>
              <w:jc w:val="center"/>
              <w:rPr>
                <w:b/>
                <w:bCs/>
              </w:rPr>
            </w:pPr>
            <w:r>
              <w:rPr>
                <w:rFonts w:hint="eastAsia"/>
                <w:b/>
                <w:bCs/>
              </w:rPr>
              <w:t>序号</w:t>
            </w:r>
          </w:p>
        </w:tc>
        <w:tc>
          <w:tcPr>
            <w:tcW w:w="1657" w:type="dxa"/>
            <w:vAlign w:val="center"/>
          </w:tcPr>
          <w:p>
            <w:pPr>
              <w:jc w:val="center"/>
              <w:rPr>
                <w:b/>
                <w:bCs/>
              </w:rPr>
            </w:pPr>
            <w:r>
              <w:rPr>
                <w:rFonts w:hint="eastAsia"/>
                <w:b/>
                <w:bCs/>
              </w:rPr>
              <w:t>名称</w:t>
            </w:r>
          </w:p>
        </w:tc>
        <w:tc>
          <w:tcPr>
            <w:tcW w:w="5878" w:type="dxa"/>
            <w:vAlign w:val="center"/>
          </w:tcPr>
          <w:p>
            <w:pPr>
              <w:jc w:val="center"/>
              <w:rPr>
                <w:b/>
                <w:bCs/>
              </w:rPr>
            </w:pPr>
            <w:r>
              <w:rPr>
                <w:rFonts w:hint="eastAsia"/>
                <w:b/>
                <w:bCs/>
              </w:rPr>
              <w:t>技术参数及服务要求</w:t>
            </w:r>
          </w:p>
        </w:tc>
        <w:tc>
          <w:tcPr>
            <w:tcW w:w="801" w:type="dxa"/>
          </w:tcPr>
          <w:p>
            <w:pPr>
              <w:jc w:val="center"/>
              <w:rPr>
                <w:b/>
                <w:bCs/>
              </w:rPr>
            </w:pPr>
            <w:r>
              <w:rPr>
                <w:rFonts w:hint="eastAsia"/>
                <w:b/>
                <w:bCs/>
              </w:rPr>
              <w:t>评审点</w:t>
            </w:r>
            <w:r>
              <w:rPr>
                <w:rFonts w:hint="eastAsia" w:ascii="宋体" w:hAnsi="宋体" w:eastAsia="宋体" w:cs="Times New Roman"/>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宋体" w:hAnsi="宋体" w:eastAsia="宋体" w:cs="宋体"/>
                <w:sz w:val="24"/>
              </w:rPr>
            </w:pPr>
            <w:r>
              <w:rPr>
                <w:rFonts w:hint="eastAsia" w:ascii="宋体" w:hAnsi="宋体" w:eastAsia="宋体" w:cs="宋体"/>
                <w:sz w:val="24"/>
              </w:rPr>
              <w:t>1</w:t>
            </w:r>
          </w:p>
        </w:tc>
        <w:tc>
          <w:tcPr>
            <w:tcW w:w="1657" w:type="dxa"/>
            <w:vAlign w:val="center"/>
          </w:tcPr>
          <w:p>
            <w:pPr>
              <w:jc w:val="center"/>
              <w:rPr>
                <w:rFonts w:ascii="宋体" w:hAnsi="宋体" w:eastAsia="宋体" w:cs="宋体"/>
                <w:sz w:val="24"/>
              </w:rPr>
            </w:pPr>
            <w:r>
              <w:rPr>
                <w:rFonts w:hint="eastAsia" w:ascii="宋体" w:hAnsi="宋体" w:eastAsia="宋体" w:cs="宋体"/>
                <w:sz w:val="24"/>
              </w:rPr>
              <w:t>5P柜式空调</w:t>
            </w:r>
          </w:p>
        </w:tc>
        <w:tc>
          <w:tcPr>
            <w:tcW w:w="5878" w:type="dxa"/>
          </w:tcPr>
          <w:p>
            <w:pPr>
              <w:rPr>
                <w:rFonts w:ascii="宋体" w:hAnsi="宋体" w:eastAsia="宋体" w:cs="宋体"/>
                <w:sz w:val="24"/>
                <w:highlight w:val="none"/>
              </w:rPr>
            </w:pPr>
            <w:r>
              <w:rPr>
                <w:rFonts w:hint="eastAsia" w:ascii="宋体" w:hAnsi="宋体" w:eastAsia="宋体" w:cs="宋体"/>
                <w:sz w:val="24"/>
                <w:highlight w:val="none"/>
              </w:rPr>
              <w:t>1冷暖类型：冷暖型</w:t>
            </w:r>
          </w:p>
          <w:p>
            <w:pPr>
              <w:rPr>
                <w:rFonts w:ascii="宋体" w:hAnsi="宋体" w:eastAsia="宋体" w:cs="宋体"/>
                <w:sz w:val="24"/>
                <w:highlight w:val="none"/>
              </w:rPr>
            </w:pPr>
            <w:r>
              <w:rPr>
                <w:rFonts w:hint="eastAsia" w:ascii="宋体" w:hAnsi="宋体" w:eastAsia="宋体" w:cs="宋体"/>
                <w:sz w:val="24"/>
                <w:highlight w:val="none"/>
              </w:rPr>
              <w:t>2变频/定频:</w:t>
            </w:r>
            <w:r>
              <w:rPr>
                <w:rFonts w:hint="eastAsia" w:ascii="宋体" w:hAnsi="宋体" w:eastAsia="宋体" w:cs="宋体"/>
                <w:sz w:val="24"/>
                <w:highlight w:val="none"/>
                <w:lang w:eastAsia="zh-CN"/>
              </w:rPr>
              <w:t>定</w:t>
            </w:r>
            <w:r>
              <w:rPr>
                <w:rFonts w:hint="eastAsia" w:ascii="宋体" w:hAnsi="宋体" w:eastAsia="宋体" w:cs="宋体"/>
                <w:sz w:val="24"/>
                <w:highlight w:val="none"/>
              </w:rPr>
              <w:t>频</w:t>
            </w:r>
          </w:p>
          <w:p>
            <w:pPr>
              <w:rPr>
                <w:rFonts w:ascii="宋体" w:hAnsi="宋体" w:eastAsia="宋体" w:cs="宋体"/>
                <w:sz w:val="24"/>
                <w:highlight w:val="none"/>
              </w:rPr>
            </w:pPr>
            <w:r>
              <w:rPr>
                <w:rFonts w:hint="eastAsia" w:ascii="宋体" w:hAnsi="宋体" w:eastAsia="宋体" w:cs="宋体"/>
                <w:sz w:val="24"/>
                <w:highlight w:val="none"/>
              </w:rPr>
              <w:t>3制冷/热适用面积： 54-80㎡</w:t>
            </w:r>
          </w:p>
          <w:p>
            <w:pPr>
              <w:rPr>
                <w:rFonts w:ascii="宋体" w:hAnsi="宋体" w:eastAsia="宋体" w:cs="宋体"/>
                <w:sz w:val="24"/>
                <w:highlight w:val="none"/>
              </w:rPr>
            </w:pPr>
            <w:r>
              <w:rPr>
                <w:rFonts w:hint="eastAsia" w:ascii="宋体" w:hAnsi="宋体" w:eastAsia="宋体" w:cs="宋体"/>
                <w:sz w:val="24"/>
                <w:highlight w:val="none"/>
              </w:rPr>
              <w:t>4能效等级:三级及以上能效（APF≥3.09）</w:t>
            </w:r>
          </w:p>
          <w:p>
            <w:pPr>
              <w:rPr>
                <w:rFonts w:ascii="宋体" w:hAnsi="宋体" w:eastAsia="宋体" w:cs="宋体"/>
                <w:sz w:val="24"/>
                <w:highlight w:val="none"/>
              </w:rPr>
            </w:pPr>
            <w:r>
              <w:rPr>
                <w:rFonts w:hint="eastAsia" w:ascii="宋体" w:hAnsi="宋体" w:eastAsia="宋体" w:cs="宋体"/>
                <w:sz w:val="24"/>
                <w:highlight w:val="none"/>
              </w:rPr>
              <w:t>5制冷剂：R32</w:t>
            </w:r>
          </w:p>
          <w:p>
            <w:pPr>
              <w:rPr>
                <w:rFonts w:ascii="宋体" w:hAnsi="宋体" w:eastAsia="宋体" w:cs="宋体"/>
                <w:sz w:val="24"/>
                <w:highlight w:val="none"/>
              </w:rPr>
            </w:pPr>
            <w:r>
              <w:rPr>
                <w:rFonts w:hint="eastAsia" w:ascii="宋体" w:hAnsi="宋体" w:eastAsia="宋体" w:cs="宋体"/>
                <w:sz w:val="24"/>
                <w:highlight w:val="none"/>
              </w:rPr>
              <w:t>6额定制冷量：≥12000W</w:t>
            </w:r>
          </w:p>
          <w:p>
            <w:pPr>
              <w:rPr>
                <w:rFonts w:ascii="宋体" w:hAnsi="宋体" w:eastAsia="宋体" w:cs="宋体"/>
                <w:sz w:val="24"/>
                <w:highlight w:val="none"/>
              </w:rPr>
            </w:pPr>
            <w:r>
              <w:rPr>
                <w:rFonts w:hint="eastAsia" w:ascii="宋体" w:hAnsi="宋体" w:eastAsia="宋体" w:cs="宋体"/>
                <w:sz w:val="24"/>
                <w:highlight w:val="none"/>
              </w:rPr>
              <w:t>7制冷输入功率（标准工况）： ≤3800W</w:t>
            </w:r>
          </w:p>
          <w:p>
            <w:pPr>
              <w:rPr>
                <w:rFonts w:ascii="宋体" w:hAnsi="宋体" w:eastAsia="宋体" w:cs="宋体"/>
                <w:sz w:val="24"/>
                <w:highlight w:val="none"/>
              </w:rPr>
            </w:pPr>
            <w:r>
              <w:rPr>
                <w:rFonts w:hint="eastAsia" w:ascii="宋体" w:hAnsi="宋体" w:eastAsia="宋体" w:cs="宋体"/>
                <w:sz w:val="24"/>
                <w:highlight w:val="none"/>
              </w:rPr>
              <w:t>8额定制热量：≥12800W</w:t>
            </w:r>
          </w:p>
          <w:p>
            <w:pPr>
              <w:rPr>
                <w:rFonts w:ascii="宋体" w:hAnsi="宋体" w:eastAsia="宋体" w:cs="宋体"/>
                <w:sz w:val="24"/>
                <w:highlight w:val="none"/>
              </w:rPr>
            </w:pPr>
            <w:r>
              <w:rPr>
                <w:rFonts w:hint="eastAsia" w:ascii="宋体" w:hAnsi="宋体" w:eastAsia="宋体" w:cs="宋体"/>
                <w:sz w:val="24"/>
                <w:highlight w:val="none"/>
              </w:rPr>
              <w:t>9制热输入功率（标准工况）： ≤3940W</w:t>
            </w:r>
          </w:p>
          <w:p>
            <w:pPr>
              <w:rPr>
                <w:rFonts w:ascii="宋体" w:hAnsi="宋体" w:eastAsia="宋体" w:cs="宋体"/>
                <w:sz w:val="24"/>
                <w:highlight w:val="none"/>
              </w:rPr>
            </w:pPr>
            <w:r>
              <w:rPr>
                <w:rFonts w:hint="eastAsia" w:ascii="宋体" w:hAnsi="宋体" w:eastAsia="宋体" w:cs="宋体"/>
                <w:sz w:val="24"/>
                <w:highlight w:val="none"/>
              </w:rPr>
              <w:t>10电辅加热功率：≤3200W</w:t>
            </w:r>
          </w:p>
          <w:p>
            <w:pPr>
              <w:rPr>
                <w:rFonts w:ascii="宋体" w:hAnsi="宋体" w:eastAsia="宋体" w:cs="宋体"/>
                <w:sz w:val="24"/>
                <w:highlight w:val="none"/>
              </w:rPr>
            </w:pPr>
            <w:r>
              <w:rPr>
                <w:rFonts w:hint="eastAsia" w:ascii="宋体" w:hAnsi="宋体" w:eastAsia="宋体" w:cs="宋体"/>
                <w:sz w:val="24"/>
                <w:highlight w:val="none"/>
              </w:rPr>
              <w:t>11循环风量：≥2000m3/h</w:t>
            </w:r>
          </w:p>
          <w:p>
            <w:pPr>
              <w:rPr>
                <w:rFonts w:ascii="宋体" w:hAnsi="宋体" w:eastAsia="宋体" w:cs="宋体"/>
                <w:sz w:val="24"/>
                <w:highlight w:val="none"/>
              </w:rPr>
            </w:pPr>
            <w:r>
              <w:rPr>
                <w:rFonts w:hint="eastAsia" w:ascii="宋体" w:hAnsi="宋体" w:eastAsia="宋体" w:cs="宋体"/>
                <w:sz w:val="24"/>
                <w:highlight w:val="none"/>
              </w:rPr>
              <w:t>12室内机噪音：≤52dB</w:t>
            </w:r>
          </w:p>
          <w:p>
            <w:pPr>
              <w:rPr>
                <w:rFonts w:ascii="宋体" w:hAnsi="宋体" w:eastAsia="宋体" w:cs="宋体"/>
                <w:sz w:val="24"/>
                <w:highlight w:val="none"/>
              </w:rPr>
            </w:pPr>
            <w:r>
              <w:rPr>
                <w:rFonts w:hint="eastAsia" w:ascii="宋体" w:hAnsi="宋体" w:eastAsia="宋体" w:cs="宋体"/>
                <w:sz w:val="24"/>
                <w:highlight w:val="none"/>
              </w:rPr>
              <w:t>13室外机噪音：≤60dB</w:t>
            </w:r>
          </w:p>
          <w:p>
            <w:pPr>
              <w:rPr>
                <w:rFonts w:ascii="宋体" w:hAnsi="宋体" w:eastAsia="宋体" w:cs="宋体"/>
                <w:sz w:val="24"/>
                <w:highlight w:val="none"/>
              </w:rPr>
            </w:pPr>
            <w:r>
              <w:rPr>
                <w:rFonts w:hint="eastAsia" w:ascii="宋体" w:hAnsi="宋体" w:eastAsia="宋体" w:cs="宋体"/>
                <w:sz w:val="24"/>
                <w:highlight w:val="none"/>
              </w:rPr>
              <w:t>14额定电压（V-Hz)：380V 3N~/50Hz</w:t>
            </w:r>
          </w:p>
          <w:p>
            <w:pPr>
              <w:rPr>
                <w:rFonts w:ascii="宋体" w:hAnsi="宋体" w:eastAsia="宋体" w:cs="宋体"/>
                <w:sz w:val="24"/>
                <w:highlight w:val="none"/>
              </w:rPr>
            </w:pPr>
            <w:r>
              <w:rPr>
                <w:rFonts w:hint="eastAsia" w:ascii="宋体" w:hAnsi="宋体" w:eastAsia="宋体" w:cs="宋体"/>
                <w:sz w:val="24"/>
                <w:highlight w:val="none"/>
              </w:rPr>
              <w:t>15能效比（APF）：≥2.85</w:t>
            </w:r>
          </w:p>
          <w:p>
            <w:pPr>
              <w:rPr>
                <w:rFonts w:ascii="宋体" w:hAnsi="宋体" w:eastAsia="宋体" w:cs="宋体"/>
                <w:sz w:val="24"/>
                <w:highlight w:val="none"/>
              </w:rPr>
            </w:pPr>
            <w:r>
              <w:rPr>
                <w:rFonts w:hint="eastAsia" w:ascii="宋体" w:hAnsi="宋体" w:eastAsia="宋体" w:cs="宋体"/>
                <w:sz w:val="24"/>
                <w:highlight w:val="none"/>
              </w:rPr>
              <w:t>16保护功能：高电压保护、过热保护、过载保护、缺相保护、压力保护、电控防浪涌保护等</w:t>
            </w:r>
          </w:p>
          <w:p>
            <w:pPr>
              <w:rPr>
                <w:rFonts w:ascii="宋体" w:hAnsi="宋体" w:eastAsia="宋体" w:cs="宋体"/>
                <w:sz w:val="24"/>
                <w:highlight w:val="none"/>
              </w:rPr>
            </w:pPr>
            <w:r>
              <w:rPr>
                <w:rFonts w:hint="eastAsia" w:ascii="宋体" w:hAnsi="宋体" w:eastAsia="宋体" w:cs="宋体"/>
                <w:sz w:val="24"/>
                <w:highlight w:val="none"/>
              </w:rPr>
              <w:t>17提供相关的说明书或试验报告证书</w:t>
            </w:r>
          </w:p>
        </w:tc>
        <w:tc>
          <w:tcPr>
            <w:tcW w:w="801" w:type="dxa"/>
            <w:vAlign w:val="center"/>
          </w:tcPr>
          <w:p>
            <w:pPr>
              <w:jc w:val="center"/>
            </w:pPr>
            <w:r>
              <w:rPr>
                <w:rFonts w:hint="eastAsia" w:ascii="宋体" w:hAnsi="宋体" w:eastAsia="宋体" w:cs="Times New Roman"/>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宋体" w:hAnsi="宋体" w:eastAsia="宋体" w:cs="宋体"/>
                <w:sz w:val="24"/>
              </w:rPr>
            </w:pPr>
            <w:r>
              <w:rPr>
                <w:rFonts w:hint="eastAsia" w:ascii="宋体" w:hAnsi="宋体" w:eastAsia="宋体" w:cs="宋体"/>
                <w:sz w:val="24"/>
              </w:rPr>
              <w:t>2</w:t>
            </w:r>
          </w:p>
        </w:tc>
        <w:tc>
          <w:tcPr>
            <w:tcW w:w="1657"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P挂机空调</w:t>
            </w:r>
          </w:p>
        </w:tc>
        <w:tc>
          <w:tcPr>
            <w:tcW w:w="5878" w:type="dxa"/>
            <w:vAlign w:val="top"/>
          </w:tcPr>
          <w:p>
            <w:pPr>
              <w:rPr>
                <w:rFonts w:ascii="宋体" w:hAnsi="宋体" w:eastAsia="宋体" w:cs="宋体"/>
                <w:color w:val="auto"/>
                <w:sz w:val="24"/>
                <w:highlight w:val="none"/>
              </w:rPr>
            </w:pPr>
            <w:r>
              <w:rPr>
                <w:rFonts w:hint="eastAsia" w:ascii="宋体" w:hAnsi="宋体" w:eastAsia="宋体" w:cs="宋体"/>
                <w:color w:val="auto"/>
                <w:sz w:val="24"/>
                <w:highlight w:val="none"/>
              </w:rPr>
              <w:t>1冷暖类型：冷暖型</w:t>
            </w:r>
          </w:p>
          <w:p>
            <w:pPr>
              <w:rPr>
                <w:rFonts w:ascii="宋体" w:hAnsi="宋体" w:eastAsia="宋体" w:cs="宋体"/>
                <w:color w:val="auto"/>
                <w:sz w:val="24"/>
                <w:highlight w:val="none"/>
              </w:rPr>
            </w:pPr>
            <w:r>
              <w:rPr>
                <w:rFonts w:hint="eastAsia" w:ascii="宋体" w:hAnsi="宋体" w:eastAsia="宋体" w:cs="宋体"/>
                <w:color w:val="auto"/>
                <w:sz w:val="24"/>
                <w:highlight w:val="none"/>
              </w:rPr>
              <w:t>2变频/定频:变频</w:t>
            </w:r>
          </w:p>
          <w:p>
            <w:pPr>
              <w:rPr>
                <w:rFonts w:ascii="宋体" w:hAnsi="宋体" w:eastAsia="宋体" w:cs="宋体"/>
                <w:color w:val="auto"/>
                <w:sz w:val="24"/>
                <w:highlight w:val="none"/>
              </w:rPr>
            </w:pPr>
            <w:r>
              <w:rPr>
                <w:rFonts w:hint="eastAsia" w:ascii="宋体" w:hAnsi="宋体" w:eastAsia="宋体" w:cs="宋体"/>
                <w:color w:val="auto"/>
                <w:sz w:val="24"/>
                <w:highlight w:val="none"/>
              </w:rPr>
              <w:t>3制冷/热适用面积：</w:t>
            </w:r>
            <w:r>
              <w:rPr>
                <w:rFonts w:hint="eastAsia" w:ascii="宋体" w:hAnsi="宋体" w:eastAsia="宋体" w:cs="宋体"/>
                <w:color w:val="auto"/>
                <w:sz w:val="24"/>
                <w:highlight w:val="none"/>
                <w:lang w:val="en-US" w:eastAsia="zh-CN"/>
              </w:rPr>
              <w:t>11-18</w:t>
            </w:r>
            <w:r>
              <w:rPr>
                <w:rFonts w:hint="eastAsia" w:ascii="宋体" w:hAnsi="宋体" w:eastAsia="宋体" w:cs="宋体"/>
                <w:color w:val="auto"/>
                <w:sz w:val="24"/>
                <w:highlight w:val="none"/>
              </w:rPr>
              <w:t>㎡</w:t>
            </w:r>
          </w:p>
          <w:p>
            <w:pPr>
              <w:rPr>
                <w:rFonts w:ascii="宋体" w:hAnsi="宋体" w:eastAsia="宋体" w:cs="宋体"/>
                <w:color w:val="auto"/>
                <w:sz w:val="24"/>
                <w:highlight w:val="none"/>
              </w:rPr>
            </w:pPr>
            <w:r>
              <w:rPr>
                <w:rFonts w:hint="eastAsia" w:ascii="宋体" w:hAnsi="宋体" w:eastAsia="宋体" w:cs="宋体"/>
                <w:color w:val="auto"/>
                <w:sz w:val="24"/>
                <w:highlight w:val="none"/>
              </w:rPr>
              <w:t>4能效等级：</w:t>
            </w:r>
            <w:r>
              <w:rPr>
                <w:rFonts w:hint="eastAsia" w:ascii="宋体" w:hAnsi="宋体" w:eastAsia="宋体" w:cs="宋体"/>
                <w:color w:val="auto"/>
                <w:sz w:val="24"/>
                <w:highlight w:val="none"/>
                <w:lang w:eastAsia="zh-CN"/>
              </w:rPr>
              <w:t>三级</w:t>
            </w:r>
            <w:r>
              <w:rPr>
                <w:rFonts w:hint="eastAsia" w:ascii="宋体" w:hAnsi="宋体" w:eastAsia="宋体" w:cs="宋体"/>
                <w:color w:val="auto"/>
                <w:sz w:val="24"/>
                <w:highlight w:val="none"/>
              </w:rPr>
              <w:t>及以上</w:t>
            </w:r>
          </w:p>
          <w:p>
            <w:pPr>
              <w:rPr>
                <w:rFonts w:ascii="宋体" w:hAnsi="宋体" w:eastAsia="宋体" w:cs="宋体"/>
                <w:color w:val="auto"/>
                <w:sz w:val="24"/>
                <w:highlight w:val="none"/>
              </w:rPr>
            </w:pPr>
            <w:r>
              <w:rPr>
                <w:rFonts w:hint="eastAsia" w:ascii="宋体" w:hAnsi="宋体" w:eastAsia="宋体" w:cs="宋体"/>
                <w:color w:val="auto"/>
                <w:sz w:val="24"/>
                <w:highlight w:val="none"/>
              </w:rPr>
              <w:t>5制冷剂：R32</w:t>
            </w:r>
          </w:p>
          <w:p>
            <w:pPr>
              <w:rPr>
                <w:rFonts w:ascii="宋体" w:hAnsi="宋体" w:eastAsia="宋体" w:cs="宋体"/>
                <w:color w:val="auto"/>
                <w:sz w:val="24"/>
                <w:highlight w:val="none"/>
              </w:rPr>
            </w:pPr>
            <w:r>
              <w:rPr>
                <w:rFonts w:hint="eastAsia" w:ascii="宋体" w:hAnsi="宋体" w:eastAsia="宋体" w:cs="宋体"/>
                <w:color w:val="auto"/>
                <w:sz w:val="24"/>
                <w:highlight w:val="none"/>
              </w:rPr>
              <w:t>6额定制冷量：≥</w:t>
            </w:r>
            <w:r>
              <w:rPr>
                <w:rFonts w:hint="eastAsia" w:ascii="宋体" w:hAnsi="宋体" w:eastAsia="宋体" w:cs="宋体"/>
                <w:color w:val="auto"/>
                <w:sz w:val="24"/>
                <w:highlight w:val="none"/>
                <w:lang w:val="en-US" w:eastAsia="zh-CN"/>
              </w:rPr>
              <w:t>3500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7制冷输入功率（标准工况）：≤</w:t>
            </w:r>
            <w:r>
              <w:rPr>
                <w:rFonts w:hint="eastAsia" w:ascii="宋体" w:hAnsi="宋体" w:eastAsia="宋体" w:cs="宋体"/>
                <w:color w:val="auto"/>
                <w:sz w:val="24"/>
                <w:highlight w:val="none"/>
                <w:lang w:val="en-US" w:eastAsia="zh-CN"/>
              </w:rPr>
              <w:t>960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8额定制热量：≥</w:t>
            </w:r>
            <w:r>
              <w:rPr>
                <w:rFonts w:hint="eastAsia" w:ascii="宋体" w:hAnsi="宋体" w:eastAsia="宋体" w:cs="宋体"/>
                <w:color w:val="auto"/>
                <w:sz w:val="24"/>
                <w:highlight w:val="none"/>
                <w:lang w:val="en-US" w:eastAsia="zh-CN"/>
              </w:rPr>
              <w:t>4600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9制热输入功率（标准工况）：≤</w:t>
            </w:r>
            <w:r>
              <w:rPr>
                <w:rFonts w:hint="eastAsia" w:ascii="宋体" w:hAnsi="宋体" w:eastAsia="宋体" w:cs="宋体"/>
                <w:color w:val="auto"/>
                <w:sz w:val="24"/>
                <w:highlight w:val="none"/>
                <w:lang w:val="en-US" w:eastAsia="zh-CN"/>
              </w:rPr>
              <w:t>1370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10电辅加热功率：≤</w:t>
            </w:r>
            <w:r>
              <w:rPr>
                <w:rFonts w:hint="eastAsia" w:ascii="宋体" w:hAnsi="宋体" w:eastAsia="宋体" w:cs="宋体"/>
                <w:color w:val="auto"/>
                <w:sz w:val="24"/>
                <w:highlight w:val="none"/>
                <w:lang w:val="en-US" w:eastAsia="zh-CN"/>
              </w:rPr>
              <w:t>1000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11循环风量：≥</w:t>
            </w:r>
            <w:r>
              <w:rPr>
                <w:rFonts w:hint="eastAsia" w:ascii="宋体" w:hAnsi="宋体" w:eastAsia="宋体" w:cs="宋体"/>
                <w:color w:val="auto"/>
                <w:sz w:val="24"/>
                <w:highlight w:val="none"/>
                <w:lang w:val="en-US" w:eastAsia="zh-CN"/>
              </w:rPr>
              <w:t>700</w:t>
            </w:r>
            <w:r>
              <w:rPr>
                <w:rFonts w:hint="eastAsia" w:ascii="宋体" w:hAnsi="宋体" w:eastAsia="宋体" w:cs="宋体"/>
                <w:color w:val="auto"/>
                <w:sz w:val="24"/>
                <w:highlight w:val="none"/>
              </w:rPr>
              <w:t>m3/h，</w:t>
            </w:r>
          </w:p>
          <w:p>
            <w:pPr>
              <w:rPr>
                <w:rFonts w:ascii="宋体" w:hAnsi="宋体" w:eastAsia="宋体" w:cs="宋体"/>
                <w:color w:val="auto"/>
                <w:sz w:val="24"/>
                <w:highlight w:val="none"/>
              </w:rPr>
            </w:pPr>
            <w:r>
              <w:rPr>
                <w:rFonts w:hint="eastAsia" w:ascii="宋体" w:hAnsi="宋体" w:eastAsia="宋体" w:cs="宋体"/>
                <w:color w:val="auto"/>
                <w:sz w:val="24"/>
                <w:highlight w:val="none"/>
              </w:rPr>
              <w:t>12室内机噪音：≤4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dB</w:t>
            </w:r>
          </w:p>
          <w:p>
            <w:pPr>
              <w:rPr>
                <w:rFonts w:ascii="宋体" w:hAnsi="宋体" w:eastAsia="宋体" w:cs="宋体"/>
                <w:color w:val="auto"/>
                <w:sz w:val="24"/>
                <w:highlight w:val="none"/>
              </w:rPr>
            </w:pPr>
            <w:r>
              <w:rPr>
                <w:rFonts w:hint="eastAsia" w:ascii="宋体" w:hAnsi="宋体" w:eastAsia="宋体" w:cs="宋体"/>
                <w:color w:val="auto"/>
                <w:sz w:val="24"/>
                <w:highlight w:val="none"/>
              </w:rPr>
              <w:t>13室外机噪音：≤5</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dB</w:t>
            </w:r>
          </w:p>
          <w:p>
            <w:pPr>
              <w:rPr>
                <w:rFonts w:ascii="宋体" w:hAnsi="宋体" w:eastAsia="宋体" w:cs="宋体"/>
                <w:color w:val="auto"/>
                <w:sz w:val="24"/>
                <w:highlight w:val="none"/>
              </w:rPr>
            </w:pPr>
            <w:r>
              <w:rPr>
                <w:rFonts w:hint="eastAsia" w:ascii="宋体" w:hAnsi="宋体" w:eastAsia="宋体" w:cs="宋体"/>
                <w:color w:val="auto"/>
                <w:sz w:val="24"/>
                <w:highlight w:val="none"/>
              </w:rPr>
              <w:t>14额定电压（V-Hz)：220V~ /50H</w:t>
            </w:r>
          </w:p>
          <w:p>
            <w:pP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15能效比（APF）：≥</w:t>
            </w:r>
            <w:r>
              <w:rPr>
                <w:rFonts w:hint="eastAsia" w:ascii="宋体" w:hAnsi="宋体" w:eastAsia="宋体" w:cs="宋体"/>
                <w:color w:val="auto"/>
                <w:sz w:val="24"/>
                <w:highlight w:val="none"/>
                <w:lang w:val="en-US" w:eastAsia="zh-CN"/>
              </w:rPr>
              <w:t>4.21</w:t>
            </w:r>
          </w:p>
          <w:p>
            <w:pPr>
              <w:rPr>
                <w:rFonts w:ascii="宋体" w:hAnsi="宋体" w:eastAsia="宋体" w:cs="宋体"/>
                <w:color w:val="auto"/>
                <w:sz w:val="24"/>
                <w:highlight w:val="none"/>
              </w:rPr>
            </w:pPr>
            <w:r>
              <w:rPr>
                <w:rFonts w:hint="eastAsia" w:ascii="宋体" w:hAnsi="宋体" w:eastAsia="宋体" w:cs="宋体"/>
                <w:color w:val="auto"/>
                <w:sz w:val="24"/>
                <w:highlight w:val="none"/>
              </w:rPr>
              <w:t>16保护功能：高电压保护、过热保护、过载保护、缺相保护、压力保护、电控防浪涌保护等</w:t>
            </w:r>
          </w:p>
          <w:p>
            <w:pPr>
              <w:rPr>
                <w:rFonts w:ascii="宋体" w:hAnsi="宋体" w:eastAsia="宋体" w:cs="宋体"/>
                <w:color w:val="auto"/>
                <w:sz w:val="24"/>
                <w:highlight w:val="none"/>
              </w:rPr>
            </w:pPr>
            <w:r>
              <w:rPr>
                <w:rFonts w:hint="eastAsia" w:ascii="宋体" w:hAnsi="宋体" w:eastAsia="宋体" w:cs="宋体"/>
                <w:color w:val="auto"/>
                <w:sz w:val="24"/>
                <w:highlight w:val="none"/>
              </w:rPr>
              <w:t>17提供相关的说明书或试验报告证书</w:t>
            </w:r>
          </w:p>
        </w:tc>
        <w:tc>
          <w:tcPr>
            <w:tcW w:w="801" w:type="dxa"/>
            <w:vAlign w:val="center"/>
          </w:tcPr>
          <w:p>
            <w:pPr>
              <w:jc w:val="center"/>
            </w:pPr>
            <w:r>
              <w:rPr>
                <w:rFonts w:hint="eastAsia" w:ascii="宋体" w:hAnsi="宋体" w:eastAsia="宋体" w:cs="Times New Roman"/>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0" w:type="dxa"/>
            <w:vAlign w:val="center"/>
          </w:tcPr>
          <w:p>
            <w:pPr>
              <w:jc w:val="center"/>
              <w:rPr>
                <w:rFonts w:ascii="宋体" w:hAnsi="宋体" w:eastAsia="宋体" w:cs="宋体"/>
                <w:sz w:val="24"/>
              </w:rPr>
            </w:pPr>
            <w:r>
              <w:rPr>
                <w:rFonts w:hint="eastAsia" w:ascii="宋体" w:hAnsi="宋体" w:eastAsia="宋体" w:cs="宋体"/>
                <w:sz w:val="24"/>
              </w:rPr>
              <w:t>3</w:t>
            </w:r>
          </w:p>
        </w:tc>
        <w:tc>
          <w:tcPr>
            <w:tcW w:w="1657" w:type="dxa"/>
            <w:vAlign w:val="center"/>
          </w:tcPr>
          <w:p>
            <w:pPr>
              <w:jc w:val="center"/>
              <w:rPr>
                <w:rFonts w:ascii="宋体" w:hAnsi="宋体" w:eastAsia="宋体" w:cs="宋体"/>
                <w:sz w:val="24"/>
              </w:rPr>
            </w:pPr>
            <w:r>
              <w:rPr>
                <w:rFonts w:hint="eastAsia" w:ascii="宋体" w:hAnsi="宋体" w:eastAsia="宋体" w:cs="宋体"/>
                <w:sz w:val="24"/>
              </w:rPr>
              <w:t>安装技术方案</w:t>
            </w:r>
          </w:p>
        </w:tc>
        <w:tc>
          <w:tcPr>
            <w:tcW w:w="5878" w:type="dxa"/>
          </w:tcPr>
          <w:p>
            <w:pPr>
              <w:rPr>
                <w:rFonts w:ascii="宋体" w:hAnsi="宋体" w:eastAsia="宋体" w:cs="宋体"/>
                <w:sz w:val="24"/>
              </w:rPr>
            </w:pPr>
            <w:r>
              <w:rPr>
                <w:rFonts w:hint="eastAsia" w:ascii="宋体" w:hAnsi="宋体" w:eastAsia="宋体" w:cs="宋体"/>
                <w:sz w:val="24"/>
              </w:rPr>
              <w:t>新建标准化学校，要求安装规范、美观。提供施工方案、建设进度及新技术、新工艺的安装方案。</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jc w:val="center"/>
              <w:rPr>
                <w:rFonts w:ascii="宋体" w:hAnsi="宋体" w:eastAsia="宋体" w:cs="宋体"/>
                <w:sz w:val="24"/>
              </w:rPr>
            </w:pPr>
            <w:r>
              <w:rPr>
                <w:rFonts w:hint="eastAsia" w:ascii="宋体" w:hAnsi="宋体" w:eastAsia="宋体" w:cs="宋体"/>
                <w:sz w:val="24"/>
              </w:rPr>
              <w:t>4</w:t>
            </w:r>
          </w:p>
        </w:tc>
        <w:tc>
          <w:tcPr>
            <w:tcW w:w="1657" w:type="dxa"/>
            <w:vAlign w:val="center"/>
          </w:tcPr>
          <w:p>
            <w:pPr>
              <w:jc w:val="center"/>
              <w:rPr>
                <w:rFonts w:ascii="宋体" w:hAnsi="宋体" w:eastAsia="宋体" w:cs="宋体"/>
                <w:sz w:val="24"/>
              </w:rPr>
            </w:pPr>
            <w:r>
              <w:rPr>
                <w:rFonts w:hint="eastAsia" w:ascii="宋体" w:hAnsi="宋体" w:eastAsia="宋体" w:cs="宋体"/>
                <w:sz w:val="24"/>
              </w:rPr>
              <w:t>维修时间要求</w:t>
            </w:r>
          </w:p>
        </w:tc>
        <w:tc>
          <w:tcPr>
            <w:tcW w:w="5878" w:type="dxa"/>
          </w:tcPr>
          <w:p>
            <w:pPr>
              <w:pStyle w:val="41"/>
              <w:ind w:left="0" w:leftChars="0" w:firstLine="0" w:firstLineChars="0"/>
              <w:rPr>
                <w:rFonts w:ascii="宋体" w:hAnsi="宋体" w:eastAsia="宋体" w:cs="宋体"/>
              </w:rPr>
            </w:pPr>
            <w:r>
              <w:rPr>
                <w:rFonts w:hint="eastAsia" w:ascii="宋体" w:hAnsi="宋体" w:eastAsia="宋体" w:cs="宋体"/>
                <w:kern w:val="2"/>
                <w:sz w:val="24"/>
                <w:szCs w:val="22"/>
                <w:lang w:val="en-US" w:eastAsia="zh-CN" w:bidi="ar-SA"/>
              </w:rPr>
              <w:t>在设备出现故障时，能够在非工作时间内作业，例如课间中午放学时间和下晚自习时间等。</w:t>
            </w:r>
          </w:p>
        </w:tc>
        <w:tc>
          <w:tcPr>
            <w:tcW w:w="801" w:type="dxa"/>
            <w:vAlign w:val="center"/>
          </w:tcPr>
          <w:p>
            <w:pPr>
              <w:pStyle w:val="201"/>
              <w:spacing w:line="240" w:lineRule="exact"/>
              <w:ind w:left="-57" w:leftChars="-27" w:right="-78" w:rightChars="-37"/>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jc w:val="center"/>
              <w:rPr>
                <w:rFonts w:ascii="宋体" w:hAnsi="宋体" w:eastAsia="宋体" w:cs="宋体"/>
                <w:sz w:val="24"/>
              </w:rPr>
            </w:pPr>
            <w:r>
              <w:rPr>
                <w:rFonts w:hint="eastAsia" w:ascii="宋体" w:hAnsi="宋体" w:eastAsia="宋体" w:cs="宋体"/>
                <w:sz w:val="24"/>
              </w:rPr>
              <w:t>5</w:t>
            </w:r>
          </w:p>
        </w:tc>
        <w:tc>
          <w:tcPr>
            <w:tcW w:w="1657" w:type="dxa"/>
            <w:vMerge w:val="restart"/>
            <w:vAlign w:val="center"/>
          </w:tcPr>
          <w:p>
            <w:pPr>
              <w:jc w:val="center"/>
              <w:rPr>
                <w:rFonts w:ascii="宋体" w:hAnsi="宋体" w:eastAsia="宋体" w:cs="宋体"/>
                <w:sz w:val="24"/>
              </w:rPr>
            </w:pPr>
            <w:r>
              <w:rPr>
                <w:rFonts w:hint="eastAsia" w:ascii="宋体" w:hAnsi="宋体" w:eastAsia="宋体" w:cs="宋体"/>
                <w:sz w:val="24"/>
              </w:rPr>
              <w:t>验收调试方案</w:t>
            </w:r>
          </w:p>
        </w:tc>
        <w:tc>
          <w:tcPr>
            <w:tcW w:w="5878" w:type="dxa"/>
          </w:tcPr>
          <w:p>
            <w:pPr>
              <w:pStyle w:val="41"/>
              <w:ind w:left="0" w:leftChars="0" w:firstLine="0" w:firstLineChars="0"/>
              <w:rPr>
                <w:rFonts w:ascii="宋体" w:hAnsi="宋体" w:eastAsia="宋体" w:cs="宋体"/>
              </w:rPr>
            </w:pPr>
            <w:r>
              <w:rPr>
                <w:rFonts w:hint="eastAsia" w:ascii="宋体" w:hAnsi="宋体" w:eastAsia="宋体" w:cs="宋体"/>
                <w:kern w:val="2"/>
                <w:sz w:val="24"/>
                <w:szCs w:val="22"/>
                <w:lang w:val="en-US" w:eastAsia="zh-CN" w:bidi="ar-SA"/>
              </w:rPr>
              <w:t>5.1中标人必须派人到现场协助采购人进行验收。提供的设备清单及产品合格证、使用说明书和其它的技术资料。检查设备及随机附件是否完整无损，技术资料与图纸是否与采购人的要求相符，如有损坏、缺件等情况，中标人应在5日内更换新产品，相应的费用及责任由中标人自行负担。</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eastAsia="宋体" w:cs="宋体"/>
                <w:sz w:val="24"/>
              </w:rPr>
            </w:pPr>
          </w:p>
        </w:tc>
        <w:tc>
          <w:tcPr>
            <w:tcW w:w="1657" w:type="dxa"/>
            <w:vMerge w:val="continue"/>
            <w:vAlign w:val="center"/>
          </w:tcPr>
          <w:p>
            <w:pPr>
              <w:jc w:val="center"/>
              <w:rPr>
                <w:rFonts w:ascii="宋体" w:hAnsi="宋体" w:eastAsia="宋体" w:cs="宋体"/>
                <w:sz w:val="24"/>
              </w:rPr>
            </w:pPr>
          </w:p>
        </w:tc>
        <w:tc>
          <w:tcPr>
            <w:tcW w:w="5878" w:type="dxa"/>
          </w:tcPr>
          <w:p>
            <w:pPr>
              <w:pStyle w:val="203"/>
              <w:spacing w:beforeLines="25" w:line="240" w:lineRule="exact"/>
              <w:rPr>
                <w:rFonts w:ascii="宋体" w:hAnsi="宋体" w:cs="宋体"/>
                <w:sz w:val="24"/>
                <w:szCs w:val="24"/>
              </w:rPr>
            </w:pPr>
            <w:r>
              <w:rPr>
                <w:rFonts w:hint="eastAsia" w:ascii="宋体" w:hAnsi="宋体" w:cs="宋体"/>
                <w:sz w:val="24"/>
                <w:szCs w:val="24"/>
              </w:rPr>
              <w:t>5.2中标人在采购人使用现场安装人员的安全、保险、食宿、交通由中标人负责。</w:t>
            </w:r>
          </w:p>
        </w:tc>
        <w:tc>
          <w:tcPr>
            <w:tcW w:w="801" w:type="dxa"/>
            <w:vAlign w:val="center"/>
          </w:tcPr>
          <w:p>
            <w:pPr>
              <w:pStyle w:val="201"/>
              <w:spacing w:line="240" w:lineRule="exact"/>
              <w:ind w:left="-57" w:leftChars="-27" w:right="-78" w:rightChars="-37"/>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0" w:type="dxa"/>
            <w:vAlign w:val="center"/>
          </w:tcPr>
          <w:p>
            <w:pPr>
              <w:jc w:val="center"/>
              <w:rPr>
                <w:rFonts w:ascii="宋体" w:hAnsi="宋体" w:eastAsia="宋体" w:cs="宋体"/>
                <w:sz w:val="24"/>
              </w:rPr>
            </w:pPr>
            <w:r>
              <w:rPr>
                <w:rFonts w:hint="eastAsia" w:ascii="宋体" w:hAnsi="宋体" w:eastAsia="宋体" w:cs="宋体"/>
                <w:sz w:val="24"/>
              </w:rPr>
              <w:t>6</w:t>
            </w:r>
          </w:p>
        </w:tc>
        <w:tc>
          <w:tcPr>
            <w:tcW w:w="1657" w:type="dxa"/>
            <w:vAlign w:val="center"/>
          </w:tcPr>
          <w:p>
            <w:pPr>
              <w:jc w:val="center"/>
              <w:rPr>
                <w:rFonts w:hint="eastAsia" w:ascii="宋体" w:hAnsi="宋体" w:eastAsia="宋体" w:cs="宋体"/>
                <w:sz w:val="24"/>
                <w:lang w:eastAsia="zh-CN"/>
              </w:rPr>
            </w:pPr>
            <w:r>
              <w:rPr>
                <w:rFonts w:hint="eastAsia" w:ascii="宋体" w:hAnsi="宋体" w:eastAsia="宋体" w:cs="宋体"/>
                <w:sz w:val="24"/>
              </w:rPr>
              <w:t>应急处置方案</w:t>
            </w:r>
          </w:p>
        </w:tc>
        <w:tc>
          <w:tcPr>
            <w:tcW w:w="5878" w:type="dxa"/>
            <w:vAlign w:val="center"/>
          </w:tcPr>
          <w:p>
            <w:pPr>
              <w:pStyle w:val="203"/>
              <w:spacing w:beforeLines="25" w:line="240" w:lineRule="exact"/>
              <w:rPr>
                <w:rFonts w:ascii="宋体" w:hAnsi="宋体" w:cs="宋体"/>
                <w:sz w:val="24"/>
                <w:szCs w:val="24"/>
                <w:highlight w:val="none"/>
              </w:rPr>
            </w:pPr>
            <w:r>
              <w:rPr>
                <w:rFonts w:hint="eastAsia" w:ascii="宋体" w:hAnsi="宋体" w:cs="宋体"/>
                <w:sz w:val="24"/>
                <w:szCs w:val="24"/>
              </w:rPr>
              <w:t>遇突发情况有应急处置方案。</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宋体" w:hAnsi="宋体" w:eastAsia="宋体" w:cs="宋体"/>
                <w:sz w:val="24"/>
              </w:rPr>
            </w:pPr>
            <w:r>
              <w:rPr>
                <w:rFonts w:hint="eastAsia" w:ascii="宋体" w:hAnsi="宋体" w:eastAsia="宋体" w:cs="宋体"/>
                <w:sz w:val="24"/>
              </w:rPr>
              <w:t>7</w:t>
            </w:r>
          </w:p>
        </w:tc>
        <w:tc>
          <w:tcPr>
            <w:tcW w:w="1657" w:type="dxa"/>
            <w:vAlign w:val="center"/>
          </w:tcPr>
          <w:p>
            <w:pPr>
              <w:jc w:val="center"/>
              <w:rPr>
                <w:rFonts w:ascii="宋体" w:hAnsi="宋体" w:eastAsia="宋体" w:cs="宋体"/>
                <w:sz w:val="24"/>
              </w:rPr>
            </w:pPr>
            <w:r>
              <w:rPr>
                <w:rFonts w:hint="eastAsia" w:ascii="宋体" w:hAnsi="宋体" w:eastAsia="宋体" w:cs="宋体"/>
                <w:sz w:val="24"/>
              </w:rPr>
              <w:t>售后服务方案</w:t>
            </w:r>
          </w:p>
        </w:tc>
        <w:tc>
          <w:tcPr>
            <w:tcW w:w="5878" w:type="dxa"/>
          </w:tcPr>
          <w:p>
            <w:pPr>
              <w:rPr>
                <w:rFonts w:ascii="宋体" w:hAnsi="宋体" w:eastAsia="宋体" w:cs="宋体"/>
                <w:sz w:val="24"/>
              </w:rPr>
            </w:pPr>
            <w:r>
              <w:rPr>
                <w:rFonts w:hint="eastAsia" w:ascii="宋体" w:hAnsi="宋体" w:eastAsia="宋体" w:cs="宋体"/>
                <w:sz w:val="24"/>
              </w:rPr>
              <w:t>有专人负责设备的跟踪服务。接到报修电话后，服务响应时间不大于2小时。备品零件服务：</w:t>
            </w:r>
            <w:r>
              <w:rPr>
                <w:rFonts w:hint="eastAsia" w:ascii="宋体" w:hAnsi="宋体" w:eastAsia="宋体" w:cs="宋体"/>
                <w:sz w:val="24"/>
                <w:lang w:val="zh-CN"/>
              </w:rPr>
              <w:t>长期提供</w:t>
            </w:r>
            <w:r>
              <w:rPr>
                <w:rFonts w:hint="eastAsia" w:ascii="宋体" w:hAnsi="宋体" w:eastAsia="宋体" w:cs="宋体"/>
                <w:sz w:val="24"/>
              </w:rPr>
              <w:t>设备</w:t>
            </w:r>
            <w:r>
              <w:rPr>
                <w:rFonts w:hint="eastAsia" w:ascii="宋体" w:hAnsi="宋体" w:eastAsia="宋体" w:cs="宋体"/>
                <w:sz w:val="24"/>
                <w:lang w:val="zh-CN"/>
              </w:rPr>
              <w:t>配件，</w:t>
            </w:r>
            <w:r>
              <w:rPr>
                <w:rFonts w:hint="eastAsia" w:ascii="宋体" w:hAnsi="宋体" w:eastAsia="宋体" w:cs="宋体"/>
                <w:sz w:val="24"/>
              </w:rPr>
              <w:t>投标人或制造商有完善的本地化售后服务体系，</w:t>
            </w:r>
            <w:r>
              <w:rPr>
                <w:rFonts w:hint="eastAsia" w:ascii="宋体" w:hAnsi="宋体" w:eastAsia="宋体" w:cs="宋体"/>
                <w:sz w:val="24"/>
                <w:lang w:val="zh-CN"/>
              </w:rPr>
              <w:t>就设备的保修、维护期及保修、维护期内的免费服务内容予以说明，并提供期满后的有偿服务内容和价格（清单）。</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657" w:type="dxa"/>
            <w:vMerge w:val="restart"/>
            <w:vAlign w:val="center"/>
          </w:tcPr>
          <w:p>
            <w:pPr>
              <w:jc w:val="center"/>
              <w:rPr>
                <w:rFonts w:ascii="宋体" w:hAnsi="宋体" w:eastAsia="宋体" w:cs="宋体"/>
                <w:sz w:val="24"/>
              </w:rPr>
            </w:pPr>
            <w:r>
              <w:rPr>
                <w:rFonts w:hint="eastAsia" w:ascii="宋体" w:hAnsi="宋体" w:eastAsia="宋体" w:cs="宋体"/>
                <w:sz w:val="24"/>
              </w:rPr>
              <w:t>质量要求</w:t>
            </w:r>
          </w:p>
        </w:tc>
        <w:tc>
          <w:tcPr>
            <w:tcW w:w="5878" w:type="dxa"/>
          </w:tcPr>
          <w:p>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w:t>
            </w:r>
            <w:r>
              <w:rPr>
                <w:rFonts w:hint="eastAsia" w:ascii="宋体" w:hAnsi="宋体" w:eastAsia="宋体" w:cs="宋体"/>
                <w:sz w:val="24"/>
              </w:rPr>
              <w:t xml:space="preserve">本次招标项目的产品和安装必须完全满足中华人民共和国国家质量标准及现行规范要求，投标人应根据企业实际能力在投标文件中对项目质量予以承诺，中标后在合同中加以确认。 </w:t>
            </w:r>
          </w:p>
        </w:tc>
        <w:tc>
          <w:tcPr>
            <w:tcW w:w="801" w:type="dxa"/>
            <w:vMerge w:val="restart"/>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eastAsia="宋体" w:cs="宋体"/>
                <w:sz w:val="24"/>
              </w:rPr>
            </w:pPr>
          </w:p>
        </w:tc>
        <w:tc>
          <w:tcPr>
            <w:tcW w:w="1657" w:type="dxa"/>
            <w:vMerge w:val="continue"/>
            <w:vAlign w:val="center"/>
          </w:tcPr>
          <w:p>
            <w:pPr>
              <w:jc w:val="center"/>
              <w:rPr>
                <w:rFonts w:ascii="宋体" w:hAnsi="宋体" w:eastAsia="宋体" w:cs="宋体"/>
                <w:sz w:val="24"/>
              </w:rPr>
            </w:pPr>
          </w:p>
        </w:tc>
        <w:tc>
          <w:tcPr>
            <w:tcW w:w="5878" w:type="dxa"/>
          </w:tcPr>
          <w:p>
            <w:pPr>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 xml:space="preserve">.2所有设备和配件均要求是经过实际运行验证、性能稳定的全新产品，且设备上具有原制造厂商的铭牌、标志。 </w:t>
            </w:r>
          </w:p>
        </w:tc>
        <w:tc>
          <w:tcPr>
            <w:tcW w:w="801" w:type="dxa"/>
            <w:vMerge w:val="continue"/>
            <w:vAlign w:val="center"/>
          </w:tcPr>
          <w:p>
            <w:pPr>
              <w:pStyle w:val="201"/>
              <w:spacing w:line="240" w:lineRule="exact"/>
              <w:ind w:left="-57" w:leftChars="-27" w:right="-78" w:rightChars="-37"/>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eastAsia="宋体" w:cs="宋体"/>
                <w:sz w:val="24"/>
              </w:rPr>
            </w:pPr>
          </w:p>
        </w:tc>
        <w:tc>
          <w:tcPr>
            <w:tcW w:w="1657" w:type="dxa"/>
            <w:vMerge w:val="continue"/>
            <w:vAlign w:val="center"/>
          </w:tcPr>
          <w:p>
            <w:pPr>
              <w:jc w:val="center"/>
              <w:rPr>
                <w:rFonts w:ascii="宋体" w:hAnsi="宋体" w:eastAsia="宋体" w:cs="宋体"/>
                <w:sz w:val="24"/>
              </w:rPr>
            </w:pPr>
          </w:p>
        </w:tc>
        <w:tc>
          <w:tcPr>
            <w:tcW w:w="5878" w:type="dxa"/>
          </w:tcPr>
          <w:p>
            <w:pPr>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.3投标人在投标及中标后，发生侵犯专利权的行为时，其侵权责任与采购人无关，应由投标人承担相应的责任，并不得影响采购人的利益。</w:t>
            </w:r>
          </w:p>
        </w:tc>
        <w:tc>
          <w:tcPr>
            <w:tcW w:w="801" w:type="dxa"/>
            <w:vMerge w:val="continue"/>
            <w:vAlign w:val="center"/>
          </w:tcPr>
          <w:p>
            <w:pPr>
              <w:pStyle w:val="201"/>
              <w:spacing w:line="240" w:lineRule="exact"/>
              <w:ind w:left="-57" w:leftChars="-27" w:right="-78" w:rightChars="-37"/>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657" w:type="dxa"/>
            <w:vAlign w:val="center"/>
          </w:tcPr>
          <w:p>
            <w:pPr>
              <w:rPr>
                <w:rFonts w:ascii="宋体" w:hAnsi="宋体" w:eastAsia="宋体" w:cs="宋体"/>
                <w:sz w:val="24"/>
              </w:rPr>
            </w:pPr>
            <w:r>
              <w:rPr>
                <w:rFonts w:hint="eastAsia" w:ascii="宋体" w:hAnsi="宋体" w:eastAsia="宋体" w:cs="宋体"/>
                <w:sz w:val="24"/>
              </w:rPr>
              <w:t>质量保证措施</w:t>
            </w:r>
          </w:p>
        </w:tc>
        <w:tc>
          <w:tcPr>
            <w:tcW w:w="5878" w:type="dxa"/>
          </w:tcPr>
          <w:p>
            <w:pPr>
              <w:rPr>
                <w:rFonts w:ascii="宋体" w:hAnsi="宋体" w:eastAsia="宋体" w:cs="宋体"/>
                <w:sz w:val="24"/>
              </w:rPr>
            </w:pPr>
            <w:r>
              <w:rPr>
                <w:rFonts w:hint="eastAsia" w:ascii="宋体" w:hAnsi="宋体" w:eastAsia="宋体" w:cs="宋体"/>
                <w:sz w:val="24"/>
              </w:rPr>
              <w:t>机器出现故障问题24小时内必须保证正常运行，机器出现性能故障问题一年内免费包换，并承诺质保期后的维修方案和备品备件的供应年限。</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bl>
    <w:p>
      <w:pPr>
        <w:rPr>
          <w:rFonts w:ascii="宋体" w:hAnsi="宋体"/>
          <w:b/>
          <w:sz w:val="28"/>
          <w:szCs w:val="28"/>
        </w:rPr>
      </w:pPr>
      <w:r>
        <w:rPr>
          <w:rFonts w:hint="eastAsia" w:ascii="宋体" w:hAnsi="宋体"/>
          <w:b/>
          <w:sz w:val="28"/>
          <w:szCs w:val="28"/>
        </w:rPr>
        <w:t>五、商务要求</w:t>
      </w:r>
    </w:p>
    <w:p>
      <w:pPr>
        <w:spacing w:line="360" w:lineRule="auto"/>
        <w:rPr>
          <w:rFonts w:asciiTheme="minorEastAsia" w:hAnsiTheme="minorEastAsia" w:cstheme="minorEastAsia"/>
          <w:sz w:val="24"/>
        </w:rPr>
      </w:pPr>
      <w:r>
        <w:rPr>
          <w:rFonts w:hint="eastAsia" w:asciiTheme="minorEastAsia" w:hAnsiTheme="minorEastAsia" w:cstheme="minorEastAsia"/>
          <w:b/>
          <w:sz w:val="24"/>
        </w:rPr>
        <w:t>说明：</w:t>
      </w:r>
      <w:r>
        <w:rPr>
          <w:rFonts w:hint="eastAsia" w:asciiTheme="minorEastAsia" w:hAnsiTheme="minorEastAsia" w:cstheme="minorEastAsia"/>
          <w:sz w:val="24"/>
        </w:rPr>
        <w:t>1、投标人在投标文件《商务（合同草案条款）响应、偏离情况说明表》中未对以下技术、服务要求逐条说明响应或偏离情况的，其投标</w:t>
      </w:r>
      <w:r>
        <w:rPr>
          <w:rFonts w:hint="eastAsia" w:asciiTheme="minorEastAsia" w:hAnsiTheme="minorEastAsia" w:cstheme="minorEastAsia"/>
          <w:b/>
          <w:bCs/>
          <w:sz w:val="24"/>
        </w:rPr>
        <w:t>按无效投标处理</w:t>
      </w:r>
      <w:r>
        <w:rPr>
          <w:rFonts w:hint="eastAsia" w:asciiTheme="minorEastAsia" w:hAnsiTheme="minorEastAsia" w:cstheme="minorEastAsia"/>
          <w:sz w:val="24"/>
        </w:rPr>
        <w:t>。</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2、下列标注有</w:t>
      </w:r>
      <w:r>
        <w:rPr>
          <w:rFonts w:hint="eastAsia" w:asciiTheme="minorEastAsia" w:hAnsiTheme="minorEastAsia" w:cstheme="minorEastAsia"/>
          <w:b/>
          <w:sz w:val="24"/>
        </w:rPr>
        <w:t>“△”号</w:t>
      </w:r>
      <w:r>
        <w:rPr>
          <w:rFonts w:hint="eastAsia" w:asciiTheme="minorEastAsia" w:hAnsiTheme="minorEastAsia" w:cstheme="minorEastAsia"/>
          <w:sz w:val="24"/>
        </w:rPr>
        <w:t>的条款，为</w:t>
      </w:r>
      <w:r>
        <w:rPr>
          <w:rFonts w:hint="eastAsia" w:asciiTheme="minorEastAsia" w:hAnsiTheme="minorEastAsia" w:cstheme="minorEastAsia"/>
          <w:b/>
          <w:sz w:val="24"/>
        </w:rPr>
        <w:t xml:space="preserve"> “评审因素及评分标准”</w:t>
      </w:r>
      <w:r>
        <w:rPr>
          <w:rFonts w:hint="eastAsia" w:asciiTheme="minorEastAsia" w:hAnsiTheme="minorEastAsia" w:cstheme="minorEastAsia"/>
          <w:sz w:val="24"/>
        </w:rPr>
        <w:t>中的评分内容。</w:t>
      </w:r>
    </w:p>
    <w:p>
      <w:pPr>
        <w:spacing w:line="360" w:lineRule="auto"/>
        <w:rPr>
          <w:rFonts w:ascii="宋体" w:hAnsi="宋体" w:eastAsia="宋体" w:cs="宋体"/>
          <w:sz w:val="24"/>
          <w:highlight w:val="none"/>
        </w:rPr>
      </w:pPr>
      <w:r>
        <w:rPr>
          <w:rFonts w:hint="eastAsia" w:ascii="宋体" w:hAnsi="宋体" w:eastAsia="宋体" w:cs="宋体"/>
          <w:sz w:val="24"/>
        </w:rPr>
        <w:t>3.1</w:t>
      </w:r>
      <w:r>
        <w:rPr>
          <w:rFonts w:hint="eastAsia" w:ascii="宋体" w:hAnsi="宋体" w:eastAsia="宋体" w:cs="宋体"/>
          <w:sz w:val="24"/>
          <w:highlight w:val="none"/>
        </w:rPr>
        <w:t xml:space="preserve">  工期：自合同签订后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个</w:t>
      </w:r>
      <w:r>
        <w:rPr>
          <w:rFonts w:hint="eastAsia" w:ascii="宋体" w:hAnsi="宋体" w:eastAsia="宋体" w:cs="宋体"/>
          <w:sz w:val="24"/>
          <w:highlight w:val="none"/>
          <w:lang w:eastAsia="zh-CN"/>
        </w:rPr>
        <w:t>日历日</w:t>
      </w:r>
      <w:r>
        <w:rPr>
          <w:rFonts w:hint="eastAsia" w:ascii="宋体" w:hAnsi="宋体" w:eastAsia="宋体" w:cs="宋体"/>
          <w:sz w:val="24"/>
          <w:highlight w:val="none"/>
        </w:rPr>
        <w:t>内完成建设，并移交采购人使用。</w:t>
      </w:r>
    </w:p>
    <w:p>
      <w:pPr>
        <w:pStyle w:val="204"/>
        <w:spacing w:line="360" w:lineRule="auto"/>
        <w:ind w:right="264"/>
        <w:rPr>
          <w:rFonts w:hint="default" w:eastAsia="宋体" w:cs="宋体"/>
          <w:kern w:val="2"/>
          <w:highlight w:val="none"/>
        </w:rPr>
      </w:pPr>
      <w:r>
        <w:rPr>
          <w:rFonts w:eastAsia="宋体" w:cs="宋体"/>
          <w:kern w:val="2"/>
          <w:highlight w:val="none"/>
        </w:rPr>
        <w:t>3.2  交付地点：采购人指定地点。</w:t>
      </w:r>
    </w:p>
    <w:p>
      <w:pPr>
        <w:pStyle w:val="204"/>
        <w:spacing w:line="360" w:lineRule="auto"/>
        <w:ind w:right="264"/>
        <w:rPr>
          <w:rFonts w:hint="default" w:eastAsia="宋体" w:cs="宋体"/>
        </w:rPr>
      </w:pPr>
      <w:r>
        <w:rPr>
          <w:rFonts w:asciiTheme="minorEastAsia" w:hAnsiTheme="minorEastAsia" w:cstheme="minorEastAsia"/>
          <w:b/>
        </w:rPr>
        <w:t>△</w:t>
      </w:r>
      <w:r>
        <w:rPr>
          <w:rFonts w:eastAsia="宋体" w:cs="宋体"/>
          <w:kern w:val="2"/>
        </w:rPr>
        <w:t>3.3 项目实施方案：</w:t>
      </w:r>
      <w:r>
        <w:rPr>
          <w:rFonts w:eastAsia="宋体" w:cs="宋体"/>
        </w:rPr>
        <w:t>投标人针对该项目制定合理的实施方案。</w:t>
      </w:r>
    </w:p>
    <w:p>
      <w:pPr>
        <w:pStyle w:val="204"/>
        <w:spacing w:line="360" w:lineRule="auto"/>
        <w:ind w:right="264"/>
        <w:rPr>
          <w:rFonts w:hint="default" w:eastAsia="宋体" w:cs="宋体"/>
          <w:kern w:val="2"/>
        </w:rPr>
      </w:pPr>
      <w:r>
        <w:rPr>
          <w:rFonts w:asciiTheme="minorEastAsia" w:hAnsiTheme="minorEastAsia" w:cstheme="minorEastAsia"/>
          <w:b/>
        </w:rPr>
        <w:t>△</w:t>
      </w:r>
      <w:r>
        <w:rPr>
          <w:rFonts w:eastAsia="宋体" w:cs="宋体"/>
          <w:kern w:val="2"/>
        </w:rPr>
        <w:t>3.4  售后服务要求:投标人提供完善售后服务方案及售后服务承诺函，竣工验收合格后进入售后服务期。</w:t>
      </w:r>
    </w:p>
    <w:p>
      <w:pPr>
        <w:pStyle w:val="204"/>
        <w:spacing w:line="360" w:lineRule="auto"/>
        <w:ind w:right="264"/>
        <w:rPr>
          <w:rFonts w:hint="default" w:eastAsia="宋体" w:cs="宋体"/>
          <w:kern w:val="2"/>
          <w:highlight w:val="none"/>
        </w:rPr>
      </w:pPr>
      <w:r>
        <w:rPr>
          <w:rFonts w:asciiTheme="minorEastAsia" w:hAnsiTheme="minorEastAsia" w:cstheme="minorEastAsia"/>
          <w:b/>
          <w:highlight w:val="none"/>
        </w:rPr>
        <w:t>△</w:t>
      </w:r>
      <w:r>
        <w:rPr>
          <w:rFonts w:eastAsia="宋体" w:cs="宋体"/>
          <w:kern w:val="2"/>
          <w:highlight w:val="none"/>
        </w:rPr>
        <w:t>3.5 质保期：</w:t>
      </w:r>
      <w:r>
        <w:rPr>
          <w:rFonts w:hint="eastAsia" w:eastAsia="宋体" w:cs="宋体"/>
          <w:kern w:val="2"/>
          <w:highlight w:val="none"/>
          <w:lang w:eastAsia="zh-CN"/>
        </w:rPr>
        <w:t>五</w:t>
      </w:r>
      <w:r>
        <w:rPr>
          <w:rFonts w:eastAsia="宋体" w:cs="宋体"/>
          <w:kern w:val="2"/>
          <w:highlight w:val="none"/>
        </w:rPr>
        <w:t>年。</w:t>
      </w:r>
    </w:p>
    <w:p>
      <w:pPr>
        <w:pStyle w:val="204"/>
        <w:spacing w:line="360" w:lineRule="auto"/>
        <w:ind w:right="264"/>
        <w:rPr>
          <w:rFonts w:hint="default" w:eastAsia="宋体" w:cs="宋体"/>
          <w:kern w:val="2"/>
          <w:highlight w:val="none"/>
        </w:rPr>
      </w:pPr>
      <w:r>
        <w:rPr>
          <w:rFonts w:eastAsia="宋体" w:cs="宋体"/>
          <w:kern w:val="2"/>
          <w:highlight w:val="none"/>
        </w:rPr>
        <w:t>3.6报价要求：</w:t>
      </w:r>
    </w:p>
    <w:p>
      <w:pPr>
        <w:pStyle w:val="204"/>
        <w:spacing w:line="360" w:lineRule="auto"/>
        <w:ind w:right="264" w:firstLine="480" w:firstLineChars="200"/>
        <w:rPr>
          <w:rFonts w:hint="default" w:eastAsia="宋体" w:cs="宋体"/>
          <w:kern w:val="2"/>
        </w:rPr>
      </w:pPr>
      <w:r>
        <w:rPr>
          <w:rFonts w:eastAsia="宋体" w:cs="宋体"/>
          <w:kern w:val="2"/>
        </w:rPr>
        <w:t>1、投标人的报价应包含为完成本招标文件提出的货物或服务等全部相关工作所有可能发生的费用，即投标总报价为“交钥匙”价。对在合同实施过程中可能发生的其他费用，采购人概不负责。</w:t>
      </w:r>
    </w:p>
    <w:p>
      <w:pPr>
        <w:pStyle w:val="204"/>
        <w:spacing w:line="360" w:lineRule="auto"/>
        <w:ind w:right="264" w:firstLine="480" w:firstLineChars="200"/>
        <w:rPr>
          <w:rFonts w:hint="default" w:eastAsia="宋体" w:cs="宋体"/>
          <w:kern w:val="2"/>
        </w:rPr>
      </w:pPr>
      <w:r>
        <w:rPr>
          <w:rFonts w:eastAsia="宋体" w:cs="宋体"/>
          <w:kern w:val="2"/>
        </w:rPr>
        <w:t>2、对本文件未列明，而投标人认为必需的费用也需列入投标总报价。在合同实施时，采购人将不予支付中标人没有列入的项目费用，并认为此项目的费用已包含在投标总报价中。</w:t>
      </w:r>
    </w:p>
    <w:p>
      <w:pPr>
        <w:pStyle w:val="204"/>
        <w:spacing w:line="360" w:lineRule="auto"/>
        <w:ind w:right="264"/>
        <w:rPr>
          <w:rFonts w:hint="default" w:eastAsia="宋体" w:cs="宋体"/>
          <w:kern w:val="2"/>
        </w:rPr>
      </w:pPr>
      <w:r>
        <w:rPr>
          <w:rFonts w:eastAsia="宋体" w:cs="宋体"/>
          <w:kern w:val="2"/>
        </w:rPr>
        <w:t>3.7  付款方式：</w:t>
      </w:r>
    </w:p>
    <w:p>
      <w:pPr>
        <w:pStyle w:val="204"/>
        <w:spacing w:line="360" w:lineRule="auto"/>
        <w:ind w:right="264" w:firstLine="420" w:firstLineChars="175"/>
        <w:rPr>
          <w:rFonts w:hint="default" w:eastAsia="宋体" w:cs="宋体"/>
          <w:kern w:val="2"/>
        </w:rPr>
      </w:pPr>
      <w:r>
        <w:rPr>
          <w:rFonts w:eastAsia="宋体" w:cs="宋体"/>
          <w:kern w:val="2"/>
        </w:rPr>
        <w:t>1、合同款支付：按合同约定的付款方式付款。</w:t>
      </w:r>
    </w:p>
    <w:p>
      <w:pPr>
        <w:pStyle w:val="204"/>
        <w:spacing w:line="360" w:lineRule="auto"/>
        <w:ind w:right="264" w:firstLine="420" w:firstLineChars="175"/>
        <w:rPr>
          <w:rFonts w:hint="default" w:eastAsia="宋体" w:cs="宋体"/>
          <w:kern w:val="2"/>
        </w:rPr>
      </w:pPr>
      <w:r>
        <w:rPr>
          <w:rFonts w:eastAsia="宋体" w:cs="宋体"/>
          <w:kern w:val="2"/>
        </w:rPr>
        <w:t>2、中标人必须按国家有关财税规定开具发票。</w:t>
      </w:r>
    </w:p>
    <w:p>
      <w:pPr>
        <w:pStyle w:val="204"/>
        <w:spacing w:line="360" w:lineRule="auto"/>
        <w:ind w:right="264"/>
        <w:rPr>
          <w:rFonts w:hint="default" w:eastAsia="宋体" w:cs="宋体"/>
          <w:kern w:val="2"/>
        </w:rPr>
      </w:pPr>
      <w:r>
        <w:rPr>
          <w:rFonts w:eastAsia="宋体" w:cs="宋体"/>
          <w:kern w:val="2"/>
        </w:rPr>
        <w:t>3.8  验收要求：中标人完成工作内容后向采购人提验收申请，由相关部门对产品进行检测，出具验收合格报告后，经采购人组织评审通过视为验收合格。</w:t>
      </w:r>
    </w:p>
    <w:p>
      <w:pPr>
        <w:pStyle w:val="204"/>
        <w:spacing w:line="360" w:lineRule="auto"/>
        <w:ind w:right="264"/>
        <w:rPr>
          <w:rFonts w:hint="eastAsia" w:ascii="宋体" w:hAnsi="宋体" w:eastAsia="仿宋" w:cs="宋体"/>
          <w:kern w:val="2"/>
          <w:sz w:val="24"/>
          <w:szCs w:val="24"/>
          <w:lang w:val="en-US" w:eastAsia="zh-CN"/>
        </w:rPr>
      </w:pPr>
      <w:r>
        <w:rPr>
          <w:rFonts w:eastAsia="宋体" w:cs="宋体"/>
          <w:kern w:val="2"/>
        </w:rPr>
        <w:t>3.9  合同条款：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pPr>
        <w:pStyle w:val="199"/>
        <w:spacing w:line="360" w:lineRule="auto"/>
        <w:ind w:right="264"/>
        <w:rPr>
          <w:rFonts w:hint="default" w:cs="宋体" w:eastAsiaTheme="minorEastAsia"/>
          <w:kern w:val="2"/>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10</w:t>
      </w:r>
      <w:r>
        <w:rPr>
          <w:rFonts w:hint="eastAsia" w:ascii="宋体" w:hAnsi="宋体" w:eastAsia="宋体" w:cs="宋体"/>
          <w:kern w:val="2"/>
          <w:sz w:val="24"/>
          <w:szCs w:val="24"/>
        </w:rPr>
        <w:t xml:space="preserve">  业绩要求：供应商具有类似</w:t>
      </w:r>
      <w:r>
        <w:rPr>
          <w:rFonts w:hint="eastAsia" w:eastAsia="宋体" w:cs="宋体"/>
          <w:kern w:val="2"/>
          <w:sz w:val="24"/>
          <w:szCs w:val="24"/>
          <w:lang w:eastAsia="zh-CN"/>
        </w:rPr>
        <w:t>项目建设</w:t>
      </w:r>
      <w:r>
        <w:rPr>
          <w:rFonts w:hint="eastAsia" w:ascii="宋体" w:hAnsi="宋体" w:eastAsia="宋体" w:cs="宋体"/>
          <w:kern w:val="2"/>
          <w:sz w:val="24"/>
          <w:szCs w:val="24"/>
        </w:rPr>
        <w:t>经验</w:t>
      </w:r>
      <w:r>
        <w:rPr>
          <w:rFonts w:hint="eastAsia" w:eastAsia="宋体" w:cs="宋体"/>
          <w:kern w:val="2"/>
          <w:sz w:val="24"/>
          <w:szCs w:val="24"/>
          <w:lang w:eastAsia="zh-CN"/>
        </w:rPr>
        <w:t>。</w:t>
      </w: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pPr>
    </w:p>
    <w:p>
      <w:pPr>
        <w:pageBreakBefore w:val="0"/>
        <w:kinsoku/>
        <w:wordWrap/>
        <w:overflowPunct/>
        <w:topLinePunct w:val="0"/>
        <w:bidi w:val="0"/>
        <w:adjustRightInd/>
        <w:snapToGrid w:val="0"/>
        <w:spacing w:line="440" w:lineRule="exact"/>
        <w:ind w:right="0" w:rightChars="0"/>
        <w:jc w:val="both"/>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8"/>
      <w:bookmarkEnd w:id="39"/>
    </w:p>
    <w:p>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6"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46"/>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20</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7" w:name="_Toc25462"/>
      <w:r>
        <w:rPr>
          <w:rFonts w:hint="eastAsia" w:ascii="宋体" w:hAnsi="宋体" w:eastAsia="宋体" w:cstheme="minorEastAsia"/>
          <w:b/>
          <w:color w:val="auto"/>
          <w:sz w:val="28"/>
          <w:szCs w:val="28"/>
        </w:rPr>
        <w:t>二、评审步骤</w:t>
      </w:r>
      <w:bookmarkEnd w:id="47"/>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磋商小组对</w:t>
      </w:r>
      <w:r>
        <w:rPr>
          <w:rFonts w:hint="eastAsia" w:ascii="宋体" w:hAnsi="宋体" w:eastAsia="宋体" w:cstheme="minorEastAsia"/>
          <w:color w:val="auto"/>
          <w:sz w:val="24"/>
          <w:szCs w:val="24"/>
        </w:rPr>
        <w:t>供应商资格性和符合性检查表进行审查</w:t>
      </w:r>
      <w:r>
        <w:rPr>
          <w:rFonts w:hint="eastAsia" w:ascii="宋体" w:hAnsi="宋体" w:eastAsia="宋体" w:cstheme="minorEastAsia"/>
          <w:bCs/>
          <w:color w:val="auto"/>
          <w:sz w:val="24"/>
          <w:szCs w:val="24"/>
        </w:rPr>
        <w:t>，响应文件审查不满足《供应商资格性和符合性检查表》中要求的，磋商小组有权拒绝该供应商参加磋商。</w:t>
      </w:r>
    </w:p>
    <w:tbl>
      <w:tblPr>
        <w:tblStyle w:val="4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6"/>
        <w:gridCol w:w="904"/>
        <w:gridCol w:w="239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序号</w:t>
            </w:r>
          </w:p>
        </w:tc>
        <w:tc>
          <w:tcPr>
            <w:tcW w:w="1106"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评审内容</w:t>
            </w:r>
          </w:p>
        </w:tc>
        <w:tc>
          <w:tcPr>
            <w:tcW w:w="6895" w:type="dxa"/>
            <w:gridSpan w:val="3"/>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b/>
                <w:bCs/>
                <w:color w:val="auto"/>
                <w:kern w:val="0"/>
                <w:sz w:val="24"/>
                <w:szCs w:val="24"/>
              </w:rPr>
            </w:pPr>
            <w:r>
              <w:rPr>
                <w:rFonts w:hint="eastAsia" w:ascii="宋体" w:hAnsi="宋体" w:eastAsia="宋体" w:cstheme="minorEastAsia"/>
                <w:bCs/>
                <w:color w:val="auto"/>
                <w:kern w:val="0"/>
                <w:sz w:val="24"/>
                <w:szCs w:val="24"/>
              </w:rPr>
              <w:t>磋商书（附件1）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widowControl w:val="0"/>
              <w:kinsoku/>
              <w:wordWrap/>
              <w:overflowPunct/>
              <w:topLinePunct w:val="0"/>
              <w:autoSpaceDE w:val="0"/>
              <w:autoSpaceDN w:val="0"/>
              <w:bidi w:val="0"/>
              <w:adjustRightInd/>
              <w:spacing w:before="0" w:after="0" w:line="240" w:lineRule="auto"/>
              <w:ind w:left="0" w:right="0" w:rightChars="0" w:firstLine="0"/>
              <w:jc w:val="left"/>
              <w:textAlignment w:val="auto"/>
              <w:rPr>
                <w:rFonts w:hint="eastAsia"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报价组成情况表（附件2）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hint="default" w:ascii="宋体" w:hAnsi="宋体" w:eastAsia="宋体" w:cstheme="minorEastAsia"/>
                <w:bCs/>
                <w:color w:val="auto"/>
                <w:kern w:val="0"/>
                <w:sz w:val="24"/>
                <w:szCs w:val="24"/>
                <w:lang w:val="en-US" w:eastAsia="zh-CN"/>
              </w:rPr>
            </w:pPr>
            <w:r>
              <w:rPr>
                <w:rFonts w:hint="eastAsia" w:ascii="宋体" w:hAnsi="宋体" w:eastAsia="宋体" w:cstheme="minorEastAsia"/>
                <w:bCs/>
                <w:color w:val="auto"/>
                <w:kern w:val="0"/>
                <w:sz w:val="24"/>
                <w:szCs w:val="24"/>
              </w:rPr>
              <w:t>货物（服务）清单（附件3）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《资格性符合性检查对照表》（附件4）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《技术（服务）响应、偏离情况说明表》（附件5）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《商务（合同草案条款）响应、偏离情况说明表》（附件6）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法人（负责人）代表授权书（附件7）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restart"/>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法人或者其他组织的营业执照等证明文件，自然人的身份证明；</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企业法人（包括合伙企业）</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提供工商部门注册的有效“企业法人营业执照”或“营业执照”；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事业单位法人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其他组织</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非企业专业服务机构</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提供执业许可证等证明文件；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个体工商户</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提供有效的“个体工商户营业执照”。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自然人</w:t>
            </w: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提供有效的自然人身份证明。（仅限中国公民）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restart"/>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财务状况报告，依法缴纳税收和社会保障资金的相关材料；</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提供经第三方审计的202</w:t>
            </w:r>
            <w:r>
              <w:rPr>
                <w:rFonts w:hint="eastAsia" w:ascii="宋体" w:hAnsi="宋体" w:eastAsia="宋体" w:cstheme="minorEastAsia"/>
                <w:color w:val="auto"/>
                <w:kern w:val="0"/>
                <w:sz w:val="24"/>
                <w:szCs w:val="24"/>
                <w:lang w:val="en-US" w:eastAsia="zh-CN"/>
              </w:rPr>
              <w:t>0或2021</w:t>
            </w:r>
            <w:r>
              <w:rPr>
                <w:rFonts w:hint="eastAsia" w:ascii="宋体" w:hAnsi="宋体" w:eastAsia="宋体" w:cstheme="minorEastAsia"/>
                <w:color w:val="auto"/>
                <w:kern w:val="0"/>
                <w:sz w:val="24"/>
                <w:szCs w:val="24"/>
              </w:rPr>
              <w:t>年度财务报告（完整的财务报告，包括“四表一注”，即资产负债表、利润表、现金流量表、所有者权益变动表及其附注），或其基本开户银行出具的资信证明；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部分其他组织和自然人</w:t>
            </w:r>
          </w:p>
        </w:tc>
        <w:tc>
          <w:tcPr>
            <w:tcW w:w="3601" w:type="dxa"/>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没有经第三方审计的财务报告的，可以提供银行出具的资信证明；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响应供应商没有经第三方审计的财务报告和资信证明时，也可以提供财政部门认可的政府采购专业担保机构出具的投标担保函。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依法缴纳税收和社会保障资金的证明材</w:t>
            </w:r>
            <w:r>
              <w:rPr>
                <w:rFonts w:hint="eastAsia" w:ascii="宋体" w:hAnsi="宋体" w:eastAsia="宋体" w:cstheme="minorEastAsia"/>
                <w:color w:val="auto"/>
                <w:kern w:val="0"/>
                <w:sz w:val="24"/>
                <w:szCs w:val="24"/>
                <w:lang w:val="en-US" w:eastAsia="zh-CN"/>
              </w:rPr>
              <w:t xml:space="preserve"> </w:t>
            </w:r>
            <w:r>
              <w:rPr>
                <w:rFonts w:hint="eastAsia" w:ascii="宋体" w:hAnsi="宋体" w:eastAsia="宋体" w:cstheme="minorEastAsia"/>
                <w:color w:val="auto"/>
                <w:kern w:val="0"/>
                <w:sz w:val="24"/>
                <w:szCs w:val="24"/>
              </w:rPr>
              <w:t>料</w:t>
            </w: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年以来任意一月内缴纳增值税、营业税和企业所得税的凭据；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其他组织和自然人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年以来任意一月内缴纳税收的凭据；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依法免税或不需要缴纳社会保险资金的投标人提供其依法免税或不需要缴纳社会保险资金的相关证明文件。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具备履行合同所必需的设备和专业技术能力的证明材料（附件10）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参加政府采购活动前3年内在经营活动中没有重大违法记录的书面声明；（附件11）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未被列入“信用中国”网站（www.creditchina.gov.cn）、“中国政府采购网”失信被执行人、重大税收违法案件当事人名单、政府采购严重违法失信行为记录名单</w:t>
            </w:r>
            <w:r>
              <w:rPr>
                <w:rFonts w:ascii="仿宋" w:hAnsi="仿宋" w:cs="仿宋"/>
                <w:color w:val="auto"/>
                <w:spacing w:val="0"/>
                <w:sz w:val="24"/>
              </w:rPr>
              <w:t>查询结果截图</w:t>
            </w:r>
            <w:r>
              <w:rPr>
                <w:rFonts w:hint="eastAsia" w:ascii="仿宋" w:hAnsi="仿宋" w:cs="仿宋"/>
                <w:color w:val="auto"/>
                <w:spacing w:val="0"/>
                <w:sz w:val="24"/>
                <w:highlight w:val="none"/>
                <w:lang w:eastAsia="zh-CN"/>
              </w:rPr>
              <w:t>；</w:t>
            </w:r>
            <w:r>
              <w:rPr>
                <w:rFonts w:hint="eastAsia" w:ascii="宋体" w:hAnsi="宋体" w:eastAsia="宋体" w:cstheme="minorEastAsia"/>
                <w:color w:val="auto"/>
                <w:kern w:val="0"/>
                <w:sz w:val="24"/>
                <w:szCs w:val="24"/>
                <w:highlight w:val="none"/>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政府采购政策情况表（附件13）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《中小企业声明函》、《残疾人福利性单位声明函》、属于监狱企业的证明文件等（如果有的话）(附件14)。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4400" w:type="dxa"/>
            <w:gridSpan w:val="3"/>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供应商应使用 CA 数字证书加盖投标人的单位电子印章或扫描上传加盖单位公章的电子投标文件；要求“签字”的地方，投标人应使用 CA 数字证书加盖法定代表人的个人电子印章或电子签名章或扫描上传法定代表人签字或盖章的电子投标文件（投标文件签字人非法定代表人的，提供了有效的《法定代表人授权书》）</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供应商需要按照文件要求进行盖章。如果是分支机构参与采购活动，总公司（总所）出具给分支机构的授权书，并加盖总公司（总所）公章</w:t>
            </w:r>
          </w:p>
        </w:tc>
      </w:tr>
    </w:tbl>
    <w:p>
      <w:pPr>
        <w:pageBreakBefore w:val="0"/>
        <w:kinsoku/>
        <w:wordWrap/>
        <w:overflowPunct/>
        <w:topLinePunct w:val="0"/>
        <w:bidi w:val="0"/>
        <w:adjustRightInd/>
        <w:spacing w:line="440" w:lineRule="exact"/>
        <w:ind w:right="0" w:rightChars="0"/>
        <w:textAlignment w:val="auto"/>
        <w:rPr>
          <w:rFonts w:hint="eastAsia" w:ascii="宋体" w:hAnsi="宋体" w:eastAsia="宋体"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20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2.1非专门面向中小企业的货物类采购项目，按磋商文件中采购清单确定的货物，对小型和微型企业制造的货物价格给予6%的扣除，用扣除后的价格参与评审。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2.2非专门面向中小企业的工程、服务类采购项目，供应商是小型和微型企业的价格给予6%的扣除，用扣除后的价格参与评审。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%×100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48" w:name="_Toc1458939"/>
      <w:bookmarkStart w:id="49" w:name="_Toc75007959"/>
    </w:p>
    <w:p>
      <w:pPr>
        <w:spacing w:line="440" w:lineRule="exact"/>
        <w:ind w:left="0" w:leftChars="0" w:firstLine="422" w:firstLineChars="150"/>
        <w:outlineLvl w:val="1"/>
        <w:rPr>
          <w:rFonts w:ascii="宋体" w:hAnsi="宋体" w:eastAsia="宋体" w:cstheme="minorEastAsia"/>
          <w:b/>
          <w:color w:val="auto"/>
          <w:sz w:val="28"/>
          <w:szCs w:val="28"/>
        </w:rPr>
      </w:pPr>
      <w:bookmarkStart w:id="50" w:name="_Toc19196"/>
      <w:r>
        <w:rPr>
          <w:rFonts w:hint="eastAsia" w:ascii="宋体" w:hAnsi="宋体" w:eastAsia="宋体" w:cstheme="minorEastAsia"/>
          <w:b/>
          <w:color w:val="auto"/>
          <w:sz w:val="28"/>
          <w:szCs w:val="28"/>
        </w:rPr>
        <w:t>三、</w:t>
      </w:r>
      <w:bookmarkStart w:id="51" w:name="_Toc1421491"/>
      <w:bookmarkStart w:id="52" w:name="_Toc494799112"/>
      <w:bookmarkStart w:id="53" w:name="_Toc509997296"/>
      <w:r>
        <w:rPr>
          <w:rFonts w:hint="eastAsia" w:ascii="宋体" w:hAnsi="宋体" w:eastAsia="宋体" w:cstheme="minorEastAsia"/>
          <w:b/>
          <w:color w:val="auto"/>
          <w:sz w:val="28"/>
          <w:szCs w:val="28"/>
        </w:rPr>
        <w:t>评审因素及评分标准</w:t>
      </w:r>
      <w:bookmarkEnd w:id="48"/>
      <w:bookmarkEnd w:id="49"/>
      <w:bookmarkEnd w:id="50"/>
      <w:bookmarkEnd w:id="51"/>
      <w:bookmarkEnd w:id="52"/>
      <w:bookmarkEnd w:id="53"/>
      <w:bookmarkStart w:id="54" w:name="_Toc75007960"/>
      <w:bookmarkStart w:id="55" w:name="_Toc1458940"/>
    </w:p>
    <w:p>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s="Courier New"/>
          <w:color w:val="auto"/>
          <w:sz w:val="24"/>
          <w:szCs w:val="24"/>
          <w:lang w:val="en-US" w:eastAsia="zh-CN"/>
        </w:rPr>
        <w:t>20</w:t>
      </w:r>
      <w:r>
        <w:rPr>
          <w:rFonts w:hint="eastAsia" w:ascii="宋体" w:hAnsi="宋体" w:cs="Courier New"/>
          <w:color w:val="auto"/>
          <w:sz w:val="24"/>
          <w:szCs w:val="24"/>
        </w:rPr>
        <w:t>分</w:t>
      </w:r>
      <w:r>
        <w:rPr>
          <w:rFonts w:hint="eastAsia" w:ascii="宋体" w:hAnsi="宋体"/>
          <w:color w:val="auto"/>
          <w:sz w:val="24"/>
          <w:szCs w:val="24"/>
        </w:rPr>
        <w:t>）</w:t>
      </w:r>
      <w:bookmarkEnd w:id="54"/>
      <w:bookmarkEnd w:id="55"/>
    </w:p>
    <w:p>
      <w:pPr>
        <w:pStyle w:val="2"/>
        <w:rPr>
          <w:rFonts w:hint="eastAsia" w:ascii="宋体" w:hAnsi="宋体"/>
          <w:color w:val="auto"/>
          <w:sz w:val="24"/>
          <w:szCs w:val="24"/>
        </w:rPr>
      </w:pPr>
    </w:p>
    <w:p>
      <w:pPr>
        <w:rPr>
          <w:rFonts w:hint="eastAsia"/>
        </w:rPr>
      </w:pPr>
    </w:p>
    <w:tbl>
      <w:tblPr>
        <w:tblStyle w:val="42"/>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50"/>
        <w:gridCol w:w="776"/>
        <w:gridCol w:w="776"/>
        <w:gridCol w:w="46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00" w:type="dxa"/>
            <w:shd w:val="clear" w:color="C4BC96" w:fill="auto"/>
            <w:noWrap w:val="0"/>
            <w:vAlign w:val="center"/>
          </w:tcPr>
          <w:p>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2026" w:type="dxa"/>
            <w:gridSpan w:val="2"/>
            <w:shd w:val="clear" w:color="C4BC96" w:fill="auto"/>
            <w:noWrap w:val="0"/>
            <w:vAlign w:val="center"/>
          </w:tcPr>
          <w:p>
            <w:pPr>
              <w:widowControl/>
              <w:spacing w:line="60" w:lineRule="auto"/>
              <w:ind w:left="-73" w:leftChars="-35" w:right="-80" w:rightChars="-38"/>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776" w:type="dxa"/>
            <w:shd w:val="clear" w:color="C4BC96" w:fill="auto"/>
            <w:noWrap w:val="0"/>
            <w:vAlign w:val="center"/>
          </w:tcPr>
          <w:p>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4615"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c>
          <w:tcPr>
            <w:tcW w:w="1080" w:type="dxa"/>
            <w:shd w:val="clear" w:color="C4BC96" w:fill="auto"/>
            <w:noWrap w:val="0"/>
            <w:vAlign w:val="center"/>
          </w:tcPr>
          <w:p>
            <w:pPr>
              <w:widowControl/>
              <w:spacing w:line="60" w:lineRule="auto"/>
              <w:ind w:left="-107" w:leftChars="-51" w:right="-107" w:rightChars="-5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Merge w:val="restart"/>
            <w:noWrap w:val="0"/>
            <w:vAlign w:val="center"/>
          </w:tcPr>
          <w:p>
            <w:pPr>
              <w:widowControl/>
              <w:numPr>
                <w:ilvl w:val="0"/>
                <w:numId w:val="13"/>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vMerge w:val="restart"/>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eastAsia="zh-CN"/>
              </w:rPr>
              <w:t>项目实施方案</w:t>
            </w:r>
          </w:p>
        </w:tc>
        <w:tc>
          <w:tcPr>
            <w:tcW w:w="776" w:type="dxa"/>
            <w:noWrap w:val="0"/>
            <w:vAlign w:val="center"/>
          </w:tcPr>
          <w:p>
            <w:pPr>
              <w:widowControl/>
              <w:tabs>
                <w:tab w:val="left" w:pos="351"/>
                <w:tab w:val="left" w:pos="816"/>
              </w:tabs>
              <w:spacing w:line="60" w:lineRule="auto"/>
              <w:ind w:right="-50" w:rightChars="-24"/>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安装技术方案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4</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新建标准化学校，要求安装规范、美观。提供施工方案、建设进度及新技术、新工艺的安装方案。</w:t>
            </w:r>
          </w:p>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项目实施方案全面成熟、合理、科学，相关方案等资料完整，得 </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 xml:space="preserve"> 分；</w:t>
            </w:r>
          </w:p>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项目实施方案较成熟、合理性，相关方案等资料较完整，得 </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 xml:space="preserve"> 分；</w:t>
            </w:r>
          </w:p>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项目实施方案一般、合理性，相关方案等资料一般，得 </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 xml:space="preserve"> 分； </w:t>
            </w:r>
          </w:p>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项目实施方案较差、合理性，相关方案等资料较差，得</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分</w:t>
            </w:r>
          </w:p>
          <w:p>
            <w:pPr>
              <w:widowControl/>
              <w:tabs>
                <w:tab w:val="left" w:pos="690"/>
              </w:tabs>
              <w:spacing w:line="60" w:lineRule="auto"/>
              <w:ind w:right="-50" w:rightChars="-24"/>
              <w:jc w:val="left"/>
              <w:rPr>
                <w:rFonts w:hint="default" w:ascii="宋体" w:hAnsi="宋体" w:eastAsia="宋体" w:cs="仿宋_GB2312"/>
                <w:color w:val="auto"/>
                <w:sz w:val="24"/>
                <w:szCs w:val="24"/>
                <w:lang w:val="en-US" w:eastAsia="zh-CN"/>
              </w:rPr>
            </w:pPr>
            <w:r>
              <w:rPr>
                <w:rFonts w:hint="eastAsia" w:ascii="宋体" w:hAnsi="宋体" w:eastAsia="宋体" w:cs="Times New Roman"/>
                <w:color w:val="auto"/>
                <w:sz w:val="24"/>
                <w:szCs w:val="24"/>
              </w:rPr>
              <w:t>没有提供项目实施方案，得 0 分</w:t>
            </w:r>
          </w:p>
        </w:tc>
        <w:tc>
          <w:tcPr>
            <w:tcW w:w="1080"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商务要求3.</w:t>
            </w:r>
            <w:r>
              <w:rPr>
                <w:rFonts w:hint="eastAsia" w:ascii="宋体" w:hAnsi="宋体" w:eastAsia="宋体" w:cs="Times New Roman"/>
                <w:color w:val="auto"/>
                <w:sz w:val="24"/>
                <w:szCs w:val="24"/>
                <w:lang w:val="en-US" w:eastAsia="zh-CN"/>
              </w:rPr>
              <w:t>3</w:t>
            </w:r>
          </w:p>
          <w:p>
            <w:pPr>
              <w:widowControl/>
              <w:tabs>
                <w:tab w:val="left" w:pos="690"/>
              </w:tabs>
              <w:spacing w:line="60" w:lineRule="auto"/>
              <w:ind w:right="-50" w:rightChars="-24"/>
              <w:jc w:val="left"/>
              <w:rPr>
                <w:rFonts w:hint="default"/>
                <w:lang w:val="en-US" w:eastAsia="zh-CN"/>
              </w:rPr>
            </w:pPr>
            <w:r>
              <w:rPr>
                <w:rFonts w:hint="eastAsia" w:ascii="宋体" w:hAnsi="宋体" w:eastAsia="宋体" w:cs="Times New Roman"/>
                <w:color w:val="auto"/>
                <w:sz w:val="24"/>
                <w:szCs w:val="24"/>
                <w:lang w:val="en-US" w:eastAsia="zh-CN"/>
              </w:rPr>
              <w:t>技术服务要求3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600" w:type="dxa"/>
            <w:vMerge w:val="continue"/>
            <w:noWrap w:val="0"/>
            <w:vAlign w:val="center"/>
          </w:tcPr>
          <w:p>
            <w:pPr>
              <w:widowControl/>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vMerge w:val="continue"/>
            <w:noWrap w:val="0"/>
            <w:vAlign w:val="center"/>
          </w:tcPr>
          <w:p>
            <w:pPr>
              <w:widowControl/>
              <w:spacing w:line="60" w:lineRule="auto"/>
              <w:ind w:left="-57" w:leftChars="-27" w:right="-78" w:rightChars="-37"/>
              <w:jc w:val="center"/>
              <w:rPr>
                <w:rFonts w:hint="eastAsia" w:ascii="Times New Roman" w:hAnsi="Times New Roman" w:eastAsia="宋体" w:cs="Times New Roman"/>
                <w:color w:val="auto"/>
                <w:szCs w:val="24"/>
                <w:lang w:eastAsia="zh-CN"/>
              </w:rPr>
            </w:pP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验收调试方案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2</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宋体"/>
                <w:kern w:val="2"/>
                <w:sz w:val="24"/>
                <w:szCs w:val="24"/>
                <w:lang w:eastAsia="zh-CN"/>
              </w:rPr>
            </w:pPr>
            <w:r>
              <w:rPr>
                <w:rFonts w:hint="eastAsia" w:ascii="宋体" w:hAnsi="宋体" w:eastAsia="宋体" w:cs="Times New Roman"/>
                <w:color w:val="auto"/>
                <w:sz w:val="24"/>
                <w:szCs w:val="24"/>
                <w:lang w:val="en-US" w:eastAsia="zh-CN"/>
              </w:rPr>
              <w:t>中标人必须派人到现场协助采购人进行验收。提供的设备清单及产品合格证、使用说明书和其它的技术资料。检查设备及随机附件是否完整无损，技术资料与图纸是否与采购人的要求相符，如有损坏、缺件等情况，中标人应在5日内更换新产品，相应的费用及责任由中标人自行负担。提供相关承诺函，完全满足得2分，否则不得分。</w:t>
            </w:r>
          </w:p>
        </w:tc>
        <w:tc>
          <w:tcPr>
            <w:tcW w:w="1080"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商务要求3.</w:t>
            </w:r>
            <w:r>
              <w:rPr>
                <w:rFonts w:hint="eastAsia" w:ascii="宋体" w:hAnsi="宋体" w:eastAsia="宋体" w:cs="Times New Roman"/>
                <w:color w:val="auto"/>
                <w:sz w:val="24"/>
                <w:szCs w:val="24"/>
                <w:lang w:val="en-US" w:eastAsia="zh-CN"/>
              </w:rPr>
              <w:t>3</w:t>
            </w:r>
          </w:p>
          <w:p>
            <w:pPr>
              <w:widowControl/>
              <w:tabs>
                <w:tab w:val="left" w:pos="690"/>
              </w:tabs>
              <w:spacing w:line="60" w:lineRule="auto"/>
              <w:ind w:right="-50" w:rightChars="-24"/>
              <w:jc w:val="left"/>
              <w:rPr>
                <w:rFonts w:hint="default"/>
                <w:lang w:val="en-US"/>
              </w:rPr>
            </w:pPr>
            <w:r>
              <w:rPr>
                <w:rFonts w:hint="eastAsia" w:ascii="宋体" w:hAnsi="宋体" w:eastAsia="宋体" w:cs="Times New Roman"/>
                <w:color w:val="auto"/>
                <w:sz w:val="24"/>
                <w:szCs w:val="24"/>
                <w:lang w:val="en-US" w:eastAsia="zh-CN"/>
              </w:rPr>
              <w:t>技术服务要求5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Merge w:val="continue"/>
            <w:noWrap w:val="0"/>
            <w:vAlign w:val="center"/>
          </w:tcPr>
          <w:p>
            <w:pPr>
              <w:widowControl/>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vMerge w:val="continue"/>
            <w:noWrap w:val="0"/>
            <w:vAlign w:val="center"/>
          </w:tcPr>
          <w:p>
            <w:pPr>
              <w:widowControl/>
              <w:spacing w:line="60" w:lineRule="auto"/>
              <w:ind w:left="423" w:leftChars="-27" w:right="-78" w:rightChars="-37" w:hanging="480" w:hangingChars="200"/>
              <w:jc w:val="both"/>
              <w:rPr>
                <w:rFonts w:ascii="宋体" w:hAnsi="宋体" w:eastAsia="宋体" w:cs="仿宋_GB2312"/>
                <w:color w:val="auto"/>
                <w:sz w:val="24"/>
                <w:szCs w:val="24"/>
              </w:rPr>
            </w:pP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应急处置方案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2</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遇突发情况有应急处置方案。有应急处置方案得2分，否则不得分。</w:t>
            </w:r>
          </w:p>
        </w:tc>
        <w:tc>
          <w:tcPr>
            <w:tcW w:w="1080"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商务要求3.</w:t>
            </w:r>
            <w:r>
              <w:rPr>
                <w:rFonts w:hint="eastAsia" w:ascii="宋体" w:hAnsi="宋体" w:eastAsia="宋体" w:cs="Times New Roman"/>
                <w:color w:val="auto"/>
                <w:sz w:val="24"/>
                <w:szCs w:val="24"/>
                <w:lang w:val="en-US" w:eastAsia="zh-CN"/>
              </w:rPr>
              <w:t>3</w:t>
            </w:r>
          </w:p>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技术服务要求6</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3"/>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2026" w:type="dxa"/>
            <w:gridSpan w:val="2"/>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rPr>
            </w:pPr>
            <w:r>
              <w:rPr>
                <w:rFonts w:hint="eastAsia" w:ascii="宋体" w:hAnsi="宋体" w:eastAsia="宋体" w:cs="仿宋_GB2312"/>
                <w:color w:val="auto"/>
                <w:sz w:val="24"/>
                <w:szCs w:val="24"/>
              </w:rPr>
              <w:t>售后服务要求</w:t>
            </w:r>
          </w:p>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val="en-US" w:eastAsia="zh-CN"/>
              </w:rPr>
            </w:pP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6</w:t>
            </w:r>
          </w:p>
        </w:tc>
        <w:tc>
          <w:tcPr>
            <w:tcW w:w="4615" w:type="dxa"/>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1、投标人或制造商在项目所在地设有维修网点，有专人负责设备的跟踪服务，接到报修电话后，服务响应时间不大于2小时的得2分（提供相关证明文件）。</w:t>
            </w:r>
          </w:p>
          <w:p>
            <w:pPr>
              <w:widowControl/>
              <w:tabs>
                <w:tab w:val="left" w:pos="690"/>
              </w:tabs>
              <w:spacing w:line="60" w:lineRule="auto"/>
              <w:ind w:right="-50" w:rightChars="-24"/>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en-US" w:eastAsia="zh-CN"/>
              </w:rPr>
              <w:t>2、备品零件服务：</w:t>
            </w:r>
            <w:r>
              <w:rPr>
                <w:rFonts w:hint="eastAsia" w:ascii="宋体" w:hAnsi="宋体" w:eastAsia="宋体" w:cs="Times New Roman"/>
                <w:color w:val="auto"/>
                <w:sz w:val="24"/>
                <w:szCs w:val="24"/>
                <w:lang w:val="zh-CN" w:eastAsia="zh-CN"/>
              </w:rPr>
              <w:t>长期提供</w:t>
            </w:r>
            <w:r>
              <w:rPr>
                <w:rFonts w:hint="eastAsia" w:ascii="宋体" w:hAnsi="宋体" w:eastAsia="宋体" w:cs="Times New Roman"/>
                <w:color w:val="auto"/>
                <w:sz w:val="24"/>
                <w:szCs w:val="24"/>
                <w:lang w:val="en-US" w:eastAsia="zh-CN"/>
              </w:rPr>
              <w:t>设备</w:t>
            </w:r>
            <w:r>
              <w:rPr>
                <w:rFonts w:hint="eastAsia" w:ascii="宋体" w:hAnsi="宋体" w:eastAsia="宋体" w:cs="Times New Roman"/>
                <w:color w:val="auto"/>
                <w:sz w:val="24"/>
                <w:szCs w:val="24"/>
                <w:lang w:val="zh-CN" w:eastAsia="zh-CN"/>
              </w:rPr>
              <w:t>配件的得</w:t>
            </w:r>
            <w:r>
              <w:rPr>
                <w:rFonts w:hint="eastAsia" w:ascii="宋体" w:hAnsi="宋体" w:eastAsia="宋体" w:cs="Times New Roman"/>
                <w:color w:val="auto"/>
                <w:sz w:val="24"/>
                <w:szCs w:val="24"/>
                <w:lang w:val="en-US" w:eastAsia="zh-CN"/>
              </w:rPr>
              <w:t>2分（提供相关承诺函）</w:t>
            </w:r>
            <w:r>
              <w:rPr>
                <w:rFonts w:hint="eastAsia" w:ascii="宋体" w:hAnsi="宋体" w:eastAsia="宋体" w:cs="Times New Roman"/>
                <w:color w:val="auto"/>
                <w:sz w:val="24"/>
                <w:szCs w:val="24"/>
                <w:lang w:val="zh-CN" w:eastAsia="zh-CN"/>
              </w:rPr>
              <w:t>。</w:t>
            </w:r>
          </w:p>
          <w:p>
            <w:pPr>
              <w:widowControl/>
              <w:tabs>
                <w:tab w:val="left" w:pos="690"/>
              </w:tabs>
              <w:spacing w:line="60" w:lineRule="auto"/>
              <w:ind w:right="-50" w:rightChars="-24"/>
              <w:jc w:val="left"/>
              <w:rPr>
                <w:rFonts w:hint="default" w:ascii="宋体" w:hAnsi="宋体" w:eastAsia="宋体" w:cs="仿宋_GB2312"/>
                <w:color w:val="auto"/>
                <w:sz w:val="24"/>
                <w:szCs w:val="24"/>
                <w:lang w:val="en-US"/>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就设备的保修、维护期及保修、维护期内的免费服务内容予以说明，并提供期满后的有偿服务内容和价格（清单）的得</w:t>
            </w:r>
            <w:r>
              <w:rPr>
                <w:rFonts w:hint="eastAsia" w:ascii="宋体" w:hAnsi="宋体" w:eastAsia="宋体" w:cs="Times New Roman"/>
                <w:color w:val="auto"/>
                <w:sz w:val="24"/>
                <w:szCs w:val="24"/>
                <w:lang w:val="en-US" w:eastAsia="zh-CN"/>
              </w:rPr>
              <w:t>2分，不提供的不得分。</w:t>
            </w:r>
          </w:p>
        </w:tc>
        <w:tc>
          <w:tcPr>
            <w:tcW w:w="1080"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商务要求3.</w:t>
            </w:r>
            <w:r>
              <w:rPr>
                <w:rFonts w:hint="eastAsia" w:ascii="宋体" w:hAnsi="宋体" w:eastAsia="宋体" w:cs="Times New Roman"/>
                <w:color w:val="auto"/>
                <w:sz w:val="24"/>
                <w:szCs w:val="24"/>
                <w:lang w:val="en-US" w:eastAsia="zh-CN"/>
              </w:rPr>
              <w:t>4</w:t>
            </w:r>
          </w:p>
          <w:p>
            <w:pPr>
              <w:widowControl/>
              <w:tabs>
                <w:tab w:val="left" w:pos="690"/>
              </w:tabs>
              <w:spacing w:line="60" w:lineRule="auto"/>
              <w:ind w:right="-50" w:rightChars="-24"/>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技术服务要求7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3"/>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2026" w:type="dxa"/>
            <w:gridSpan w:val="2"/>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rPr>
              <w:t>类似项目业绩</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lang w:val="en-US" w:eastAsia="zh-CN"/>
              </w:rPr>
              <w:t>6</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供应商提供20</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年1月1日至投标截止日</w:t>
            </w:r>
            <w:r>
              <w:rPr>
                <w:rFonts w:hint="eastAsia" w:ascii="宋体" w:hAnsi="宋体" w:eastAsia="宋体" w:cs="Times New Roman"/>
                <w:color w:val="auto"/>
                <w:sz w:val="24"/>
                <w:szCs w:val="24"/>
                <w:lang w:val="en-US" w:eastAsia="zh-CN"/>
              </w:rPr>
              <w:t>承担过</w:t>
            </w:r>
            <w:r>
              <w:rPr>
                <w:rFonts w:hint="eastAsia" w:ascii="宋体" w:hAnsi="宋体" w:eastAsia="宋体" w:cs="Times New Roman"/>
                <w:color w:val="auto"/>
                <w:sz w:val="24"/>
                <w:szCs w:val="24"/>
                <w:lang w:eastAsia="zh-CN"/>
              </w:rPr>
              <w:t>同类</w:t>
            </w:r>
            <w:r>
              <w:rPr>
                <w:rFonts w:hint="eastAsia" w:ascii="宋体" w:hAnsi="宋体" w:eastAsia="宋体" w:cs="Times New Roman"/>
                <w:color w:val="auto"/>
                <w:sz w:val="24"/>
                <w:szCs w:val="24"/>
              </w:rPr>
              <w:t>项目业绩的，每提供1个合同业绩得2分，最多</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 xml:space="preserve">分。 </w:t>
            </w:r>
          </w:p>
          <w:p>
            <w:pPr>
              <w:widowControl/>
              <w:tabs>
                <w:tab w:val="left" w:pos="690"/>
              </w:tabs>
              <w:spacing w:line="60" w:lineRule="auto"/>
              <w:ind w:right="-50" w:rightChars="-24"/>
              <w:jc w:val="left"/>
              <w:rPr>
                <w:rFonts w:hint="eastAsia" w:ascii="宋体" w:hAnsi="宋体" w:eastAsia="宋体" w:cs="仿宋_GB2312"/>
                <w:color w:val="auto"/>
                <w:kern w:val="2"/>
                <w:sz w:val="24"/>
                <w:szCs w:val="24"/>
                <w:lang w:val="en-US" w:eastAsia="zh-CN" w:bidi="ar-SA"/>
              </w:rPr>
            </w:pPr>
            <w:r>
              <w:rPr>
                <w:rFonts w:hint="eastAsia" w:ascii="宋体" w:hAnsi="宋体" w:eastAsia="宋体" w:cs="Times New Roman"/>
                <w:color w:val="auto"/>
                <w:sz w:val="24"/>
                <w:szCs w:val="24"/>
              </w:rPr>
              <w:t>（以合同签订时间为准，需提供项目合同及客户盖章验收单和项目联络人及联系电话）</w:t>
            </w:r>
          </w:p>
        </w:tc>
        <w:tc>
          <w:tcPr>
            <w:tcW w:w="1080" w:type="dxa"/>
            <w:noWrap w:val="0"/>
            <w:vAlign w:val="center"/>
          </w:tcPr>
          <w:p>
            <w:pPr>
              <w:widowControl/>
              <w:spacing w:line="60" w:lineRule="auto"/>
              <w:ind w:left="-65" w:leftChars="-31" w:right="-36" w:rightChars="-17"/>
              <w:jc w:val="center"/>
              <w:rPr>
                <w:rFonts w:hint="default" w:ascii="宋体" w:hAnsi="宋体" w:eastAsia="宋体" w:cs="Times New Roman"/>
                <w:color w:val="auto"/>
                <w:kern w:val="2"/>
                <w:sz w:val="24"/>
                <w:szCs w:val="24"/>
                <w:lang w:val="en-US" w:eastAsia="zh-CN" w:bidi="ar-SA"/>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10</w:t>
            </w:r>
          </w:p>
        </w:tc>
      </w:tr>
    </w:tbl>
    <w:p>
      <w:pPr>
        <w:pStyle w:val="2"/>
        <w:rPr>
          <w:color w:val="auto"/>
        </w:rPr>
      </w:pPr>
    </w:p>
    <w:p>
      <w:pPr>
        <w:numPr>
          <w:ilvl w:val="0"/>
          <w:numId w:val="14"/>
        </w:numPr>
        <w:spacing w:line="440" w:lineRule="exact"/>
        <w:ind w:left="0" w:leftChars="0" w:firstLine="480" w:firstLineChars="200"/>
        <w:outlineLvl w:val="2"/>
        <w:rPr>
          <w:rFonts w:hint="eastAsia" w:ascii="宋体" w:hAnsi="宋体"/>
          <w:color w:val="auto"/>
          <w:sz w:val="24"/>
          <w:szCs w:val="24"/>
        </w:rPr>
      </w:pPr>
      <w:bookmarkStart w:id="56" w:name="_Toc75007961"/>
      <w:bookmarkStart w:id="57" w:name="_Toc145894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color w:val="auto"/>
          <w:sz w:val="24"/>
          <w:szCs w:val="24"/>
          <w:lang w:val="en-US" w:eastAsia="zh-CN"/>
        </w:rPr>
        <w:t>40</w:t>
      </w:r>
      <w:r>
        <w:rPr>
          <w:rFonts w:hint="eastAsia" w:ascii="宋体" w:hAnsi="宋体"/>
          <w:color w:val="auto"/>
          <w:sz w:val="24"/>
          <w:szCs w:val="24"/>
        </w:rPr>
        <w:t>分）</w:t>
      </w:r>
      <w:bookmarkEnd w:id="56"/>
      <w:bookmarkEnd w:id="57"/>
    </w:p>
    <w:tbl>
      <w:tblPr>
        <w:tblStyle w:val="42"/>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9"/>
        <w:gridCol w:w="854"/>
        <w:gridCol w:w="509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bookmarkStart w:id="58" w:name="_Toc385992359"/>
            <w:bookmarkStart w:id="59" w:name="_Toc389620198"/>
            <w:r>
              <w:rPr>
                <w:rFonts w:hint="eastAsia" w:ascii="宋体" w:hAnsi="宋体" w:eastAsia="宋体" w:cs="Times New Roman"/>
                <w:b/>
                <w:color w:val="000000"/>
                <w:sz w:val="24"/>
                <w:szCs w:val="24"/>
              </w:rPr>
              <w:t>序号</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2789"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53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宋体" w:cs="宋体"/>
                <w:sz w:val="28"/>
                <w:szCs w:val="28"/>
              </w:rPr>
            </w:pPr>
            <w:r>
              <w:rPr>
                <w:rFonts w:hint="eastAsia" w:ascii="等线" w:hAnsi="等线" w:eastAsia="宋体" w:cs="宋体"/>
                <w:b/>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p>
        </w:tc>
        <w:tc>
          <w:tcPr>
            <w:tcW w:w="74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5P柜式空调和1.5P挂机空调</w:t>
            </w:r>
          </w:p>
        </w:tc>
        <w:tc>
          <w:tcPr>
            <w:tcW w:w="467" w:type="pc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tabs>
                <w:tab w:val="left" w:pos="690"/>
              </w:tabs>
              <w:spacing w:line="60" w:lineRule="auto"/>
              <w:ind w:right="-50" w:rightChars="-24"/>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32</w:t>
            </w:r>
          </w:p>
        </w:tc>
        <w:tc>
          <w:tcPr>
            <w:tcW w:w="278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投标人所投设备技术参数完全满足招标文件技术参数和服务要求的得32分，有一项不满足的扣1分，扣完为止。</w:t>
            </w:r>
          </w:p>
        </w:tc>
        <w:tc>
          <w:tcPr>
            <w:tcW w:w="532" w:type="pct"/>
            <w:tcBorders>
              <w:top w:val="single" w:color="auto" w:sz="4" w:space="0"/>
              <w:left w:val="single" w:color="auto" w:sz="4" w:space="0"/>
              <w:right w:val="single" w:color="auto" w:sz="4" w:space="0"/>
            </w:tcBorders>
            <w:noWrap w:val="0"/>
            <w:vAlign w:val="center"/>
          </w:tcPr>
          <w:p>
            <w:pPr>
              <w:widowControl/>
              <w:spacing w:line="60" w:lineRule="auto"/>
              <w:ind w:left="-65" w:leftChars="-31" w:right="-36" w:rightChars="-17"/>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技术服务要求1</w:t>
            </w:r>
            <w:r>
              <w:rPr>
                <w:rFonts w:hint="eastAsia" w:ascii="宋体" w:hAnsi="宋体" w:eastAsia="宋体" w:cs="Times New Roman"/>
                <w:color w:val="auto"/>
                <w:sz w:val="24"/>
                <w:szCs w:val="24"/>
                <w:lang w:val="en-US" w:eastAsia="zh-CN"/>
              </w:rPr>
              <w:t>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rPr>
                <w:rFonts w:hint="eastAsia" w:ascii="宋体" w:hAnsi="宋体" w:eastAsia="宋体" w:cs="Times New Roman"/>
                <w:color w:val="auto"/>
                <w:sz w:val="24"/>
                <w:szCs w:val="24"/>
                <w:lang w:val="en-US" w:eastAsia="zh-CN"/>
              </w:rPr>
            </w:pPr>
            <w:r>
              <w:rPr>
                <w:rFonts w:hint="eastAsia" w:ascii="宋体" w:hAnsi="宋体" w:eastAsia="宋体" w:cs="宋体"/>
                <w:sz w:val="24"/>
              </w:rPr>
              <w:t>质量要求</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w:t>
            </w:r>
          </w:p>
        </w:tc>
        <w:tc>
          <w:tcPr>
            <w:tcW w:w="278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1、本次招标项目的产品和安装必须完全满足中华人民共和国国家质量标准及现行规范要求，投标人应根据企业实际能力在投标文件中对项目质量予以承诺，中标后在合同中加以确认的得1分。（提供相关承诺函）</w:t>
            </w:r>
          </w:p>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2、所有设备和配件均要求是经过实际运行验证、性能稳定的全新产品，且设备上具有原制造厂商的铭牌、标志。以上要求完全满足得2分，否则不得分 。（提供相关证书复印件并加盖制造商公章）</w:t>
            </w:r>
          </w:p>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3、投标人在投标及中标后，发生侵犯专利权的行为时，其侵权责任与采购人无关，应由投标人承担相应的责任，并不得影响采购人的利益。</w:t>
            </w:r>
          </w:p>
          <w:p>
            <w:pPr>
              <w:widowControl/>
              <w:tabs>
                <w:tab w:val="left" w:pos="690"/>
              </w:tabs>
              <w:spacing w:line="60" w:lineRule="auto"/>
              <w:ind w:right="-50" w:rightChars="-24"/>
              <w:jc w:val="left"/>
              <w:rPr>
                <w:rFonts w:hint="eastAsia"/>
                <w:lang w:val="en-US" w:eastAsia="zh-CN"/>
              </w:rPr>
            </w:pPr>
            <w:r>
              <w:rPr>
                <w:rFonts w:hint="eastAsia" w:ascii="宋体" w:hAnsi="宋体" w:eastAsia="宋体" w:cs="Times New Roman"/>
                <w:color w:val="auto"/>
                <w:sz w:val="24"/>
                <w:szCs w:val="24"/>
                <w:lang w:val="en-US" w:eastAsia="zh-CN"/>
              </w:rPr>
              <w:t>提供相关承诺函的得1分，否则不得分。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技术服务要求9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rPr>
                <w:rFonts w:hint="eastAsia" w:ascii="宋体" w:hAnsi="宋体" w:eastAsia="宋体" w:cs="Times New Roman"/>
                <w:color w:val="auto"/>
                <w:sz w:val="24"/>
                <w:szCs w:val="24"/>
                <w:lang w:val="en-US" w:eastAsia="zh-CN"/>
              </w:rPr>
            </w:pPr>
            <w:r>
              <w:rPr>
                <w:rFonts w:hint="eastAsia" w:ascii="宋体" w:hAnsi="宋体" w:eastAsia="宋体" w:cs="宋体"/>
                <w:sz w:val="24"/>
              </w:rPr>
              <w:t>质量保证措施</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w:t>
            </w:r>
          </w:p>
        </w:tc>
        <w:tc>
          <w:tcPr>
            <w:tcW w:w="278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机器出现故障问题24小时内必须保证正常运行，机器出现性能故障问题一年内免费包换，并承诺质保期后的维修方案和备品备件的供应年限。完全满足得4分，否则不得分。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ind w:left="-65" w:leftChars="-31" w:right="-36" w:rightChars="-17"/>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技术服务要求10</w:t>
            </w:r>
          </w:p>
        </w:tc>
      </w:tr>
      <w:bookmarkEnd w:id="58"/>
      <w:bookmarkEnd w:id="59"/>
    </w:tbl>
    <w:p/>
    <w:p>
      <w:pPr>
        <w:spacing w:line="440" w:lineRule="exact"/>
        <w:ind w:left="0" w:leftChars="0" w:firstLine="480" w:firstLineChars="200"/>
        <w:jc w:val="left"/>
        <w:outlineLvl w:val="2"/>
        <w:rPr>
          <w:rFonts w:ascii="宋体" w:hAnsi="宋体"/>
          <w:color w:val="auto"/>
          <w:sz w:val="24"/>
          <w:szCs w:val="24"/>
        </w:rPr>
      </w:pPr>
      <w:bookmarkStart w:id="60" w:name="_Toc1458942"/>
      <w:bookmarkStart w:id="61" w:name="_Toc7500796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40</w:t>
      </w:r>
      <w:r>
        <w:rPr>
          <w:rFonts w:hint="eastAsia" w:ascii="宋体" w:hAnsi="宋体"/>
          <w:color w:val="auto"/>
          <w:sz w:val="24"/>
          <w:szCs w:val="24"/>
        </w:rPr>
        <w:t>分）</w:t>
      </w:r>
      <w:bookmarkEnd w:id="60"/>
      <w:bookmarkEnd w:id="61"/>
    </w:p>
    <w:tbl>
      <w:tblPr>
        <w:tblStyle w:val="42"/>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63"/>
        <w:gridCol w:w="784"/>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667"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bookmarkStart w:id="62" w:name="_Toc1145"/>
            <w:bookmarkStart w:id="63" w:name="_Toc29258"/>
            <w:r>
              <w:rPr>
                <w:rFonts w:hint="eastAsia" w:ascii="宋体" w:hAnsi="宋体" w:eastAsia="宋体" w:cs="Times New Roman"/>
                <w:b/>
                <w:color w:val="000000"/>
                <w:sz w:val="24"/>
                <w:szCs w:val="24"/>
              </w:rPr>
              <w:t>序号</w:t>
            </w:r>
          </w:p>
        </w:tc>
        <w:tc>
          <w:tcPr>
            <w:tcW w:w="1263"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DDD9C3"/>
            <w:noWrap w:val="0"/>
            <w:vAlign w:val="center"/>
          </w:tcPr>
          <w:p>
            <w:pPr>
              <w:widowControl/>
              <w:spacing w:line="60" w:lineRule="auto"/>
              <w:ind w:left="-73" w:leftChars="-35" w:right="-80" w:rightChars="-38"/>
              <w:jc w:val="center"/>
              <w:rPr>
                <w:rFonts w:ascii="宋体" w:hAnsi="宋体" w:eastAsia="宋体" w:cs="Times New Roman"/>
                <w:b/>
                <w:color w:val="000000"/>
                <w:sz w:val="24"/>
                <w:szCs w:val="24"/>
              </w:rPr>
            </w:pPr>
            <w:r>
              <w:rPr>
                <w:rFonts w:ascii="宋体" w:hAnsi="宋体" w:eastAsia="宋体" w:cs="Times New Roman"/>
                <w:b/>
                <w:color w:val="000000"/>
                <w:sz w:val="24"/>
                <w:szCs w:val="24"/>
              </w:rPr>
              <w:t>分值</w:t>
            </w:r>
          </w:p>
        </w:tc>
        <w:tc>
          <w:tcPr>
            <w:tcW w:w="5531" w:type="dxa"/>
            <w:shd w:val="pct10" w:color="C4BC96" w:fill="DDD9C3"/>
            <w:noWrap w:val="0"/>
            <w:vAlign w:val="center"/>
          </w:tcPr>
          <w:p>
            <w:pPr>
              <w:widowControl/>
              <w:spacing w:line="60" w:lineRule="auto"/>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7" w:type="dxa"/>
            <w:noWrap w:val="0"/>
            <w:vAlign w:val="center"/>
          </w:tcPr>
          <w:p>
            <w:pPr>
              <w:widowControl/>
              <w:spacing w:after="200" w:line="276" w:lineRule="auto"/>
              <w:ind w:left="-48" w:right="-42" w:rightChars="-2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val="en-US" w:eastAsia="zh-CN"/>
              </w:rPr>
              <w:t>1</w:t>
            </w:r>
          </w:p>
        </w:tc>
        <w:tc>
          <w:tcPr>
            <w:tcW w:w="1263" w:type="dxa"/>
            <w:noWrap w:val="0"/>
            <w:vAlign w:val="center"/>
          </w:tcPr>
          <w:p>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pPr>
              <w:widowControl/>
              <w:spacing w:line="60" w:lineRule="auto"/>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40</w:t>
            </w:r>
          </w:p>
        </w:tc>
        <w:tc>
          <w:tcPr>
            <w:tcW w:w="5531" w:type="dxa"/>
            <w:noWrap w:val="0"/>
            <w:vAlign w:val="center"/>
          </w:tcPr>
          <w:p>
            <w:pPr>
              <w:widowControl/>
              <w:spacing w:line="60" w:lineRule="auto"/>
              <w:jc w:val="left"/>
              <w:rPr>
                <w:rFonts w:ascii="宋体" w:hAnsi="宋体" w:eastAsia="宋体" w:cs="宋体"/>
                <w:sz w:val="24"/>
                <w:szCs w:val="24"/>
              </w:rPr>
            </w:pPr>
            <w:r>
              <w:rPr>
                <w:rFonts w:hint="eastAsia" w:ascii="宋体" w:hAnsi="宋体" w:eastAsia="宋体" w:cs="宋体"/>
                <w:sz w:val="24"/>
                <w:szCs w:val="24"/>
              </w:rPr>
              <w:t xml:space="preserve">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 </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r>
    </w:tbl>
    <w:p>
      <w:pPr>
        <w:pStyle w:val="2"/>
        <w:ind w:left="0" w:leftChars="0" w:firstLine="0" w:firstLineChars="0"/>
        <w:rPr>
          <w:rFonts w:hint="eastAsia"/>
        </w:rPr>
      </w:pPr>
    </w:p>
    <w:p>
      <w:pPr>
        <w:pStyle w:val="2"/>
        <w:ind w:left="0" w:leftChars="0" w:firstLine="0" w:firstLineChars="0"/>
        <w:rPr>
          <w:rFonts w:hint="eastAsia"/>
        </w:rPr>
      </w:pPr>
      <w:bookmarkStart w:id="91" w:name="_GoBack"/>
      <w:bookmarkEnd w:id="91"/>
    </w:p>
    <w:p>
      <w:pPr>
        <w:rPr>
          <w:rFonts w:hint="eastAsia"/>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2"/>
      <w:bookmarkEnd w:id="63"/>
    </w:p>
    <w:p>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64" w:name="_Toc15277"/>
      <w:bookmarkStart w:id="65" w:name="_Toc4455"/>
      <w:r>
        <w:rPr>
          <w:rFonts w:hint="eastAsia" w:ascii="Times New Roman" w:hAnsi="Times New Roman" w:cs="Times New Roman"/>
          <w:b/>
          <w:color w:val="auto"/>
          <w:sz w:val="44"/>
          <w:szCs w:val="44"/>
        </w:rPr>
        <w:t>第六章响应文件格式</w:t>
      </w:r>
      <w:bookmarkEnd w:id="64"/>
      <w:bookmarkEnd w:id="65"/>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66" w:name="_Toc22224"/>
      <w:bookmarkStart w:id="67" w:name="_Toc30715"/>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66"/>
      <w:bookmarkEnd w:id="67"/>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r>
        <w:rPr>
          <w:rFonts w:hint="eastAsia" w:ascii="Times New Roman" w:hAnsi="Times New Roman" w:eastAsia="宋体" w:cs="Times New Roman"/>
          <w:bCs/>
          <w:color w:val="auto"/>
          <w:spacing w:val="100"/>
          <w:w w:val="110"/>
          <w:sz w:val="24"/>
          <w:szCs w:val="24"/>
          <w:lang w:eastAsia="zh-CN"/>
        </w:rPr>
        <w:t>随县县</w:t>
      </w:r>
      <w:r>
        <w:rPr>
          <w:rFonts w:hint="eastAsia" w:ascii="Times New Roman" w:hAnsi="Times New Roman" w:eastAsia="宋体" w:cs="Times New Roman"/>
          <w:bCs/>
          <w:color w:val="auto"/>
          <w:spacing w:val="100"/>
          <w:w w:val="110"/>
          <w:sz w:val="24"/>
          <w:szCs w:val="24"/>
        </w:rPr>
        <w:t>级政府采购</w:t>
      </w: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color w:val="auto"/>
          <w:spacing w:val="100"/>
          <w:w w:val="110"/>
          <w:sz w:val="24"/>
          <w:szCs w:val="24"/>
        </w:rPr>
      </w:pPr>
      <w:r>
        <w:rPr>
          <w:rFonts w:hint="eastAsia" w:ascii="Times New Roman" w:hAnsi="Times New Roman" w:eastAsia="宋体" w:cs="Times New Roman"/>
          <w:bCs/>
          <w:color w:val="auto"/>
          <w:spacing w:val="100"/>
          <w:w w:val="110"/>
          <w:sz w:val="24"/>
          <w:szCs w:val="24"/>
        </w:rPr>
        <w:t>响应文件</w:t>
      </w: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（正本</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副本）</w:t>
      </w:r>
    </w:p>
    <w:p>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68" w:name="_Toc16366"/>
      <w:bookmarkStart w:id="69" w:name="_Toc24534"/>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68"/>
      <w:bookmarkEnd w:id="69"/>
    </w:p>
    <w:p>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70" w:name="_Toc13229"/>
      <w:bookmarkStart w:id="71" w:name="_Toc15319"/>
      <w:r>
        <w:rPr>
          <w:rFonts w:hint="eastAsia" w:ascii="Times New Roman" w:hAnsi="Times New Roman" w:cs="Times New Roman"/>
          <w:b/>
          <w:color w:val="auto"/>
          <w:sz w:val="24"/>
          <w:szCs w:val="24"/>
          <w:lang w:val="en-US" w:eastAsia="zh-CN"/>
        </w:rPr>
        <w:t>目录</w:t>
      </w:r>
      <w:bookmarkEnd w:id="70"/>
      <w:bookmarkEnd w:id="71"/>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2" w:name="_Toc19053"/>
      <w:bookmarkStart w:id="73"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2"/>
      <w:bookmarkEnd w:id="73"/>
      <w:r>
        <w:rPr>
          <w:rFonts w:hint="eastAsia" w:ascii="Times New Roman" w:hAnsi="Times New Roman" w:cs="Times New Roman"/>
          <w:color w:val="auto"/>
          <w:sz w:val="24"/>
          <w:szCs w:val="24"/>
        </w:rPr>
        <w:t>磋商书</w:t>
      </w:r>
    </w:p>
    <w:p>
      <w:pPr>
        <w:pStyle w:val="27"/>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技术响应、偏离情况说明表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5)</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6)</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Times New Roman"/>
          <w:color w:val="auto"/>
          <w:sz w:val="24"/>
          <w:szCs w:val="24"/>
        </w:rPr>
        <w:t>法人（负责人）代表授权书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7)</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r>
        <w:rPr>
          <w:rFonts w:hint="eastAsia" w:ascii="Times New Roman" w:hAnsi="Times New Roman" w:cs="Times New Roman"/>
          <w:color w:val="auto"/>
          <w:sz w:val="24"/>
          <w:szCs w:val="24"/>
        </w:rPr>
        <w:t>法人或者其他组织的营业执照等证明文件，自然人的身份证明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8)</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9.</w:t>
      </w:r>
      <w:r>
        <w:rPr>
          <w:rFonts w:hint="eastAsia" w:ascii="Times New Roman" w:hAnsi="Times New Roman" w:cs="Times New Roman"/>
          <w:color w:val="auto"/>
          <w:sz w:val="24"/>
          <w:szCs w:val="24"/>
        </w:rPr>
        <w:t>财务状况报告，依法缴纳税收和社会保障资金的相关材料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9)</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具备履行合同所必需的设备和专业技术能力的证明材料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11.</w:t>
      </w:r>
      <w:r>
        <w:rPr>
          <w:rFonts w:hint="eastAsia" w:ascii="Times New Roman" w:hAnsi="Times New Roman" w:cs="Times New Roman"/>
          <w:color w:val="auto"/>
          <w:sz w:val="24"/>
          <w:szCs w:val="24"/>
        </w:rPr>
        <w:t>参加政府采购活动前</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年内在经营活动中没有重大违法记录的书面声明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hint="eastAsia" w:ascii="Times New Roman" w:hAnsi="Times New Roman" w:cs="Times New Roman"/>
          <w:color w:val="auto"/>
          <w:sz w:val="24"/>
          <w:szCs w:val="24"/>
        </w:rPr>
        <w:t>未被列入</w:t>
      </w:r>
      <w:r>
        <w:rPr>
          <w:rFonts w:ascii="Times New Roman" w:hAnsi="Times New Roman" w:cs="Times New Roman"/>
          <w:color w:val="auto"/>
          <w:sz w:val="24"/>
          <w:szCs w:val="24"/>
        </w:rPr>
        <w:t>“</w:t>
      </w:r>
      <w:r>
        <w:rPr>
          <w:rFonts w:hint="eastAsia" w:ascii="Times New Roman" w:hAnsi="Times New Roman" w:cs="Times New Roman"/>
          <w:color w:val="auto"/>
          <w:sz w:val="24"/>
          <w:szCs w:val="24"/>
        </w:rPr>
        <w:t>信用中国</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中国政府采购网</w:t>
      </w:r>
      <w:r>
        <w:rPr>
          <w:rFonts w:ascii="Times New Roman" w:hAnsi="Times New Roman" w:cs="Times New Roman"/>
          <w:color w:val="auto"/>
          <w:sz w:val="24"/>
          <w:szCs w:val="24"/>
        </w:rPr>
        <w:t>”</w:t>
      </w:r>
      <w:r>
        <w:rPr>
          <w:rFonts w:hint="eastAsia" w:ascii="Times New Roman" w:hAnsi="Times New Roman" w:cs="Times New Roman"/>
          <w:color w:val="auto"/>
          <w:sz w:val="24"/>
          <w:szCs w:val="24"/>
        </w:rPr>
        <w:t>失信被执行人、重大税收违法案件当事人名单、政府采购严重违法失信行为记录名单的网页打印件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14.</w:t>
      </w:r>
      <w:r>
        <w:rPr>
          <w:rFonts w:hint="eastAsia" w:ascii="Times New Roman" w:hAnsi="Times New Roman" w:cs="Times New Roman"/>
          <w:color w:val="auto"/>
          <w:sz w:val="24"/>
          <w:szCs w:val="24"/>
        </w:rPr>
        <w:t>《中小企业声明函》、《残疾人福利性单位声明函》、属于监狱企业的证明文件等（如果有的话）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15.</w:t>
      </w:r>
      <w:r>
        <w:rPr>
          <w:rFonts w:hint="eastAsia" w:ascii="Times New Roman" w:hAnsi="Times New Roman" w:cs="Times New Roman"/>
          <w:color w:val="auto"/>
          <w:sz w:val="24"/>
          <w:szCs w:val="24"/>
        </w:rPr>
        <w:t>本文件要求提供的其他资格证明文件及资料。</w:t>
      </w:r>
    </w:p>
    <w:p>
      <w:pPr>
        <w:pStyle w:val="22"/>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将按响应文件的规定履行合同责任和义务；</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响应文件中提供的证照、证书、资料等复印件均为原件复印，并对真实性、合法性承担法律责任；</w:t>
      </w:r>
    </w:p>
    <w:p>
      <w:pPr>
        <w:pStyle w:val="22"/>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74"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74"/>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1868"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名称（服务）</w:t>
            </w:r>
          </w:p>
        </w:tc>
        <w:tc>
          <w:tcPr>
            <w:tcW w:w="1236"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80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c>
          <w:tcPr>
            <w:tcW w:w="1653"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912"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单价</w:t>
            </w:r>
          </w:p>
        </w:tc>
        <w:tc>
          <w:tcPr>
            <w:tcW w:w="1136"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其它</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总计</w:t>
            </w:r>
          </w:p>
        </w:tc>
        <w:tc>
          <w:tcPr>
            <w:tcW w:w="2048"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pStyle w:val="22"/>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75"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75"/>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2"/>
        <w:tblW w:w="86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2187"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货物（服务）名称</w:t>
            </w:r>
          </w:p>
        </w:tc>
        <w:tc>
          <w:tcPr>
            <w:tcW w:w="1559"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1560"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生产地</w:t>
            </w:r>
          </w:p>
        </w:tc>
        <w:tc>
          <w:tcPr>
            <w:tcW w:w="170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1134"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7"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说明：提供详细的货物和服务范围，包括货物和服务类别及制造（开发）商、备品备件等。</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eastAsia="仿宋_GB2312"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76"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76"/>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77"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7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78"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78"/>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79" w:name="_Toc18943"/>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bookmarkEnd w:id="79"/>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0" w:name="_Toc3324"/>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bookmarkEnd w:id="80"/>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81" w:name="_Toc1053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bookmarkEnd w:id="81"/>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lang w:eastAsia="zh-CN"/>
        </w:rPr>
        <w:t>：履行合同所必需的设备和专业技术能力的证明材料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2"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bookmarkEnd w:id="82"/>
      <w:r>
        <w:rPr>
          <w:rFonts w:hint="eastAsia" w:ascii="Times New Roman" w:hAnsi="Times New Roman" w:cs="Times New Roman"/>
          <w:bCs/>
          <w:color w:val="auto"/>
          <w:sz w:val="24"/>
          <w:szCs w:val="24"/>
          <w:lang w:eastAsia="zh-CN"/>
        </w:rPr>
        <w:t>：参加政府采购活动前3年内在经营活动中没有重大违法记录的书面声明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3" w:name="_Toc2810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bookmarkEnd w:id="83"/>
      <w:r>
        <w:rPr>
          <w:rFonts w:hint="eastAsia" w:ascii="Times New Roman" w:hAnsi="Times New Roman" w:cs="Times New Roman"/>
          <w:bCs/>
          <w:color w:val="auto"/>
          <w:sz w:val="24"/>
          <w:szCs w:val="24"/>
          <w:lang w:eastAsia="zh-CN"/>
        </w:rPr>
        <w:t>：信用记录查询网页打印件</w:t>
      </w:r>
    </w:p>
    <w:p>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4" w:name="_Toc11030"/>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bookmarkEnd w:id="84"/>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5"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14-1</w:t>
      </w:r>
      <w:bookmarkEnd w:id="85"/>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本公司对上述声明的真实性负责。如有虚假，将依法承担相应责任。</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企业法人（负责人）签字（签章）：</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2"/>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86"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14-2</w:t>
      </w:r>
      <w:bookmarkEnd w:id="86"/>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pPr>
        <w:pStyle w:val="2"/>
        <w:keepNext w:val="0"/>
        <w:keepLines w:val="0"/>
        <w:pageBreakBefore w:val="0"/>
        <w:kinsoku/>
        <w:wordWrap/>
        <w:overflowPunct/>
        <w:topLinePunct w:val="0"/>
        <w:bidi w:val="0"/>
        <w:adjustRightInd/>
        <w:ind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87" w:name="OLE_LINK14"/>
      <w:bookmarkStart w:id="88" w:name="OLE_LINK13"/>
      <w:r>
        <w:rPr>
          <w:rFonts w:hint="eastAsia" w:ascii="Times New Roman" w:hAnsi="Times New Roman" w:cs="Times New Roman" w:eastAsiaTheme="majorEastAsia"/>
          <w:b/>
          <w:color w:val="auto"/>
          <w:spacing w:val="6"/>
          <w:sz w:val="24"/>
          <w:szCs w:val="24"/>
        </w:rPr>
        <w:t>残疾人福利性单位声明函</w:t>
      </w:r>
    </w:p>
    <w:bookmarkEnd w:id="87"/>
    <w:bookmarkEnd w:id="88"/>
    <w:p>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89"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14-3</w:t>
      </w:r>
      <w:bookmarkEnd w:id="89"/>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pPr>
        <w:pStyle w:val="27"/>
      </w:pPr>
    </w:p>
    <w:p>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ascii="Times New Roman" w:hAnsi="Times New Roman" w:cs="Times New Roman"/>
          <w:bCs/>
          <w:color w:val="auto"/>
          <w:sz w:val="24"/>
          <w:szCs w:val="24"/>
        </w:rPr>
      </w:pPr>
      <w:bookmarkStart w:id="90" w:name="_Toc15768"/>
      <w:r>
        <w:rPr>
          <w:rFonts w:hint="eastAsia" w:ascii="Times New Roman" w:hAnsi="Times New Roman" w:cs="Times New Roman"/>
          <w:bCs/>
          <w:color w:val="auto"/>
          <w:sz w:val="24"/>
          <w:szCs w:val="24"/>
        </w:rPr>
        <w:t>省级以上监狱管理局、戒毒管理局（含新疆生产建设兵团）出具的属于监狱企业的证明文件</w:t>
      </w:r>
      <w:r>
        <w:rPr>
          <w:rFonts w:ascii="Times New Roman" w:hAnsi="Times New Roman" w:cs="Times New Roman"/>
          <w:bCs/>
          <w:color w:val="auto"/>
          <w:sz w:val="24"/>
          <w:szCs w:val="24"/>
        </w:rPr>
        <w:br w:type="textWrapping"/>
      </w:r>
      <w:r>
        <w:rPr>
          <w:rFonts w:ascii="Times New Roman" w:hAnsi="Times New Roman" w:cs="Times New Roman"/>
          <w:bCs/>
          <w:color w:val="auto"/>
          <w:sz w:val="24"/>
          <w:szCs w:val="24"/>
        </w:rPr>
        <w:br w:type="textWrapping"/>
      </w:r>
      <w:bookmarkEnd w:id="90"/>
    </w:p>
    <w:p>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bCs/>
          <w:color w:val="auto"/>
          <w:sz w:val="24"/>
          <w:szCs w:val="24"/>
        </w:rPr>
        <w:t>其他资格证明文件及资料</w:t>
      </w:r>
    </w:p>
    <w:p>
      <w:pPr>
        <w:rPr>
          <w:color w:val="auto"/>
          <w:sz w:val="24"/>
          <w:szCs w:val="24"/>
        </w:rPr>
      </w:pPr>
    </w:p>
    <w:p>
      <w:pPr>
        <w:rPr>
          <w:color w:val="auto"/>
        </w:rPr>
      </w:pPr>
    </w:p>
    <w:p>
      <w:pPr>
        <w:rPr>
          <w:color w:val="auto"/>
        </w:rPr>
      </w:pPr>
    </w:p>
    <w:sectPr>
      <w:headerReference r:id="rId3" w:type="default"/>
      <w:footerReference r:id="rId4"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7"/>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F55B6"/>
    <w:multiLevelType w:val="singleLevel"/>
    <w:tmpl w:val="8D4F55B6"/>
    <w:lvl w:ilvl="0" w:tentative="0">
      <w:start w:val="1"/>
      <w:numFmt w:val="decimal"/>
      <w:suff w:val="nothing"/>
      <w:lvlText w:val="（%1）"/>
      <w:lvlJc w:val="left"/>
    </w:lvl>
  </w:abstractNum>
  <w:abstractNum w:abstractNumId="1">
    <w:nsid w:val="C5C293A3"/>
    <w:multiLevelType w:val="singleLevel"/>
    <w:tmpl w:val="C5C293A3"/>
    <w:lvl w:ilvl="0" w:tentative="0">
      <w:start w:val="1"/>
      <w:numFmt w:val="decimal"/>
      <w:suff w:val="nothing"/>
      <w:lvlText w:val="（%1）"/>
      <w:lvlJc w:val="left"/>
    </w:lvl>
  </w:abstractNum>
  <w:abstractNum w:abstractNumId="2">
    <w:nsid w:val="D40E07F9"/>
    <w:multiLevelType w:val="singleLevel"/>
    <w:tmpl w:val="D40E07F9"/>
    <w:lvl w:ilvl="0" w:tentative="0">
      <w:start w:val="7"/>
      <w:numFmt w:val="chineseCounting"/>
      <w:suff w:val="nothing"/>
      <w:lvlText w:val="%1、"/>
      <w:lvlJc w:val="left"/>
      <w:rPr>
        <w:rFonts w:hint="eastAsia"/>
      </w:rPr>
    </w:lvl>
  </w:abstractNum>
  <w:abstractNum w:abstractNumId="3">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4">
    <w:nsid w:val="EEC284E0"/>
    <w:multiLevelType w:val="singleLevel"/>
    <w:tmpl w:val="EEC284E0"/>
    <w:lvl w:ilvl="0" w:tentative="0">
      <w:start w:val="5"/>
      <w:numFmt w:val="chineseCounting"/>
      <w:suff w:val="nothing"/>
      <w:lvlText w:val="%1、"/>
      <w:lvlJc w:val="left"/>
      <w:rPr>
        <w:rFonts w:hint="eastAsia"/>
      </w:rPr>
    </w:lvl>
  </w:abstractNum>
  <w:abstractNum w:abstractNumId="5">
    <w:nsid w:val="F0C3053F"/>
    <w:multiLevelType w:val="singleLevel"/>
    <w:tmpl w:val="F0C3053F"/>
    <w:lvl w:ilvl="0" w:tentative="0">
      <w:start w:val="4"/>
      <w:numFmt w:val="chineseCounting"/>
      <w:suff w:val="nothing"/>
      <w:lvlText w:val="%1、"/>
      <w:lvlJc w:val="left"/>
      <w:rPr>
        <w:rFonts w:hint="eastAsia"/>
      </w:rPr>
    </w:lvl>
  </w:abstractNum>
  <w:abstractNum w:abstractNumId="6">
    <w:nsid w:val="07987FDE"/>
    <w:multiLevelType w:val="multilevel"/>
    <w:tmpl w:val="07987F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6"/>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0">
    <w:nsid w:val="57002C8A"/>
    <w:multiLevelType w:val="singleLevel"/>
    <w:tmpl w:val="57002C8A"/>
    <w:lvl w:ilvl="0" w:tentative="0">
      <w:start w:val="1"/>
      <w:numFmt w:val="chineseCounting"/>
      <w:suff w:val="space"/>
      <w:lvlText w:val="第%1章"/>
      <w:lvlJc w:val="left"/>
      <w:rPr>
        <w:rFonts w:hint="eastAsia"/>
      </w:rPr>
    </w:lvl>
  </w:abstractNum>
  <w:abstractNum w:abstractNumId="11">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CB7350"/>
    <w:multiLevelType w:val="multilevel"/>
    <w:tmpl w:val="69CB7350"/>
    <w:lvl w:ilvl="0" w:tentative="0">
      <w:start w:val="1"/>
      <w:numFmt w:val="decimal"/>
      <w:lvlText w:val="1.%1"/>
      <w:lvlJc w:val="left"/>
      <w:pPr>
        <w:ind w:left="496" w:hanging="341"/>
      </w:pPr>
      <w:rPr>
        <w:rFonts w:hint="default" w:ascii="宋体" w:hAnsi="宋体" w:eastAsia="宋体"/>
        <w:b w:val="0"/>
        <w:color w:val="auto"/>
      </w:rPr>
    </w:lvl>
    <w:lvl w:ilvl="1" w:tentative="0">
      <w:start w:val="1"/>
      <w:numFmt w:val="lowerLetter"/>
      <w:lvlText w:val="%2)"/>
      <w:lvlJc w:val="left"/>
      <w:pPr>
        <w:ind w:left="1019" w:hanging="420"/>
      </w:pPr>
      <w:rPr>
        <w:rFonts w:hint="eastAsia"/>
      </w:rPr>
    </w:lvl>
    <w:lvl w:ilvl="2" w:tentative="0">
      <w:start w:val="1"/>
      <w:numFmt w:val="lowerRoman"/>
      <w:lvlText w:val="%3."/>
      <w:lvlJc w:val="right"/>
      <w:pPr>
        <w:ind w:left="1439" w:hanging="420"/>
      </w:pPr>
      <w:rPr>
        <w:rFonts w:hint="eastAsia"/>
      </w:rPr>
    </w:lvl>
    <w:lvl w:ilvl="3" w:tentative="0">
      <w:start w:val="1"/>
      <w:numFmt w:val="decimal"/>
      <w:lvlText w:val="%4."/>
      <w:lvlJc w:val="left"/>
      <w:pPr>
        <w:ind w:left="1859" w:hanging="420"/>
      </w:pPr>
      <w:rPr>
        <w:rFonts w:hint="eastAsia"/>
      </w:rPr>
    </w:lvl>
    <w:lvl w:ilvl="4" w:tentative="0">
      <w:start w:val="1"/>
      <w:numFmt w:val="lowerLetter"/>
      <w:lvlText w:val="%5)"/>
      <w:lvlJc w:val="left"/>
      <w:pPr>
        <w:ind w:left="2279" w:hanging="420"/>
      </w:pPr>
      <w:rPr>
        <w:rFonts w:hint="eastAsia"/>
      </w:rPr>
    </w:lvl>
    <w:lvl w:ilvl="5" w:tentative="0">
      <w:start w:val="1"/>
      <w:numFmt w:val="lowerRoman"/>
      <w:lvlText w:val="%6."/>
      <w:lvlJc w:val="right"/>
      <w:pPr>
        <w:ind w:left="2699" w:hanging="420"/>
      </w:pPr>
      <w:rPr>
        <w:rFonts w:hint="eastAsia"/>
      </w:rPr>
    </w:lvl>
    <w:lvl w:ilvl="6" w:tentative="0">
      <w:start w:val="1"/>
      <w:numFmt w:val="decimal"/>
      <w:lvlText w:val="%7."/>
      <w:lvlJc w:val="left"/>
      <w:pPr>
        <w:ind w:left="3119" w:hanging="420"/>
      </w:pPr>
      <w:rPr>
        <w:rFonts w:hint="eastAsia"/>
      </w:rPr>
    </w:lvl>
    <w:lvl w:ilvl="7" w:tentative="0">
      <w:start w:val="1"/>
      <w:numFmt w:val="lowerLetter"/>
      <w:lvlText w:val="%8)"/>
      <w:lvlJc w:val="left"/>
      <w:pPr>
        <w:ind w:left="3539" w:hanging="420"/>
      </w:pPr>
      <w:rPr>
        <w:rFonts w:hint="eastAsia"/>
      </w:rPr>
    </w:lvl>
    <w:lvl w:ilvl="8" w:tentative="0">
      <w:start w:val="1"/>
      <w:numFmt w:val="lowerRoman"/>
      <w:lvlText w:val="%9."/>
      <w:lvlJc w:val="right"/>
      <w:pPr>
        <w:ind w:left="3959" w:hanging="420"/>
      </w:pPr>
      <w:rPr>
        <w:rFonts w:hint="eastAsia"/>
      </w:rPr>
    </w:lvl>
  </w:abstractNum>
  <w:abstractNum w:abstractNumId="13">
    <w:nsid w:val="7E54280B"/>
    <w:multiLevelType w:val="singleLevel"/>
    <w:tmpl w:val="7E54280B"/>
    <w:lvl w:ilvl="0" w:tentative="0">
      <w:start w:val="2"/>
      <w:numFmt w:val="decimal"/>
      <w:suff w:val="nothing"/>
      <w:lvlText w:val="%1、"/>
      <w:lvlJc w:val="left"/>
    </w:lvl>
  </w:abstractNum>
  <w:num w:numId="1">
    <w:abstractNumId w:val="9"/>
  </w:num>
  <w:num w:numId="2">
    <w:abstractNumId w:val="7"/>
  </w:num>
  <w:num w:numId="3">
    <w:abstractNumId w:val="8"/>
  </w:num>
  <w:num w:numId="4">
    <w:abstractNumId w:val="10"/>
  </w:num>
  <w:num w:numId="5">
    <w:abstractNumId w:val="4"/>
  </w:num>
  <w:num w:numId="6">
    <w:abstractNumId w:val="2"/>
  </w:num>
  <w:num w:numId="7">
    <w:abstractNumId w:val="11"/>
  </w:num>
  <w:num w:numId="8">
    <w:abstractNumId w:val="0"/>
  </w:num>
  <w:num w:numId="9">
    <w:abstractNumId w:val="1"/>
  </w:num>
  <w:num w:numId="10">
    <w:abstractNumId w:val="3"/>
  </w:num>
  <w:num w:numId="11">
    <w:abstractNumId w:val="5"/>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GZiMjcxNmYwZWQ1NGRhNDdiNWJkMjA2MTk3YTQifQ=="/>
  </w:docVars>
  <w:rsids>
    <w:rsidRoot w:val="009640B3"/>
    <w:rsid w:val="00002D19"/>
    <w:rsid w:val="00006938"/>
    <w:rsid w:val="00007EF9"/>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1513"/>
    <w:rsid w:val="00BA656B"/>
    <w:rsid w:val="00C7308F"/>
    <w:rsid w:val="00C767D5"/>
    <w:rsid w:val="00CD65F2"/>
    <w:rsid w:val="00CD7ECE"/>
    <w:rsid w:val="00D240EF"/>
    <w:rsid w:val="00D678AE"/>
    <w:rsid w:val="00DA4B47"/>
    <w:rsid w:val="00DC3AFD"/>
    <w:rsid w:val="00DF553F"/>
    <w:rsid w:val="00E92D4B"/>
    <w:rsid w:val="00EB7035"/>
    <w:rsid w:val="00EE2653"/>
    <w:rsid w:val="00EF7446"/>
    <w:rsid w:val="00F27D19"/>
    <w:rsid w:val="00FD1DF5"/>
    <w:rsid w:val="00FF47AE"/>
    <w:rsid w:val="00FF65CD"/>
    <w:rsid w:val="012504AA"/>
    <w:rsid w:val="0135138A"/>
    <w:rsid w:val="018330AD"/>
    <w:rsid w:val="01BB614C"/>
    <w:rsid w:val="01E8526A"/>
    <w:rsid w:val="02000B1F"/>
    <w:rsid w:val="023221B6"/>
    <w:rsid w:val="023817D2"/>
    <w:rsid w:val="023C209A"/>
    <w:rsid w:val="023F2098"/>
    <w:rsid w:val="02491FE5"/>
    <w:rsid w:val="024E5007"/>
    <w:rsid w:val="02736BB0"/>
    <w:rsid w:val="028D5720"/>
    <w:rsid w:val="02A6660D"/>
    <w:rsid w:val="02BF3353"/>
    <w:rsid w:val="02E132C9"/>
    <w:rsid w:val="02F4335E"/>
    <w:rsid w:val="03451AAA"/>
    <w:rsid w:val="03595C54"/>
    <w:rsid w:val="035961B6"/>
    <w:rsid w:val="03697B0E"/>
    <w:rsid w:val="036A37B8"/>
    <w:rsid w:val="037E4FBC"/>
    <w:rsid w:val="03BC7892"/>
    <w:rsid w:val="03C10693"/>
    <w:rsid w:val="03C20A9D"/>
    <w:rsid w:val="03CC3F79"/>
    <w:rsid w:val="03D64AAD"/>
    <w:rsid w:val="03ED6979"/>
    <w:rsid w:val="03FE7EAB"/>
    <w:rsid w:val="042F7047"/>
    <w:rsid w:val="0434199F"/>
    <w:rsid w:val="043D1622"/>
    <w:rsid w:val="043E3628"/>
    <w:rsid w:val="04484106"/>
    <w:rsid w:val="04691461"/>
    <w:rsid w:val="046928C3"/>
    <w:rsid w:val="04703638"/>
    <w:rsid w:val="049E5539"/>
    <w:rsid w:val="04B614C9"/>
    <w:rsid w:val="04F6588B"/>
    <w:rsid w:val="053864EC"/>
    <w:rsid w:val="05725496"/>
    <w:rsid w:val="05757AA3"/>
    <w:rsid w:val="058F650A"/>
    <w:rsid w:val="05BF16A5"/>
    <w:rsid w:val="05C07B0D"/>
    <w:rsid w:val="05D4645E"/>
    <w:rsid w:val="05D9381A"/>
    <w:rsid w:val="05F21F9E"/>
    <w:rsid w:val="06036992"/>
    <w:rsid w:val="060F6259"/>
    <w:rsid w:val="062E158F"/>
    <w:rsid w:val="0653526C"/>
    <w:rsid w:val="06B64A6C"/>
    <w:rsid w:val="070F21DB"/>
    <w:rsid w:val="0716104E"/>
    <w:rsid w:val="071E7B37"/>
    <w:rsid w:val="07206491"/>
    <w:rsid w:val="076B2DCE"/>
    <w:rsid w:val="076C036C"/>
    <w:rsid w:val="077855B9"/>
    <w:rsid w:val="07D11074"/>
    <w:rsid w:val="07F910B5"/>
    <w:rsid w:val="0815085B"/>
    <w:rsid w:val="08316113"/>
    <w:rsid w:val="083B2C3D"/>
    <w:rsid w:val="084F56FF"/>
    <w:rsid w:val="08555F5A"/>
    <w:rsid w:val="08774FC2"/>
    <w:rsid w:val="089808CE"/>
    <w:rsid w:val="08B84966"/>
    <w:rsid w:val="08C5351E"/>
    <w:rsid w:val="08D86F1C"/>
    <w:rsid w:val="08EA090B"/>
    <w:rsid w:val="08F73EBE"/>
    <w:rsid w:val="09041F95"/>
    <w:rsid w:val="091C0FD9"/>
    <w:rsid w:val="09315881"/>
    <w:rsid w:val="09324BC4"/>
    <w:rsid w:val="093D33C9"/>
    <w:rsid w:val="095B60E4"/>
    <w:rsid w:val="0960462C"/>
    <w:rsid w:val="098334BD"/>
    <w:rsid w:val="099248CD"/>
    <w:rsid w:val="09A57586"/>
    <w:rsid w:val="09E63157"/>
    <w:rsid w:val="0A430D0D"/>
    <w:rsid w:val="0A8E2E2D"/>
    <w:rsid w:val="0A9D2FE2"/>
    <w:rsid w:val="0A9F1F5E"/>
    <w:rsid w:val="0AB66287"/>
    <w:rsid w:val="0ABB6AF5"/>
    <w:rsid w:val="0ACA3C4C"/>
    <w:rsid w:val="0AEB67F9"/>
    <w:rsid w:val="0B1F6B95"/>
    <w:rsid w:val="0B412C61"/>
    <w:rsid w:val="0B46799B"/>
    <w:rsid w:val="0B752C93"/>
    <w:rsid w:val="0B823F50"/>
    <w:rsid w:val="0BA63302"/>
    <w:rsid w:val="0BB86495"/>
    <w:rsid w:val="0BBD6225"/>
    <w:rsid w:val="0BC114DF"/>
    <w:rsid w:val="0C25691C"/>
    <w:rsid w:val="0C4C0933"/>
    <w:rsid w:val="0C5E2022"/>
    <w:rsid w:val="0C670CE3"/>
    <w:rsid w:val="0C7A2AF4"/>
    <w:rsid w:val="0C7B29E0"/>
    <w:rsid w:val="0C86214C"/>
    <w:rsid w:val="0C9D23BE"/>
    <w:rsid w:val="0CD10122"/>
    <w:rsid w:val="0CDD69AB"/>
    <w:rsid w:val="0D101FC4"/>
    <w:rsid w:val="0D163BC6"/>
    <w:rsid w:val="0D6B569C"/>
    <w:rsid w:val="0D935461"/>
    <w:rsid w:val="0DBC24DA"/>
    <w:rsid w:val="0DD76FED"/>
    <w:rsid w:val="0DEB51E0"/>
    <w:rsid w:val="0DF2383E"/>
    <w:rsid w:val="0DF857C7"/>
    <w:rsid w:val="0E2B5527"/>
    <w:rsid w:val="0E59397E"/>
    <w:rsid w:val="0E5F4312"/>
    <w:rsid w:val="0E623D96"/>
    <w:rsid w:val="0E6446C4"/>
    <w:rsid w:val="0E9D6C3E"/>
    <w:rsid w:val="0EA43A70"/>
    <w:rsid w:val="0EE02FCE"/>
    <w:rsid w:val="0EE509E1"/>
    <w:rsid w:val="0EE7423B"/>
    <w:rsid w:val="0F29227F"/>
    <w:rsid w:val="0F687ABB"/>
    <w:rsid w:val="0F827A02"/>
    <w:rsid w:val="0FCE2E27"/>
    <w:rsid w:val="100D6038"/>
    <w:rsid w:val="101E19F9"/>
    <w:rsid w:val="102B6385"/>
    <w:rsid w:val="102D5D9F"/>
    <w:rsid w:val="10321608"/>
    <w:rsid w:val="10CB4356"/>
    <w:rsid w:val="10E20CEC"/>
    <w:rsid w:val="10F44B0F"/>
    <w:rsid w:val="113B4BC4"/>
    <w:rsid w:val="11566C8C"/>
    <w:rsid w:val="119836EC"/>
    <w:rsid w:val="119A0012"/>
    <w:rsid w:val="11D113C2"/>
    <w:rsid w:val="12026E01"/>
    <w:rsid w:val="12051714"/>
    <w:rsid w:val="12333415"/>
    <w:rsid w:val="123C7C16"/>
    <w:rsid w:val="125C6EE2"/>
    <w:rsid w:val="12704DB3"/>
    <w:rsid w:val="12794E06"/>
    <w:rsid w:val="12A3059B"/>
    <w:rsid w:val="12AF2BFA"/>
    <w:rsid w:val="12D74756"/>
    <w:rsid w:val="12EB23CA"/>
    <w:rsid w:val="12ED75FB"/>
    <w:rsid w:val="130C4392"/>
    <w:rsid w:val="130C4532"/>
    <w:rsid w:val="134D74D4"/>
    <w:rsid w:val="1356388C"/>
    <w:rsid w:val="135B74B8"/>
    <w:rsid w:val="135E3B2E"/>
    <w:rsid w:val="136A43C7"/>
    <w:rsid w:val="137B3E80"/>
    <w:rsid w:val="13A37C75"/>
    <w:rsid w:val="13C73DA4"/>
    <w:rsid w:val="140C1889"/>
    <w:rsid w:val="140F36CB"/>
    <w:rsid w:val="142422AF"/>
    <w:rsid w:val="147C3C8C"/>
    <w:rsid w:val="149A3879"/>
    <w:rsid w:val="14A66120"/>
    <w:rsid w:val="14FB20E7"/>
    <w:rsid w:val="150427B3"/>
    <w:rsid w:val="15107A3E"/>
    <w:rsid w:val="15167D07"/>
    <w:rsid w:val="1541506E"/>
    <w:rsid w:val="15712BD2"/>
    <w:rsid w:val="159248FD"/>
    <w:rsid w:val="15A9411A"/>
    <w:rsid w:val="15D40158"/>
    <w:rsid w:val="16041175"/>
    <w:rsid w:val="16112C30"/>
    <w:rsid w:val="1623156A"/>
    <w:rsid w:val="164B5385"/>
    <w:rsid w:val="165C044D"/>
    <w:rsid w:val="167665C6"/>
    <w:rsid w:val="16810BF3"/>
    <w:rsid w:val="16CC017F"/>
    <w:rsid w:val="16EA6177"/>
    <w:rsid w:val="171730AB"/>
    <w:rsid w:val="172A2C1F"/>
    <w:rsid w:val="177B1AE6"/>
    <w:rsid w:val="17866D45"/>
    <w:rsid w:val="17B32E54"/>
    <w:rsid w:val="17C567B6"/>
    <w:rsid w:val="17DD43C5"/>
    <w:rsid w:val="17E42573"/>
    <w:rsid w:val="17E663C6"/>
    <w:rsid w:val="18206A9D"/>
    <w:rsid w:val="183345EB"/>
    <w:rsid w:val="183F12A7"/>
    <w:rsid w:val="18455C50"/>
    <w:rsid w:val="18531E50"/>
    <w:rsid w:val="185A5BA0"/>
    <w:rsid w:val="187E5752"/>
    <w:rsid w:val="18C174DB"/>
    <w:rsid w:val="18C249F0"/>
    <w:rsid w:val="18D214EE"/>
    <w:rsid w:val="191707C1"/>
    <w:rsid w:val="191B18F5"/>
    <w:rsid w:val="19223474"/>
    <w:rsid w:val="194B373A"/>
    <w:rsid w:val="196A7C74"/>
    <w:rsid w:val="198266B8"/>
    <w:rsid w:val="19946A53"/>
    <w:rsid w:val="199C1137"/>
    <w:rsid w:val="19A846E9"/>
    <w:rsid w:val="19B00734"/>
    <w:rsid w:val="19B77438"/>
    <w:rsid w:val="19B968F6"/>
    <w:rsid w:val="19DC61E5"/>
    <w:rsid w:val="19E1107D"/>
    <w:rsid w:val="1A0F4768"/>
    <w:rsid w:val="1A3C68B4"/>
    <w:rsid w:val="1A424778"/>
    <w:rsid w:val="1A492BF8"/>
    <w:rsid w:val="1A4E34E2"/>
    <w:rsid w:val="1A534FE3"/>
    <w:rsid w:val="1AAB3704"/>
    <w:rsid w:val="1ACD6B6C"/>
    <w:rsid w:val="1AE9320B"/>
    <w:rsid w:val="1B366383"/>
    <w:rsid w:val="1B547ADD"/>
    <w:rsid w:val="1B5F527B"/>
    <w:rsid w:val="1B6D79B6"/>
    <w:rsid w:val="1B701236"/>
    <w:rsid w:val="1BE42BC4"/>
    <w:rsid w:val="1C0735C5"/>
    <w:rsid w:val="1C085913"/>
    <w:rsid w:val="1C170D74"/>
    <w:rsid w:val="1C3425B4"/>
    <w:rsid w:val="1C4650FC"/>
    <w:rsid w:val="1C6C3216"/>
    <w:rsid w:val="1C8B27CB"/>
    <w:rsid w:val="1CA3397A"/>
    <w:rsid w:val="1CAE3253"/>
    <w:rsid w:val="1CAE6F40"/>
    <w:rsid w:val="1CB339A6"/>
    <w:rsid w:val="1CB403CA"/>
    <w:rsid w:val="1CBF0ABE"/>
    <w:rsid w:val="1CE57F1E"/>
    <w:rsid w:val="1D273327"/>
    <w:rsid w:val="1D4946BC"/>
    <w:rsid w:val="1D567639"/>
    <w:rsid w:val="1D764B31"/>
    <w:rsid w:val="1D776742"/>
    <w:rsid w:val="1D8F1A5E"/>
    <w:rsid w:val="1D9A07EC"/>
    <w:rsid w:val="1DAD49C3"/>
    <w:rsid w:val="1DC32E09"/>
    <w:rsid w:val="1DCF07FC"/>
    <w:rsid w:val="1DE96DB4"/>
    <w:rsid w:val="1E2C2CAA"/>
    <w:rsid w:val="1E3302F5"/>
    <w:rsid w:val="1E38656C"/>
    <w:rsid w:val="1E4179CF"/>
    <w:rsid w:val="1E426EBA"/>
    <w:rsid w:val="1E577D0A"/>
    <w:rsid w:val="1E5D2F80"/>
    <w:rsid w:val="1E76001E"/>
    <w:rsid w:val="1E7A7539"/>
    <w:rsid w:val="1E886F79"/>
    <w:rsid w:val="1E8A7CBA"/>
    <w:rsid w:val="1EA45E3E"/>
    <w:rsid w:val="1EB660B9"/>
    <w:rsid w:val="1EDA29DE"/>
    <w:rsid w:val="1F2410F2"/>
    <w:rsid w:val="1F470500"/>
    <w:rsid w:val="1F4D16E9"/>
    <w:rsid w:val="1F4E065F"/>
    <w:rsid w:val="1F5275D0"/>
    <w:rsid w:val="1F59095F"/>
    <w:rsid w:val="1F7667D5"/>
    <w:rsid w:val="1F9078D7"/>
    <w:rsid w:val="1F95570F"/>
    <w:rsid w:val="1FB524B2"/>
    <w:rsid w:val="20230F6D"/>
    <w:rsid w:val="20410142"/>
    <w:rsid w:val="2045464B"/>
    <w:rsid w:val="207915F0"/>
    <w:rsid w:val="20BD525B"/>
    <w:rsid w:val="20D94C8E"/>
    <w:rsid w:val="20EC48AF"/>
    <w:rsid w:val="20F77832"/>
    <w:rsid w:val="212B632B"/>
    <w:rsid w:val="212D2EAE"/>
    <w:rsid w:val="21633C8B"/>
    <w:rsid w:val="2169631B"/>
    <w:rsid w:val="21963369"/>
    <w:rsid w:val="21BD0297"/>
    <w:rsid w:val="21D06ED2"/>
    <w:rsid w:val="21E76A79"/>
    <w:rsid w:val="21F24981"/>
    <w:rsid w:val="224D4CA2"/>
    <w:rsid w:val="225C3FC7"/>
    <w:rsid w:val="22836C12"/>
    <w:rsid w:val="228569AB"/>
    <w:rsid w:val="228D26CE"/>
    <w:rsid w:val="22945315"/>
    <w:rsid w:val="22963F54"/>
    <w:rsid w:val="229C12E2"/>
    <w:rsid w:val="22CD0355"/>
    <w:rsid w:val="22D85D40"/>
    <w:rsid w:val="23027641"/>
    <w:rsid w:val="230C4AB2"/>
    <w:rsid w:val="23150761"/>
    <w:rsid w:val="232C09A6"/>
    <w:rsid w:val="235F7744"/>
    <w:rsid w:val="23741A1F"/>
    <w:rsid w:val="238F540A"/>
    <w:rsid w:val="2390167A"/>
    <w:rsid w:val="239E204B"/>
    <w:rsid w:val="23EB3B50"/>
    <w:rsid w:val="245C3A3B"/>
    <w:rsid w:val="245E4322"/>
    <w:rsid w:val="248A7123"/>
    <w:rsid w:val="24E64B69"/>
    <w:rsid w:val="24FC1D1C"/>
    <w:rsid w:val="24FF5367"/>
    <w:rsid w:val="250A069B"/>
    <w:rsid w:val="257E2E5B"/>
    <w:rsid w:val="25D02FFD"/>
    <w:rsid w:val="25E47B7D"/>
    <w:rsid w:val="26021802"/>
    <w:rsid w:val="262325D7"/>
    <w:rsid w:val="26425255"/>
    <w:rsid w:val="26797EDA"/>
    <w:rsid w:val="26B2554F"/>
    <w:rsid w:val="26DB7EAB"/>
    <w:rsid w:val="270A70EA"/>
    <w:rsid w:val="270D4AD8"/>
    <w:rsid w:val="272A0FBB"/>
    <w:rsid w:val="27476DD9"/>
    <w:rsid w:val="275E6275"/>
    <w:rsid w:val="279664FC"/>
    <w:rsid w:val="27C94F39"/>
    <w:rsid w:val="27CE1102"/>
    <w:rsid w:val="27CE42CA"/>
    <w:rsid w:val="27E2755C"/>
    <w:rsid w:val="27E97193"/>
    <w:rsid w:val="27EC34A4"/>
    <w:rsid w:val="28171939"/>
    <w:rsid w:val="28687E65"/>
    <w:rsid w:val="287B307B"/>
    <w:rsid w:val="28860263"/>
    <w:rsid w:val="28A349F9"/>
    <w:rsid w:val="28B22F7D"/>
    <w:rsid w:val="28B91CF2"/>
    <w:rsid w:val="28C42EEB"/>
    <w:rsid w:val="28C9471B"/>
    <w:rsid w:val="28D83258"/>
    <w:rsid w:val="28FB2A3F"/>
    <w:rsid w:val="29212E8D"/>
    <w:rsid w:val="296042FF"/>
    <w:rsid w:val="296E07D8"/>
    <w:rsid w:val="296F69EA"/>
    <w:rsid w:val="2993139B"/>
    <w:rsid w:val="299376BB"/>
    <w:rsid w:val="299B5F04"/>
    <w:rsid w:val="29A155D7"/>
    <w:rsid w:val="29BF51B1"/>
    <w:rsid w:val="29F924A3"/>
    <w:rsid w:val="2A151926"/>
    <w:rsid w:val="2A1A5917"/>
    <w:rsid w:val="2A2E2D26"/>
    <w:rsid w:val="2A5138A5"/>
    <w:rsid w:val="2AB26AF0"/>
    <w:rsid w:val="2AC84ACB"/>
    <w:rsid w:val="2ACB66B1"/>
    <w:rsid w:val="2B144892"/>
    <w:rsid w:val="2B4E756B"/>
    <w:rsid w:val="2B711930"/>
    <w:rsid w:val="2B8054C5"/>
    <w:rsid w:val="2B832868"/>
    <w:rsid w:val="2B8F3953"/>
    <w:rsid w:val="2B986D03"/>
    <w:rsid w:val="2BA60E1F"/>
    <w:rsid w:val="2BBC67D4"/>
    <w:rsid w:val="2BDB3D96"/>
    <w:rsid w:val="2C1969DA"/>
    <w:rsid w:val="2C3607CC"/>
    <w:rsid w:val="2C4C53A8"/>
    <w:rsid w:val="2C6B49F3"/>
    <w:rsid w:val="2C6E14E0"/>
    <w:rsid w:val="2CF306DD"/>
    <w:rsid w:val="2CFC255E"/>
    <w:rsid w:val="2CFE48F4"/>
    <w:rsid w:val="2D1258D2"/>
    <w:rsid w:val="2D151532"/>
    <w:rsid w:val="2D2865B7"/>
    <w:rsid w:val="2D7D0712"/>
    <w:rsid w:val="2D7F2DB0"/>
    <w:rsid w:val="2DB80421"/>
    <w:rsid w:val="2DD85145"/>
    <w:rsid w:val="2DDD304C"/>
    <w:rsid w:val="2DE05D4B"/>
    <w:rsid w:val="2E0D1686"/>
    <w:rsid w:val="2E1B67F8"/>
    <w:rsid w:val="2E295E1B"/>
    <w:rsid w:val="2E326796"/>
    <w:rsid w:val="2E474078"/>
    <w:rsid w:val="2E507989"/>
    <w:rsid w:val="2E8433D9"/>
    <w:rsid w:val="2EA14EC7"/>
    <w:rsid w:val="2EE01394"/>
    <w:rsid w:val="2EEE335E"/>
    <w:rsid w:val="2F282022"/>
    <w:rsid w:val="2F445408"/>
    <w:rsid w:val="2F4B4049"/>
    <w:rsid w:val="2F6F5865"/>
    <w:rsid w:val="2F761DEF"/>
    <w:rsid w:val="2FAA5B44"/>
    <w:rsid w:val="2FC70C25"/>
    <w:rsid w:val="2FFB76CA"/>
    <w:rsid w:val="300F6E18"/>
    <w:rsid w:val="30262C13"/>
    <w:rsid w:val="302E54F0"/>
    <w:rsid w:val="30443639"/>
    <w:rsid w:val="304E7CB0"/>
    <w:rsid w:val="30501FCB"/>
    <w:rsid w:val="30595A18"/>
    <w:rsid w:val="305F38FB"/>
    <w:rsid w:val="30607673"/>
    <w:rsid w:val="30765F3C"/>
    <w:rsid w:val="30935804"/>
    <w:rsid w:val="30A9369A"/>
    <w:rsid w:val="30AB389E"/>
    <w:rsid w:val="30B36863"/>
    <w:rsid w:val="30B57438"/>
    <w:rsid w:val="30B87E1B"/>
    <w:rsid w:val="30F37206"/>
    <w:rsid w:val="31081195"/>
    <w:rsid w:val="310C3B5A"/>
    <w:rsid w:val="31310683"/>
    <w:rsid w:val="316565AF"/>
    <w:rsid w:val="3195381F"/>
    <w:rsid w:val="31A05036"/>
    <w:rsid w:val="31B40F34"/>
    <w:rsid w:val="31EB6A65"/>
    <w:rsid w:val="320901D0"/>
    <w:rsid w:val="322E56F7"/>
    <w:rsid w:val="325D2C33"/>
    <w:rsid w:val="326020E9"/>
    <w:rsid w:val="32805A9D"/>
    <w:rsid w:val="328C0BF4"/>
    <w:rsid w:val="32941CF1"/>
    <w:rsid w:val="32C0264B"/>
    <w:rsid w:val="32E97C4F"/>
    <w:rsid w:val="32EB1A69"/>
    <w:rsid w:val="32F04CDF"/>
    <w:rsid w:val="330B7787"/>
    <w:rsid w:val="338C5873"/>
    <w:rsid w:val="339007B2"/>
    <w:rsid w:val="33974B3A"/>
    <w:rsid w:val="33AA7583"/>
    <w:rsid w:val="33DA0B96"/>
    <w:rsid w:val="33E63FEB"/>
    <w:rsid w:val="33EA1602"/>
    <w:rsid w:val="33EC6015"/>
    <w:rsid w:val="34041A98"/>
    <w:rsid w:val="340A3E7E"/>
    <w:rsid w:val="34437827"/>
    <w:rsid w:val="346516FC"/>
    <w:rsid w:val="34771064"/>
    <w:rsid w:val="348B7895"/>
    <w:rsid w:val="34BE65D8"/>
    <w:rsid w:val="34C81D0F"/>
    <w:rsid w:val="34CE737B"/>
    <w:rsid w:val="34F32D46"/>
    <w:rsid w:val="35074963"/>
    <w:rsid w:val="352567D5"/>
    <w:rsid w:val="35312B01"/>
    <w:rsid w:val="353317B2"/>
    <w:rsid w:val="35616BDC"/>
    <w:rsid w:val="35627CEB"/>
    <w:rsid w:val="357C50CC"/>
    <w:rsid w:val="35C02DAE"/>
    <w:rsid w:val="35EA090E"/>
    <w:rsid w:val="361D47EF"/>
    <w:rsid w:val="363C1E23"/>
    <w:rsid w:val="364B3C57"/>
    <w:rsid w:val="36603C16"/>
    <w:rsid w:val="36723C5D"/>
    <w:rsid w:val="368D43F8"/>
    <w:rsid w:val="36A16CDA"/>
    <w:rsid w:val="36BA0929"/>
    <w:rsid w:val="36BD5378"/>
    <w:rsid w:val="36D85FB7"/>
    <w:rsid w:val="36D95871"/>
    <w:rsid w:val="36E16BA3"/>
    <w:rsid w:val="36F00469"/>
    <w:rsid w:val="37132ACF"/>
    <w:rsid w:val="37197412"/>
    <w:rsid w:val="371C255B"/>
    <w:rsid w:val="373566CD"/>
    <w:rsid w:val="37BC1633"/>
    <w:rsid w:val="37CC44F9"/>
    <w:rsid w:val="3809396B"/>
    <w:rsid w:val="38160A60"/>
    <w:rsid w:val="38170E61"/>
    <w:rsid w:val="38593879"/>
    <w:rsid w:val="385A0A9D"/>
    <w:rsid w:val="38766B4A"/>
    <w:rsid w:val="391B34FF"/>
    <w:rsid w:val="391C048E"/>
    <w:rsid w:val="392D4962"/>
    <w:rsid w:val="394E3410"/>
    <w:rsid w:val="39D701D9"/>
    <w:rsid w:val="3A4B5CFF"/>
    <w:rsid w:val="3A5826B6"/>
    <w:rsid w:val="3A782816"/>
    <w:rsid w:val="3A960F1D"/>
    <w:rsid w:val="3AB85C59"/>
    <w:rsid w:val="3AD84E92"/>
    <w:rsid w:val="3AEC0481"/>
    <w:rsid w:val="3B107F0F"/>
    <w:rsid w:val="3B412579"/>
    <w:rsid w:val="3B4B1C4C"/>
    <w:rsid w:val="3B533197"/>
    <w:rsid w:val="3B7D7E13"/>
    <w:rsid w:val="3BC907C3"/>
    <w:rsid w:val="3BD01CB4"/>
    <w:rsid w:val="3BDF1F72"/>
    <w:rsid w:val="3C031541"/>
    <w:rsid w:val="3C056013"/>
    <w:rsid w:val="3C1308C2"/>
    <w:rsid w:val="3C3860E7"/>
    <w:rsid w:val="3C5924B3"/>
    <w:rsid w:val="3C8C2C34"/>
    <w:rsid w:val="3C9A5CBB"/>
    <w:rsid w:val="3CAF5C0A"/>
    <w:rsid w:val="3CB430FE"/>
    <w:rsid w:val="3CD967E3"/>
    <w:rsid w:val="3CF46C13"/>
    <w:rsid w:val="3CFD7F37"/>
    <w:rsid w:val="3D0C79E0"/>
    <w:rsid w:val="3D0D7122"/>
    <w:rsid w:val="3D27089C"/>
    <w:rsid w:val="3D346DC1"/>
    <w:rsid w:val="3D477B05"/>
    <w:rsid w:val="3D792776"/>
    <w:rsid w:val="3D9828A9"/>
    <w:rsid w:val="3DD01DCF"/>
    <w:rsid w:val="3DE2791A"/>
    <w:rsid w:val="3E296CB4"/>
    <w:rsid w:val="3E5B22F2"/>
    <w:rsid w:val="3E8B1D5F"/>
    <w:rsid w:val="3EA25030"/>
    <w:rsid w:val="3EA36F25"/>
    <w:rsid w:val="3F051B12"/>
    <w:rsid w:val="3F10258B"/>
    <w:rsid w:val="3F37118A"/>
    <w:rsid w:val="3F656D7F"/>
    <w:rsid w:val="3F7A098E"/>
    <w:rsid w:val="3F985ADB"/>
    <w:rsid w:val="3F9959F3"/>
    <w:rsid w:val="3FBA3F5C"/>
    <w:rsid w:val="3FBF1CCE"/>
    <w:rsid w:val="3FCC6F8E"/>
    <w:rsid w:val="3FD716B8"/>
    <w:rsid w:val="3FDA2E5D"/>
    <w:rsid w:val="3FDB4513"/>
    <w:rsid w:val="3FE47979"/>
    <w:rsid w:val="40317410"/>
    <w:rsid w:val="403E4B1D"/>
    <w:rsid w:val="404F739E"/>
    <w:rsid w:val="40574C5C"/>
    <w:rsid w:val="405F4321"/>
    <w:rsid w:val="40603DED"/>
    <w:rsid w:val="406C4ABE"/>
    <w:rsid w:val="40831BCD"/>
    <w:rsid w:val="40BF1EEA"/>
    <w:rsid w:val="40C52EAE"/>
    <w:rsid w:val="40DF6392"/>
    <w:rsid w:val="40EE7DCE"/>
    <w:rsid w:val="414E7181"/>
    <w:rsid w:val="416F7716"/>
    <w:rsid w:val="41725AC2"/>
    <w:rsid w:val="41874A60"/>
    <w:rsid w:val="418A5888"/>
    <w:rsid w:val="41AA69A0"/>
    <w:rsid w:val="41BF0AC3"/>
    <w:rsid w:val="41D16EB3"/>
    <w:rsid w:val="41DB66A4"/>
    <w:rsid w:val="421D7172"/>
    <w:rsid w:val="424C0CD0"/>
    <w:rsid w:val="42621029"/>
    <w:rsid w:val="42660B19"/>
    <w:rsid w:val="4278084D"/>
    <w:rsid w:val="42A33B1C"/>
    <w:rsid w:val="42A41DA4"/>
    <w:rsid w:val="43140775"/>
    <w:rsid w:val="43174146"/>
    <w:rsid w:val="431B01DC"/>
    <w:rsid w:val="435374E2"/>
    <w:rsid w:val="435A1C72"/>
    <w:rsid w:val="436104D5"/>
    <w:rsid w:val="436A1CEB"/>
    <w:rsid w:val="43B417B7"/>
    <w:rsid w:val="43C94D0A"/>
    <w:rsid w:val="43DB5CE2"/>
    <w:rsid w:val="43E80103"/>
    <w:rsid w:val="440E66CB"/>
    <w:rsid w:val="44772B8D"/>
    <w:rsid w:val="449E26C0"/>
    <w:rsid w:val="44A30AD6"/>
    <w:rsid w:val="44AB360A"/>
    <w:rsid w:val="44BA3374"/>
    <w:rsid w:val="44C63791"/>
    <w:rsid w:val="451A5F22"/>
    <w:rsid w:val="451D08A7"/>
    <w:rsid w:val="45490368"/>
    <w:rsid w:val="455B5334"/>
    <w:rsid w:val="4580177B"/>
    <w:rsid w:val="459E1862"/>
    <w:rsid w:val="45A37EE8"/>
    <w:rsid w:val="45B12031"/>
    <w:rsid w:val="45B54770"/>
    <w:rsid w:val="45BC6AA8"/>
    <w:rsid w:val="45DA519B"/>
    <w:rsid w:val="45F55B38"/>
    <w:rsid w:val="4613720A"/>
    <w:rsid w:val="461E1835"/>
    <w:rsid w:val="46556A6B"/>
    <w:rsid w:val="46733FB8"/>
    <w:rsid w:val="467C4DAF"/>
    <w:rsid w:val="467E61C4"/>
    <w:rsid w:val="468477C0"/>
    <w:rsid w:val="468C4AA7"/>
    <w:rsid w:val="46913047"/>
    <w:rsid w:val="469C0674"/>
    <w:rsid w:val="46A706A5"/>
    <w:rsid w:val="46FB0A43"/>
    <w:rsid w:val="47195646"/>
    <w:rsid w:val="47353062"/>
    <w:rsid w:val="477A3B2C"/>
    <w:rsid w:val="4780658C"/>
    <w:rsid w:val="4782401A"/>
    <w:rsid w:val="47853783"/>
    <w:rsid w:val="47D211D2"/>
    <w:rsid w:val="47D41458"/>
    <w:rsid w:val="47F00E85"/>
    <w:rsid w:val="4801558F"/>
    <w:rsid w:val="48031F77"/>
    <w:rsid w:val="480A2FAE"/>
    <w:rsid w:val="481F0A20"/>
    <w:rsid w:val="48434278"/>
    <w:rsid w:val="487359D2"/>
    <w:rsid w:val="4887604C"/>
    <w:rsid w:val="48A522E6"/>
    <w:rsid w:val="48BC5937"/>
    <w:rsid w:val="48C80CA0"/>
    <w:rsid w:val="48F04BCA"/>
    <w:rsid w:val="496054B6"/>
    <w:rsid w:val="496E29BE"/>
    <w:rsid w:val="496F0BFB"/>
    <w:rsid w:val="49AB1846"/>
    <w:rsid w:val="49D428AC"/>
    <w:rsid w:val="49D51101"/>
    <w:rsid w:val="49E20EB5"/>
    <w:rsid w:val="4A7A7858"/>
    <w:rsid w:val="4AEA0A9B"/>
    <w:rsid w:val="4B0628B5"/>
    <w:rsid w:val="4B1203F7"/>
    <w:rsid w:val="4B5126FF"/>
    <w:rsid w:val="4B5C3E20"/>
    <w:rsid w:val="4BB33E83"/>
    <w:rsid w:val="4BD20EF3"/>
    <w:rsid w:val="4C2D6B12"/>
    <w:rsid w:val="4C531E74"/>
    <w:rsid w:val="4C9B2BDF"/>
    <w:rsid w:val="4CA7676E"/>
    <w:rsid w:val="4CAA4A07"/>
    <w:rsid w:val="4CB11948"/>
    <w:rsid w:val="4CBB09FE"/>
    <w:rsid w:val="4CC44C11"/>
    <w:rsid w:val="4CF606AD"/>
    <w:rsid w:val="4CFE6256"/>
    <w:rsid w:val="4D017D0E"/>
    <w:rsid w:val="4D14078D"/>
    <w:rsid w:val="4D302606"/>
    <w:rsid w:val="4D510618"/>
    <w:rsid w:val="4D6C1FED"/>
    <w:rsid w:val="4D851CA0"/>
    <w:rsid w:val="4DCC0992"/>
    <w:rsid w:val="4DF416CF"/>
    <w:rsid w:val="4DF8629D"/>
    <w:rsid w:val="4E154513"/>
    <w:rsid w:val="4E2512C8"/>
    <w:rsid w:val="4E252F9E"/>
    <w:rsid w:val="4E4E16AF"/>
    <w:rsid w:val="4E60238E"/>
    <w:rsid w:val="4EA24EB1"/>
    <w:rsid w:val="4EB26A8E"/>
    <w:rsid w:val="4ED41501"/>
    <w:rsid w:val="4ED4505D"/>
    <w:rsid w:val="4EF86CC0"/>
    <w:rsid w:val="4F040117"/>
    <w:rsid w:val="4F2A76C7"/>
    <w:rsid w:val="4F37644E"/>
    <w:rsid w:val="4F463604"/>
    <w:rsid w:val="4F465F82"/>
    <w:rsid w:val="4F72170C"/>
    <w:rsid w:val="4F7F141F"/>
    <w:rsid w:val="4F8965F3"/>
    <w:rsid w:val="4F8D562A"/>
    <w:rsid w:val="4FBF1097"/>
    <w:rsid w:val="4FCB2904"/>
    <w:rsid w:val="4FE279E5"/>
    <w:rsid w:val="503843E8"/>
    <w:rsid w:val="503A5C56"/>
    <w:rsid w:val="50401423"/>
    <w:rsid w:val="504B6593"/>
    <w:rsid w:val="504E7D41"/>
    <w:rsid w:val="504F0E3F"/>
    <w:rsid w:val="50630821"/>
    <w:rsid w:val="506508DD"/>
    <w:rsid w:val="506643B4"/>
    <w:rsid w:val="506D7FF8"/>
    <w:rsid w:val="50711C50"/>
    <w:rsid w:val="509F1AE4"/>
    <w:rsid w:val="50A4103D"/>
    <w:rsid w:val="51161906"/>
    <w:rsid w:val="5123600D"/>
    <w:rsid w:val="51273DCC"/>
    <w:rsid w:val="5129736E"/>
    <w:rsid w:val="512D7218"/>
    <w:rsid w:val="51410DBF"/>
    <w:rsid w:val="514161D5"/>
    <w:rsid w:val="515D758B"/>
    <w:rsid w:val="516E2B15"/>
    <w:rsid w:val="518002D4"/>
    <w:rsid w:val="51863A6C"/>
    <w:rsid w:val="51A92228"/>
    <w:rsid w:val="51AA02F7"/>
    <w:rsid w:val="51E87A97"/>
    <w:rsid w:val="52374280"/>
    <w:rsid w:val="52444B99"/>
    <w:rsid w:val="52472C6E"/>
    <w:rsid w:val="524F3C49"/>
    <w:rsid w:val="5281172B"/>
    <w:rsid w:val="529A5359"/>
    <w:rsid w:val="52A33C8A"/>
    <w:rsid w:val="52AD68DD"/>
    <w:rsid w:val="52CF6267"/>
    <w:rsid w:val="52EB52B5"/>
    <w:rsid w:val="5312128A"/>
    <w:rsid w:val="536477CB"/>
    <w:rsid w:val="537103F8"/>
    <w:rsid w:val="53C847FE"/>
    <w:rsid w:val="53D63625"/>
    <w:rsid w:val="53EC1C80"/>
    <w:rsid w:val="53ED7F01"/>
    <w:rsid w:val="53F84BB6"/>
    <w:rsid w:val="540439CF"/>
    <w:rsid w:val="540A1C44"/>
    <w:rsid w:val="541E10A8"/>
    <w:rsid w:val="544031EB"/>
    <w:rsid w:val="5499291E"/>
    <w:rsid w:val="54A35BFD"/>
    <w:rsid w:val="54B90C6C"/>
    <w:rsid w:val="54C4581B"/>
    <w:rsid w:val="550D6267"/>
    <w:rsid w:val="55175CA3"/>
    <w:rsid w:val="552C79A0"/>
    <w:rsid w:val="55387195"/>
    <w:rsid w:val="555E38D2"/>
    <w:rsid w:val="556355CA"/>
    <w:rsid w:val="556A04C9"/>
    <w:rsid w:val="558143CA"/>
    <w:rsid w:val="55991245"/>
    <w:rsid w:val="55A52777"/>
    <w:rsid w:val="55C220B3"/>
    <w:rsid w:val="55DC047A"/>
    <w:rsid w:val="55F16041"/>
    <w:rsid w:val="55F505C1"/>
    <w:rsid w:val="56154105"/>
    <w:rsid w:val="561F04E5"/>
    <w:rsid w:val="562E14F6"/>
    <w:rsid w:val="563A3816"/>
    <w:rsid w:val="56472894"/>
    <w:rsid w:val="565D04BF"/>
    <w:rsid w:val="566653B7"/>
    <w:rsid w:val="566841CA"/>
    <w:rsid w:val="56B03DC5"/>
    <w:rsid w:val="56DF5EA4"/>
    <w:rsid w:val="56E57FF1"/>
    <w:rsid w:val="573E341D"/>
    <w:rsid w:val="574A12F5"/>
    <w:rsid w:val="57783D9C"/>
    <w:rsid w:val="578926C7"/>
    <w:rsid w:val="578C2F80"/>
    <w:rsid w:val="57961367"/>
    <w:rsid w:val="579B0918"/>
    <w:rsid w:val="57A919F7"/>
    <w:rsid w:val="581225E1"/>
    <w:rsid w:val="58231207"/>
    <w:rsid w:val="58232884"/>
    <w:rsid w:val="583B32E8"/>
    <w:rsid w:val="586456A3"/>
    <w:rsid w:val="588C08D1"/>
    <w:rsid w:val="5898359F"/>
    <w:rsid w:val="58E36CD2"/>
    <w:rsid w:val="58E40B5C"/>
    <w:rsid w:val="59117494"/>
    <w:rsid w:val="592F41AF"/>
    <w:rsid w:val="59455C0C"/>
    <w:rsid w:val="5983112E"/>
    <w:rsid w:val="59C56849"/>
    <w:rsid w:val="59C72AA6"/>
    <w:rsid w:val="59D734D4"/>
    <w:rsid w:val="59E56191"/>
    <w:rsid w:val="59EF3692"/>
    <w:rsid w:val="5A3966BC"/>
    <w:rsid w:val="5A5E77EF"/>
    <w:rsid w:val="5A841A64"/>
    <w:rsid w:val="5AB64AC4"/>
    <w:rsid w:val="5ABF40E5"/>
    <w:rsid w:val="5ACB1E38"/>
    <w:rsid w:val="5ADD7144"/>
    <w:rsid w:val="5B456296"/>
    <w:rsid w:val="5B5A4B3C"/>
    <w:rsid w:val="5B723CA8"/>
    <w:rsid w:val="5B72714E"/>
    <w:rsid w:val="5B8B15E4"/>
    <w:rsid w:val="5B8B4FDC"/>
    <w:rsid w:val="5B995596"/>
    <w:rsid w:val="5B9B1643"/>
    <w:rsid w:val="5BED20C1"/>
    <w:rsid w:val="5C0536A1"/>
    <w:rsid w:val="5C2D5CBA"/>
    <w:rsid w:val="5C313392"/>
    <w:rsid w:val="5C425CFC"/>
    <w:rsid w:val="5C4F6328"/>
    <w:rsid w:val="5C712EAE"/>
    <w:rsid w:val="5CAB38A1"/>
    <w:rsid w:val="5CC32DBF"/>
    <w:rsid w:val="5CC7021D"/>
    <w:rsid w:val="5CD67FBF"/>
    <w:rsid w:val="5CDE151C"/>
    <w:rsid w:val="5D604059"/>
    <w:rsid w:val="5D687337"/>
    <w:rsid w:val="5D7B4E54"/>
    <w:rsid w:val="5D9E7743"/>
    <w:rsid w:val="5DA9205A"/>
    <w:rsid w:val="5DB93D22"/>
    <w:rsid w:val="5DC11B92"/>
    <w:rsid w:val="5DCF1811"/>
    <w:rsid w:val="5E090FA4"/>
    <w:rsid w:val="5E400CDF"/>
    <w:rsid w:val="5E471FC2"/>
    <w:rsid w:val="5E7666F7"/>
    <w:rsid w:val="5E912F5F"/>
    <w:rsid w:val="5EBC5F3E"/>
    <w:rsid w:val="5F28567D"/>
    <w:rsid w:val="5F2C67EF"/>
    <w:rsid w:val="5F341537"/>
    <w:rsid w:val="5F7E41B6"/>
    <w:rsid w:val="5F831C34"/>
    <w:rsid w:val="5F890392"/>
    <w:rsid w:val="5FA45965"/>
    <w:rsid w:val="5FBF20F5"/>
    <w:rsid w:val="5FD350AB"/>
    <w:rsid w:val="601569D7"/>
    <w:rsid w:val="601A28EB"/>
    <w:rsid w:val="603706C5"/>
    <w:rsid w:val="603810FF"/>
    <w:rsid w:val="60545A9A"/>
    <w:rsid w:val="606340E6"/>
    <w:rsid w:val="60C07B37"/>
    <w:rsid w:val="61217456"/>
    <w:rsid w:val="61240687"/>
    <w:rsid w:val="613E7560"/>
    <w:rsid w:val="616B6D93"/>
    <w:rsid w:val="61846164"/>
    <w:rsid w:val="61891CD7"/>
    <w:rsid w:val="61931174"/>
    <w:rsid w:val="61AA6B2C"/>
    <w:rsid w:val="61DA337A"/>
    <w:rsid w:val="61DF4169"/>
    <w:rsid w:val="61E34380"/>
    <w:rsid w:val="620504F1"/>
    <w:rsid w:val="6223305C"/>
    <w:rsid w:val="622E7628"/>
    <w:rsid w:val="6238329F"/>
    <w:rsid w:val="623D12F6"/>
    <w:rsid w:val="624F0B60"/>
    <w:rsid w:val="6268494D"/>
    <w:rsid w:val="62B954DB"/>
    <w:rsid w:val="62D7137C"/>
    <w:rsid w:val="62E30C79"/>
    <w:rsid w:val="62F31AFE"/>
    <w:rsid w:val="62F51D1A"/>
    <w:rsid w:val="62FE1176"/>
    <w:rsid w:val="63203A80"/>
    <w:rsid w:val="6325172A"/>
    <w:rsid w:val="632610E9"/>
    <w:rsid w:val="63290614"/>
    <w:rsid w:val="634D067F"/>
    <w:rsid w:val="63656C59"/>
    <w:rsid w:val="637644DD"/>
    <w:rsid w:val="63790C76"/>
    <w:rsid w:val="63911720"/>
    <w:rsid w:val="639C03E7"/>
    <w:rsid w:val="63A70ADC"/>
    <w:rsid w:val="63C818EC"/>
    <w:rsid w:val="63D800D9"/>
    <w:rsid w:val="63FD3869"/>
    <w:rsid w:val="64041E13"/>
    <w:rsid w:val="64177A6E"/>
    <w:rsid w:val="64444319"/>
    <w:rsid w:val="645161E4"/>
    <w:rsid w:val="64764706"/>
    <w:rsid w:val="647E6F66"/>
    <w:rsid w:val="64836A95"/>
    <w:rsid w:val="648F0188"/>
    <w:rsid w:val="64920F15"/>
    <w:rsid w:val="64A10C1A"/>
    <w:rsid w:val="64BF79E1"/>
    <w:rsid w:val="64F720BA"/>
    <w:rsid w:val="651915C4"/>
    <w:rsid w:val="655B422B"/>
    <w:rsid w:val="65A1703E"/>
    <w:rsid w:val="65BA2DA7"/>
    <w:rsid w:val="65BD5903"/>
    <w:rsid w:val="65CE2D35"/>
    <w:rsid w:val="65DF1F54"/>
    <w:rsid w:val="662D146F"/>
    <w:rsid w:val="66342B59"/>
    <w:rsid w:val="663E1CE5"/>
    <w:rsid w:val="66423429"/>
    <w:rsid w:val="666E7CEA"/>
    <w:rsid w:val="667F66FB"/>
    <w:rsid w:val="66976C44"/>
    <w:rsid w:val="66A054A8"/>
    <w:rsid w:val="66CE5358"/>
    <w:rsid w:val="66E850F0"/>
    <w:rsid w:val="67097C2E"/>
    <w:rsid w:val="671007B9"/>
    <w:rsid w:val="67161A11"/>
    <w:rsid w:val="6723279C"/>
    <w:rsid w:val="674D05B9"/>
    <w:rsid w:val="674D6636"/>
    <w:rsid w:val="676747F5"/>
    <w:rsid w:val="676F5399"/>
    <w:rsid w:val="67773F9D"/>
    <w:rsid w:val="67BE7207"/>
    <w:rsid w:val="67CD74FD"/>
    <w:rsid w:val="67CE222F"/>
    <w:rsid w:val="680177F5"/>
    <w:rsid w:val="681F2E0E"/>
    <w:rsid w:val="682016C0"/>
    <w:rsid w:val="68232E85"/>
    <w:rsid w:val="68282E4B"/>
    <w:rsid w:val="683C2438"/>
    <w:rsid w:val="68564138"/>
    <w:rsid w:val="687F687B"/>
    <w:rsid w:val="68844A51"/>
    <w:rsid w:val="689A2CB9"/>
    <w:rsid w:val="68C21341"/>
    <w:rsid w:val="68DA34E7"/>
    <w:rsid w:val="69181935"/>
    <w:rsid w:val="693370F8"/>
    <w:rsid w:val="69584DB0"/>
    <w:rsid w:val="6968396B"/>
    <w:rsid w:val="699B1675"/>
    <w:rsid w:val="69CA29F0"/>
    <w:rsid w:val="69CC2514"/>
    <w:rsid w:val="69E06F5D"/>
    <w:rsid w:val="69F824D3"/>
    <w:rsid w:val="69F9496F"/>
    <w:rsid w:val="6A086F97"/>
    <w:rsid w:val="6A4053F4"/>
    <w:rsid w:val="6A421C2D"/>
    <w:rsid w:val="6A6D488B"/>
    <w:rsid w:val="6A793230"/>
    <w:rsid w:val="6A8B78DD"/>
    <w:rsid w:val="6A9D6853"/>
    <w:rsid w:val="6AF8399D"/>
    <w:rsid w:val="6AFD3B53"/>
    <w:rsid w:val="6B0E4C3A"/>
    <w:rsid w:val="6B1765A5"/>
    <w:rsid w:val="6B5C045C"/>
    <w:rsid w:val="6B672E50"/>
    <w:rsid w:val="6B886E32"/>
    <w:rsid w:val="6B952CA4"/>
    <w:rsid w:val="6BAA7385"/>
    <w:rsid w:val="6BBF5200"/>
    <w:rsid w:val="6BD9385B"/>
    <w:rsid w:val="6BE42E1A"/>
    <w:rsid w:val="6BEC47F0"/>
    <w:rsid w:val="6BF66B60"/>
    <w:rsid w:val="6C305081"/>
    <w:rsid w:val="6C307222"/>
    <w:rsid w:val="6C884BBB"/>
    <w:rsid w:val="6C8C3076"/>
    <w:rsid w:val="6C8D7096"/>
    <w:rsid w:val="6C9003BD"/>
    <w:rsid w:val="6CB735FA"/>
    <w:rsid w:val="6CB97FD7"/>
    <w:rsid w:val="6CBA368C"/>
    <w:rsid w:val="6CFA617E"/>
    <w:rsid w:val="6D67032A"/>
    <w:rsid w:val="6DB0559C"/>
    <w:rsid w:val="6DD422BD"/>
    <w:rsid w:val="6DDE5D76"/>
    <w:rsid w:val="6DF40CCD"/>
    <w:rsid w:val="6E017A54"/>
    <w:rsid w:val="6E154463"/>
    <w:rsid w:val="6E1716F4"/>
    <w:rsid w:val="6E6D549A"/>
    <w:rsid w:val="6E793F10"/>
    <w:rsid w:val="6E840FA7"/>
    <w:rsid w:val="6E845A1E"/>
    <w:rsid w:val="6E885CDC"/>
    <w:rsid w:val="6E934F2F"/>
    <w:rsid w:val="6E9A73DD"/>
    <w:rsid w:val="6EAE5472"/>
    <w:rsid w:val="6EBB1D37"/>
    <w:rsid w:val="6EBE69D3"/>
    <w:rsid w:val="6EC47B15"/>
    <w:rsid w:val="6EC6761E"/>
    <w:rsid w:val="6EFA2AD9"/>
    <w:rsid w:val="6F304BA4"/>
    <w:rsid w:val="6F4D0DEE"/>
    <w:rsid w:val="6F6D2F36"/>
    <w:rsid w:val="6F703537"/>
    <w:rsid w:val="6F846E05"/>
    <w:rsid w:val="6F9771B5"/>
    <w:rsid w:val="6FB55565"/>
    <w:rsid w:val="6FC808A3"/>
    <w:rsid w:val="6FE50E15"/>
    <w:rsid w:val="70012AEC"/>
    <w:rsid w:val="70241EE0"/>
    <w:rsid w:val="70292969"/>
    <w:rsid w:val="704F6F95"/>
    <w:rsid w:val="707C03B1"/>
    <w:rsid w:val="70821F84"/>
    <w:rsid w:val="7086638A"/>
    <w:rsid w:val="709E3FA2"/>
    <w:rsid w:val="71232251"/>
    <w:rsid w:val="71260C9B"/>
    <w:rsid w:val="7128150C"/>
    <w:rsid w:val="713A37F8"/>
    <w:rsid w:val="7153231D"/>
    <w:rsid w:val="715B3690"/>
    <w:rsid w:val="71925DB5"/>
    <w:rsid w:val="71984AFD"/>
    <w:rsid w:val="720C2CBF"/>
    <w:rsid w:val="7246216E"/>
    <w:rsid w:val="72600832"/>
    <w:rsid w:val="72914E8F"/>
    <w:rsid w:val="72A20473"/>
    <w:rsid w:val="72AA7D37"/>
    <w:rsid w:val="72D94039"/>
    <w:rsid w:val="72E26ED5"/>
    <w:rsid w:val="72E51913"/>
    <w:rsid w:val="733C0404"/>
    <w:rsid w:val="73CE3FC9"/>
    <w:rsid w:val="74016CFC"/>
    <w:rsid w:val="74996DF5"/>
    <w:rsid w:val="74A36660"/>
    <w:rsid w:val="74B0159F"/>
    <w:rsid w:val="74C652C4"/>
    <w:rsid w:val="74E20230"/>
    <w:rsid w:val="750044AD"/>
    <w:rsid w:val="751E482D"/>
    <w:rsid w:val="756B19C7"/>
    <w:rsid w:val="75950C22"/>
    <w:rsid w:val="75AB3FCF"/>
    <w:rsid w:val="75CE1F56"/>
    <w:rsid w:val="75EB7A6A"/>
    <w:rsid w:val="760103E7"/>
    <w:rsid w:val="76221663"/>
    <w:rsid w:val="762A5F60"/>
    <w:rsid w:val="7634447F"/>
    <w:rsid w:val="76415001"/>
    <w:rsid w:val="76733030"/>
    <w:rsid w:val="769470F3"/>
    <w:rsid w:val="769D7C6D"/>
    <w:rsid w:val="76C24AC8"/>
    <w:rsid w:val="76CF5CCC"/>
    <w:rsid w:val="76DC47E3"/>
    <w:rsid w:val="76F86B86"/>
    <w:rsid w:val="77241D1A"/>
    <w:rsid w:val="77275D4A"/>
    <w:rsid w:val="775B5DC8"/>
    <w:rsid w:val="776517EF"/>
    <w:rsid w:val="777841F5"/>
    <w:rsid w:val="779142E8"/>
    <w:rsid w:val="780A4798"/>
    <w:rsid w:val="783B5C62"/>
    <w:rsid w:val="783E18DD"/>
    <w:rsid w:val="784500F5"/>
    <w:rsid w:val="7846303C"/>
    <w:rsid w:val="78833532"/>
    <w:rsid w:val="78936C2A"/>
    <w:rsid w:val="78A0413C"/>
    <w:rsid w:val="78BA21EC"/>
    <w:rsid w:val="78E24696"/>
    <w:rsid w:val="7908577F"/>
    <w:rsid w:val="791574B0"/>
    <w:rsid w:val="791A13CD"/>
    <w:rsid w:val="7924080B"/>
    <w:rsid w:val="795D2CD0"/>
    <w:rsid w:val="79654A77"/>
    <w:rsid w:val="79C7410C"/>
    <w:rsid w:val="79C84311"/>
    <w:rsid w:val="79D8107C"/>
    <w:rsid w:val="7A125A0C"/>
    <w:rsid w:val="7A1A4B30"/>
    <w:rsid w:val="7A4D0B1D"/>
    <w:rsid w:val="7A6D33A6"/>
    <w:rsid w:val="7A7D7E20"/>
    <w:rsid w:val="7A8A0A8B"/>
    <w:rsid w:val="7AA20C8F"/>
    <w:rsid w:val="7ACD4877"/>
    <w:rsid w:val="7B294A71"/>
    <w:rsid w:val="7B441F57"/>
    <w:rsid w:val="7B981D49"/>
    <w:rsid w:val="7B9C54A1"/>
    <w:rsid w:val="7BB72877"/>
    <w:rsid w:val="7BF65B78"/>
    <w:rsid w:val="7BFE112F"/>
    <w:rsid w:val="7C6764BE"/>
    <w:rsid w:val="7CA92D7D"/>
    <w:rsid w:val="7CC95A8A"/>
    <w:rsid w:val="7D1868D9"/>
    <w:rsid w:val="7D1D4835"/>
    <w:rsid w:val="7D3229F4"/>
    <w:rsid w:val="7D362B6A"/>
    <w:rsid w:val="7D73418E"/>
    <w:rsid w:val="7D7F2115"/>
    <w:rsid w:val="7D9B76DA"/>
    <w:rsid w:val="7DA17B86"/>
    <w:rsid w:val="7DF502E2"/>
    <w:rsid w:val="7DF9751C"/>
    <w:rsid w:val="7E0C7E9E"/>
    <w:rsid w:val="7E61240B"/>
    <w:rsid w:val="7E7D275B"/>
    <w:rsid w:val="7E807A47"/>
    <w:rsid w:val="7E8E1A90"/>
    <w:rsid w:val="7EB64039"/>
    <w:rsid w:val="7F0345A3"/>
    <w:rsid w:val="7F0B7D77"/>
    <w:rsid w:val="7F0D445B"/>
    <w:rsid w:val="7F1E476A"/>
    <w:rsid w:val="7F424BEE"/>
    <w:rsid w:val="7F523730"/>
    <w:rsid w:val="7F60215C"/>
    <w:rsid w:val="7F657FCF"/>
    <w:rsid w:val="7FB92922"/>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3"/>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4"/>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5"/>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6"/>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57"/>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59"/>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60"/>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1"/>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eastAsia="宋体" w:cs="Times New Roman"/>
      <w:i/>
      <w:iCs/>
      <w:sz w:val="20"/>
      <w:szCs w:val="20"/>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90"/>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3"/>
    <w:qFormat/>
    <w:uiPriority w:val="99"/>
    <w:rPr>
      <w:rFonts w:ascii="宋体" w:eastAsia="宋体"/>
      <w:sz w:val="18"/>
      <w:szCs w:val="18"/>
    </w:rPr>
  </w:style>
  <w:style w:type="paragraph" w:styleId="16">
    <w:name w:val="annotation text"/>
    <w:basedOn w:val="1"/>
    <w:link w:val="64"/>
    <w:unhideWhenUsed/>
    <w:qFormat/>
    <w:uiPriority w:val="0"/>
    <w:pPr>
      <w:jc w:val="left"/>
    </w:pPr>
  </w:style>
  <w:style w:type="paragraph" w:styleId="17">
    <w:name w:val="Body Text"/>
    <w:basedOn w:val="1"/>
    <w:next w:val="1"/>
    <w:link w:val="65"/>
    <w:unhideWhenUsed/>
    <w:qFormat/>
    <w:uiPriority w:val="99"/>
    <w:pPr>
      <w:spacing w:after="120"/>
    </w:pPr>
  </w:style>
  <w:style w:type="paragraph" w:styleId="18">
    <w:name w:val="Body Text Indent"/>
    <w:basedOn w:val="1"/>
    <w:link w:val="66"/>
    <w:qFormat/>
    <w:uiPriority w:val="99"/>
    <w:pPr>
      <w:ind w:firstLine="600"/>
    </w:pPr>
    <w:rPr>
      <w:sz w:val="32"/>
      <w:szCs w:val="20"/>
    </w:r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Plain Text"/>
    <w:basedOn w:val="1"/>
    <w:link w:val="67"/>
    <w:qFormat/>
    <w:uiPriority w:val="99"/>
    <w:rPr>
      <w:rFonts w:ascii="宋体" w:hAnsi="Courier New" w:cs="Courier New"/>
      <w:szCs w:val="21"/>
    </w:rPr>
  </w:style>
  <w:style w:type="paragraph" w:styleId="23">
    <w:name w:val="toc 8"/>
    <w:basedOn w:val="1"/>
    <w:next w:val="1"/>
    <w:qFormat/>
    <w:uiPriority w:val="99"/>
    <w:pPr>
      <w:ind w:left="1470"/>
      <w:jc w:val="left"/>
    </w:pPr>
    <w:rPr>
      <w:rFonts w:ascii="Calibri" w:hAnsi="Calibri" w:eastAsia="宋体" w:cs="Times New Roman"/>
      <w:sz w:val="18"/>
      <w:szCs w:val="18"/>
    </w:rPr>
  </w:style>
  <w:style w:type="paragraph" w:styleId="24">
    <w:name w:val="Date"/>
    <w:basedOn w:val="1"/>
    <w:next w:val="1"/>
    <w:link w:val="68"/>
    <w:unhideWhenUsed/>
    <w:qFormat/>
    <w:uiPriority w:val="99"/>
    <w:pPr>
      <w:ind w:left="100" w:leftChars="2500"/>
    </w:pPr>
  </w:style>
  <w:style w:type="paragraph" w:styleId="25">
    <w:name w:val="Body Text Indent 2"/>
    <w:basedOn w:val="1"/>
    <w:link w:val="69"/>
    <w:qFormat/>
    <w:uiPriority w:val="99"/>
    <w:pPr>
      <w:spacing w:after="120" w:line="480" w:lineRule="auto"/>
      <w:ind w:left="420" w:leftChars="200"/>
    </w:pPr>
    <w:rPr>
      <w:rFonts w:ascii="Times New Roman" w:hAnsi="Times New Roman" w:eastAsia="宋体" w:cs="Times New Roman"/>
      <w:sz w:val="28"/>
      <w:szCs w:val="24"/>
    </w:rPr>
  </w:style>
  <w:style w:type="paragraph" w:styleId="26">
    <w:name w:val="Balloon Text"/>
    <w:basedOn w:val="1"/>
    <w:link w:val="70"/>
    <w:unhideWhenUsed/>
    <w:qFormat/>
    <w:uiPriority w:val="0"/>
    <w:rPr>
      <w:sz w:val="18"/>
      <w:szCs w:val="18"/>
    </w:rPr>
  </w:style>
  <w:style w:type="paragraph" w:styleId="27">
    <w:name w:val="footer"/>
    <w:basedOn w:val="1"/>
    <w:next w:val="28"/>
    <w:link w:val="71"/>
    <w:unhideWhenUsed/>
    <w:qFormat/>
    <w:uiPriority w:val="0"/>
    <w:pPr>
      <w:tabs>
        <w:tab w:val="center" w:pos="4153"/>
        <w:tab w:val="right" w:pos="8306"/>
      </w:tabs>
      <w:snapToGrid w:val="0"/>
      <w:jc w:val="left"/>
    </w:pPr>
    <w:rPr>
      <w:sz w:val="18"/>
      <w:szCs w:val="18"/>
    </w:rPr>
  </w:style>
  <w:style w:type="paragraph" w:customStyle="1" w:styleId="28">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29">
    <w:name w:val="header"/>
    <w:basedOn w:val="1"/>
    <w:link w:val="72"/>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3"/>
    <w:qFormat/>
    <w:uiPriority w:val="99"/>
    <w:pPr>
      <w:spacing w:after="120"/>
      <w:ind w:left="420" w:leftChars="200"/>
    </w:pPr>
    <w:rPr>
      <w:rFonts w:ascii="Times New Roman" w:hAnsi="Times New Roman" w:eastAsia="宋体" w:cs="Times New Roman"/>
      <w:sz w:val="16"/>
      <w:szCs w:val="16"/>
    </w:rPr>
  </w:style>
  <w:style w:type="paragraph" w:styleId="34">
    <w:name w:val="toc 2"/>
    <w:basedOn w:val="1"/>
    <w:next w:val="1"/>
    <w:qFormat/>
    <w:uiPriority w:val="39"/>
    <w:pPr>
      <w:ind w:left="210"/>
      <w:jc w:val="left"/>
    </w:pPr>
    <w:rPr>
      <w:rFonts w:ascii="Calibri" w:hAnsi="Calibri" w:eastAsia="宋体" w:cs="Times New Roman"/>
      <w:smallCaps/>
      <w:sz w:val="20"/>
      <w:szCs w:val="20"/>
    </w:rPr>
  </w:style>
  <w:style w:type="paragraph" w:styleId="35">
    <w:name w:val="toc 9"/>
    <w:basedOn w:val="1"/>
    <w:next w:val="1"/>
    <w:qFormat/>
    <w:uiPriority w:val="99"/>
    <w:pPr>
      <w:ind w:left="1680"/>
      <w:jc w:val="left"/>
    </w:pPr>
    <w:rPr>
      <w:rFonts w:ascii="Calibri" w:hAnsi="Calibri" w:eastAsia="宋体" w:cs="Times New Roman"/>
      <w:sz w:val="18"/>
      <w:szCs w:val="18"/>
    </w:rPr>
  </w:style>
  <w:style w:type="paragraph" w:styleId="36">
    <w:name w:val="Body Text 2"/>
    <w:basedOn w:val="1"/>
    <w:link w:val="74"/>
    <w:qFormat/>
    <w:uiPriority w:val="99"/>
    <w:pPr>
      <w:spacing w:after="120" w:line="480" w:lineRule="auto"/>
    </w:pPr>
    <w:rPr>
      <w:rFonts w:ascii="Times New Roman" w:hAnsi="Times New Roman" w:eastAsia="宋体" w:cs="Times New Roman"/>
      <w:sz w:val="28"/>
      <w:szCs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5"/>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39">
    <w:name w:val="annotation subject"/>
    <w:basedOn w:val="16"/>
    <w:next w:val="16"/>
    <w:link w:val="76"/>
    <w:unhideWhenUsed/>
    <w:qFormat/>
    <w:uiPriority w:val="0"/>
    <w:rPr>
      <w:b/>
      <w:bCs/>
    </w:rPr>
  </w:style>
  <w:style w:type="paragraph" w:styleId="40">
    <w:name w:val="Body Text First Indent"/>
    <w:basedOn w:val="17"/>
    <w:link w:val="77"/>
    <w:qFormat/>
    <w:uiPriority w:val="99"/>
    <w:pPr>
      <w:tabs>
        <w:tab w:val="left" w:pos="840"/>
      </w:tabs>
      <w:ind w:firstLine="420"/>
    </w:pPr>
    <w:rPr>
      <w:rFonts w:ascii="Times New Roman" w:hAnsi="Times New Roman" w:eastAsia="宋体" w:cs="Times New Roman"/>
      <w:szCs w:val="20"/>
    </w:rPr>
  </w:style>
  <w:style w:type="paragraph" w:styleId="41">
    <w:name w:val="Body Text First Indent 2"/>
    <w:basedOn w:val="18"/>
    <w:qFormat/>
    <w:uiPriority w:val="0"/>
    <w:pPr>
      <w:spacing w:before="0" w:beforeAutospacing="0" w:afterAutospacing="0" w:line="240" w:lineRule="auto"/>
      <w:ind w:left="200" w:leftChars="200" w:firstLine="200" w:firstLineChars="200"/>
    </w:pPr>
  </w:style>
  <w:style w:type="table" w:styleId="43">
    <w:name w:val="Table Grid"/>
    <w:basedOn w:val="4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0"/>
    <w:rPr>
      <w:color w:val="800080" w:themeColor="followedHyperlink"/>
      <w:u w:val="single"/>
      <w14:textFill>
        <w14:solidFill>
          <w14:schemeClr w14:val="folHlink"/>
        </w14:solidFill>
      </w14:textFill>
    </w:rPr>
  </w:style>
  <w:style w:type="character" w:styleId="48">
    <w:name w:val="Hyperlink"/>
    <w:basedOn w:val="44"/>
    <w:unhideWhenUsed/>
    <w:qFormat/>
    <w:uiPriority w:val="99"/>
    <w:rPr>
      <w:color w:val="0000FF" w:themeColor="hyperlink"/>
      <w:u w:val="single"/>
      <w14:textFill>
        <w14:solidFill>
          <w14:schemeClr w14:val="hlink"/>
        </w14:solidFill>
      </w14:textFill>
    </w:rPr>
  </w:style>
  <w:style w:type="character" w:styleId="49">
    <w:name w:val="annotation reference"/>
    <w:qFormat/>
    <w:uiPriority w:val="0"/>
    <w:rPr>
      <w:sz w:val="21"/>
    </w:rPr>
  </w:style>
  <w:style w:type="paragraph" w:customStyle="1" w:styleId="50">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1">
    <w:name w:val="BodyText1I2"/>
    <w:basedOn w:val="52"/>
    <w:next w:val="1"/>
    <w:qFormat/>
    <w:uiPriority w:val="0"/>
    <w:pPr>
      <w:spacing w:after="120"/>
      <w:ind w:left="420" w:leftChars="200" w:firstLine="420" w:firstLineChars="200"/>
      <w:jc w:val="both"/>
      <w:textAlignment w:val="baseline"/>
    </w:pPr>
  </w:style>
  <w:style w:type="paragraph" w:customStyle="1" w:styleId="52">
    <w:name w:val="BodyTextIndent"/>
    <w:basedOn w:val="1"/>
    <w:qFormat/>
    <w:uiPriority w:val="0"/>
    <w:pPr>
      <w:spacing w:after="120"/>
      <w:ind w:left="420" w:leftChars="200"/>
      <w:jc w:val="both"/>
      <w:textAlignment w:val="baseline"/>
    </w:pPr>
  </w:style>
  <w:style w:type="character" w:customStyle="1" w:styleId="53">
    <w:name w:val="标题 1 字符"/>
    <w:basedOn w:val="44"/>
    <w:link w:val="3"/>
    <w:qFormat/>
    <w:uiPriority w:val="0"/>
    <w:rPr>
      <w:rFonts w:ascii="Calibri" w:hAnsi="Calibri" w:eastAsia="仿宋" w:cs="Times New Roman"/>
      <w:b/>
      <w:bCs/>
      <w:kern w:val="44"/>
      <w:sz w:val="30"/>
      <w:szCs w:val="30"/>
    </w:rPr>
  </w:style>
  <w:style w:type="character" w:customStyle="1" w:styleId="54">
    <w:name w:val="标题 2 字符1"/>
    <w:basedOn w:val="44"/>
    <w:link w:val="4"/>
    <w:qFormat/>
    <w:uiPriority w:val="0"/>
    <w:rPr>
      <w:rFonts w:ascii="Cambria" w:hAnsi="Cambria" w:eastAsia="宋体" w:cs="Times New Roman"/>
      <w:b/>
      <w:bCs/>
      <w:kern w:val="0"/>
      <w:sz w:val="28"/>
      <w:szCs w:val="28"/>
    </w:rPr>
  </w:style>
  <w:style w:type="character" w:customStyle="1" w:styleId="55">
    <w:name w:val="标题 3 字符"/>
    <w:basedOn w:val="44"/>
    <w:link w:val="5"/>
    <w:qFormat/>
    <w:uiPriority w:val="0"/>
    <w:rPr>
      <w:rFonts w:ascii="Calibri" w:hAnsi="Calibri" w:eastAsia="宋体" w:cs="Times New Roman"/>
      <w:b/>
      <w:bCs/>
      <w:kern w:val="0"/>
      <w:sz w:val="32"/>
      <w:szCs w:val="32"/>
    </w:rPr>
  </w:style>
  <w:style w:type="character" w:customStyle="1" w:styleId="56">
    <w:name w:val="标题 4 字符"/>
    <w:basedOn w:val="44"/>
    <w:link w:val="6"/>
    <w:qFormat/>
    <w:uiPriority w:val="0"/>
    <w:rPr>
      <w:rFonts w:ascii="Cambria" w:hAnsi="Cambria" w:eastAsia="宋体" w:cs="Times New Roman"/>
      <w:b/>
      <w:bCs/>
      <w:kern w:val="0"/>
      <w:sz w:val="28"/>
      <w:szCs w:val="28"/>
    </w:rPr>
  </w:style>
  <w:style w:type="character" w:customStyle="1" w:styleId="57">
    <w:name w:val="标题 5 字符"/>
    <w:basedOn w:val="44"/>
    <w:link w:val="7"/>
    <w:qFormat/>
    <w:uiPriority w:val="0"/>
    <w:rPr>
      <w:rFonts w:ascii="Times New Roman" w:hAnsi="Times New Roman" w:eastAsia="宋体" w:cs="Times New Roman"/>
      <w:b/>
      <w:bCs/>
      <w:kern w:val="0"/>
      <w:sz w:val="28"/>
      <w:szCs w:val="28"/>
    </w:rPr>
  </w:style>
  <w:style w:type="character" w:customStyle="1" w:styleId="58">
    <w:name w:val="标题 6 字符"/>
    <w:basedOn w:val="44"/>
    <w:link w:val="8"/>
    <w:qFormat/>
    <w:uiPriority w:val="0"/>
    <w:rPr>
      <w:rFonts w:ascii="Arial" w:hAnsi="Arial" w:eastAsia="黑体" w:cs="Times New Roman"/>
      <w:b/>
      <w:bCs/>
      <w:kern w:val="0"/>
      <w:sz w:val="24"/>
      <w:szCs w:val="24"/>
    </w:rPr>
  </w:style>
  <w:style w:type="character" w:customStyle="1" w:styleId="59">
    <w:name w:val="标题 7 字符"/>
    <w:basedOn w:val="44"/>
    <w:link w:val="9"/>
    <w:qFormat/>
    <w:uiPriority w:val="99"/>
    <w:rPr>
      <w:rFonts w:ascii="Times New Roman" w:hAnsi="Times New Roman" w:eastAsia="宋体" w:cs="Times New Roman"/>
      <w:b/>
      <w:bCs/>
      <w:kern w:val="0"/>
      <w:sz w:val="24"/>
      <w:szCs w:val="24"/>
    </w:rPr>
  </w:style>
  <w:style w:type="character" w:customStyle="1" w:styleId="60">
    <w:name w:val="标题 8 字符"/>
    <w:basedOn w:val="44"/>
    <w:link w:val="10"/>
    <w:qFormat/>
    <w:uiPriority w:val="99"/>
    <w:rPr>
      <w:rFonts w:ascii="Arial" w:hAnsi="Arial" w:eastAsia="黑体" w:cs="Times New Roman"/>
      <w:kern w:val="0"/>
      <w:sz w:val="24"/>
      <w:szCs w:val="24"/>
    </w:rPr>
  </w:style>
  <w:style w:type="character" w:customStyle="1" w:styleId="61">
    <w:name w:val="标题 9 字符"/>
    <w:basedOn w:val="44"/>
    <w:link w:val="11"/>
    <w:qFormat/>
    <w:uiPriority w:val="99"/>
    <w:rPr>
      <w:rFonts w:ascii="Arial" w:hAnsi="Arial" w:eastAsia="黑体" w:cs="Times New Roman"/>
      <w:kern w:val="0"/>
      <w:sz w:val="20"/>
      <w:szCs w:val="20"/>
    </w:rPr>
  </w:style>
  <w:style w:type="paragraph" w:customStyle="1" w:styleId="6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3">
    <w:name w:val="文档结构图 字符"/>
    <w:basedOn w:val="44"/>
    <w:link w:val="15"/>
    <w:qFormat/>
    <w:uiPriority w:val="99"/>
    <w:rPr>
      <w:rFonts w:ascii="宋体" w:eastAsia="宋体"/>
      <w:sz w:val="18"/>
      <w:szCs w:val="18"/>
    </w:rPr>
  </w:style>
  <w:style w:type="character" w:customStyle="1" w:styleId="64">
    <w:name w:val="批注文字 字符"/>
    <w:basedOn w:val="44"/>
    <w:link w:val="16"/>
    <w:qFormat/>
    <w:uiPriority w:val="0"/>
  </w:style>
  <w:style w:type="character" w:customStyle="1" w:styleId="65">
    <w:name w:val="正文文本 字符"/>
    <w:basedOn w:val="44"/>
    <w:link w:val="17"/>
    <w:qFormat/>
    <w:uiPriority w:val="99"/>
  </w:style>
  <w:style w:type="character" w:customStyle="1" w:styleId="66">
    <w:name w:val="正文文本缩进 字符"/>
    <w:basedOn w:val="44"/>
    <w:link w:val="18"/>
    <w:qFormat/>
    <w:uiPriority w:val="99"/>
    <w:rPr>
      <w:sz w:val="32"/>
      <w:szCs w:val="20"/>
    </w:rPr>
  </w:style>
  <w:style w:type="character" w:customStyle="1" w:styleId="67">
    <w:name w:val="纯文本 字符"/>
    <w:basedOn w:val="44"/>
    <w:link w:val="22"/>
    <w:qFormat/>
    <w:uiPriority w:val="99"/>
    <w:rPr>
      <w:rFonts w:ascii="宋体" w:hAnsi="Courier New" w:cs="Courier New"/>
      <w:szCs w:val="21"/>
    </w:rPr>
  </w:style>
  <w:style w:type="character" w:customStyle="1" w:styleId="68">
    <w:name w:val="日期 字符"/>
    <w:basedOn w:val="44"/>
    <w:link w:val="24"/>
    <w:qFormat/>
    <w:uiPriority w:val="99"/>
  </w:style>
  <w:style w:type="character" w:customStyle="1" w:styleId="69">
    <w:name w:val="正文文本缩进 2 字符"/>
    <w:basedOn w:val="44"/>
    <w:link w:val="25"/>
    <w:qFormat/>
    <w:uiPriority w:val="99"/>
    <w:rPr>
      <w:rFonts w:ascii="Times New Roman" w:hAnsi="Times New Roman" w:eastAsia="宋体" w:cs="Times New Roman"/>
      <w:sz w:val="28"/>
      <w:szCs w:val="24"/>
    </w:rPr>
  </w:style>
  <w:style w:type="character" w:customStyle="1" w:styleId="70">
    <w:name w:val="批注框文本 字符"/>
    <w:basedOn w:val="44"/>
    <w:link w:val="26"/>
    <w:qFormat/>
    <w:uiPriority w:val="0"/>
    <w:rPr>
      <w:sz w:val="18"/>
      <w:szCs w:val="18"/>
    </w:rPr>
  </w:style>
  <w:style w:type="character" w:customStyle="1" w:styleId="71">
    <w:name w:val="页脚 字符"/>
    <w:basedOn w:val="44"/>
    <w:link w:val="27"/>
    <w:qFormat/>
    <w:uiPriority w:val="0"/>
    <w:rPr>
      <w:sz w:val="18"/>
      <w:szCs w:val="18"/>
    </w:rPr>
  </w:style>
  <w:style w:type="character" w:customStyle="1" w:styleId="72">
    <w:name w:val="页眉 字符"/>
    <w:basedOn w:val="44"/>
    <w:link w:val="29"/>
    <w:qFormat/>
    <w:uiPriority w:val="0"/>
    <w:rPr>
      <w:sz w:val="18"/>
      <w:szCs w:val="18"/>
    </w:rPr>
  </w:style>
  <w:style w:type="character" w:customStyle="1" w:styleId="73">
    <w:name w:val="正文文本缩进 3 字符"/>
    <w:basedOn w:val="44"/>
    <w:link w:val="33"/>
    <w:qFormat/>
    <w:uiPriority w:val="99"/>
    <w:rPr>
      <w:rFonts w:ascii="Times New Roman" w:hAnsi="Times New Roman" w:eastAsia="宋体" w:cs="Times New Roman"/>
      <w:sz w:val="16"/>
      <w:szCs w:val="16"/>
    </w:rPr>
  </w:style>
  <w:style w:type="character" w:customStyle="1" w:styleId="74">
    <w:name w:val="正文文本 2 字符"/>
    <w:basedOn w:val="44"/>
    <w:link w:val="36"/>
    <w:qFormat/>
    <w:uiPriority w:val="99"/>
    <w:rPr>
      <w:rFonts w:ascii="Times New Roman" w:hAnsi="Times New Roman" w:eastAsia="宋体" w:cs="Times New Roman"/>
      <w:sz w:val="28"/>
      <w:szCs w:val="24"/>
    </w:rPr>
  </w:style>
  <w:style w:type="character" w:customStyle="1" w:styleId="75">
    <w:name w:val="标题 字符"/>
    <w:basedOn w:val="44"/>
    <w:link w:val="38"/>
    <w:qFormat/>
    <w:uiPriority w:val="99"/>
    <w:rPr>
      <w:rFonts w:ascii="宋体" w:hAnsi="Arial" w:eastAsia="宋体" w:cs="Arial"/>
      <w:b/>
      <w:bCs/>
      <w:kern w:val="28"/>
      <w:sz w:val="32"/>
      <w:szCs w:val="32"/>
    </w:rPr>
  </w:style>
  <w:style w:type="character" w:customStyle="1" w:styleId="76">
    <w:name w:val="批注主题 字符"/>
    <w:basedOn w:val="64"/>
    <w:link w:val="39"/>
    <w:qFormat/>
    <w:uiPriority w:val="0"/>
    <w:rPr>
      <w:b/>
      <w:bCs/>
    </w:rPr>
  </w:style>
  <w:style w:type="character" w:customStyle="1" w:styleId="77">
    <w:name w:val="正文文本首行缩进 字符"/>
    <w:basedOn w:val="65"/>
    <w:link w:val="40"/>
    <w:qFormat/>
    <w:uiPriority w:val="99"/>
    <w:rPr>
      <w:rFonts w:ascii="Times New Roman" w:hAnsi="Times New Roman" w:eastAsia="宋体" w:cs="Times New Roman"/>
      <w:szCs w:val="20"/>
    </w:rPr>
  </w:style>
  <w:style w:type="character" w:customStyle="1" w:styleId="78">
    <w:name w:val="正文文本首行缩进 2 字符"/>
    <w:basedOn w:val="66"/>
    <w:qFormat/>
    <w:uiPriority w:val="99"/>
    <w:rPr>
      <w:rFonts w:ascii="Times New Roman" w:hAnsi="Times New Roman" w:eastAsia="宋体" w:cs="Times New Roman"/>
      <w:sz w:val="32"/>
      <w:szCs w:val="24"/>
    </w:rPr>
  </w:style>
  <w:style w:type="paragraph" w:customStyle="1" w:styleId="79">
    <w:name w:val="列出段落1"/>
    <w:basedOn w:val="1"/>
    <w:qFormat/>
    <w:uiPriority w:val="0"/>
    <w:pPr>
      <w:ind w:firstLine="420" w:firstLineChars="200"/>
    </w:pPr>
  </w:style>
  <w:style w:type="paragraph" w:customStyle="1" w:styleId="80">
    <w:name w:val="_Style 3"/>
    <w:basedOn w:val="1"/>
    <w:next w:val="1"/>
    <w:qFormat/>
    <w:uiPriority w:val="99"/>
    <w:pPr>
      <w:spacing w:line="360" w:lineRule="auto"/>
      <w:ind w:firstLine="420" w:firstLineChars="200"/>
    </w:pPr>
    <w:rPr>
      <w:sz w:val="24"/>
      <w:szCs w:val="24"/>
    </w:rPr>
  </w:style>
  <w:style w:type="character" w:customStyle="1" w:styleId="81">
    <w:name w:val="font01"/>
    <w:basedOn w:val="44"/>
    <w:qFormat/>
    <w:uiPriority w:val="0"/>
    <w:rPr>
      <w:rFonts w:ascii="Helvetica" w:hAnsi="Helvetica" w:eastAsia="Helvetica" w:cs="Helvetica"/>
      <w:color w:val="000000"/>
      <w:sz w:val="16"/>
      <w:szCs w:val="16"/>
      <w:u w:val="none"/>
    </w:rPr>
  </w:style>
  <w:style w:type="character" w:customStyle="1" w:styleId="82">
    <w:name w:val="font41"/>
    <w:basedOn w:val="44"/>
    <w:qFormat/>
    <w:uiPriority w:val="0"/>
    <w:rPr>
      <w:rFonts w:hint="eastAsia" w:ascii="宋体" w:hAnsi="宋体" w:eastAsia="宋体" w:cs="宋体"/>
      <w:color w:val="000000"/>
      <w:sz w:val="16"/>
      <w:szCs w:val="16"/>
      <w:u w:val="none"/>
    </w:rPr>
  </w:style>
  <w:style w:type="character" w:customStyle="1" w:styleId="83">
    <w:name w:val="font11"/>
    <w:basedOn w:val="44"/>
    <w:qFormat/>
    <w:uiPriority w:val="0"/>
    <w:rPr>
      <w:rFonts w:hint="default" w:ascii="Times New Roman" w:hAnsi="Times New Roman" w:cs="Times New Roman"/>
      <w:color w:val="000000"/>
      <w:sz w:val="16"/>
      <w:szCs w:val="16"/>
      <w:u w:val="none"/>
    </w:rPr>
  </w:style>
  <w:style w:type="character" w:customStyle="1" w:styleId="84">
    <w:name w:val="font21"/>
    <w:basedOn w:val="44"/>
    <w:qFormat/>
    <w:uiPriority w:val="0"/>
    <w:rPr>
      <w:rFonts w:ascii="Helvetica" w:hAnsi="Helvetica" w:eastAsia="Helvetica" w:cs="Helvetica"/>
      <w:color w:val="000000"/>
      <w:sz w:val="16"/>
      <w:szCs w:val="16"/>
      <w:u w:val="none"/>
    </w:rPr>
  </w:style>
  <w:style w:type="character" w:customStyle="1" w:styleId="85">
    <w:name w:val="font51"/>
    <w:basedOn w:val="44"/>
    <w:qFormat/>
    <w:uiPriority w:val="0"/>
    <w:rPr>
      <w:rFonts w:hint="eastAsia" w:ascii="宋体" w:hAnsi="宋体" w:eastAsia="宋体" w:cs="宋体"/>
      <w:color w:val="000000"/>
      <w:sz w:val="16"/>
      <w:szCs w:val="16"/>
      <w:u w:val="none"/>
    </w:rPr>
  </w:style>
  <w:style w:type="character" w:customStyle="1" w:styleId="86">
    <w:name w:val="font31"/>
    <w:basedOn w:val="44"/>
    <w:qFormat/>
    <w:uiPriority w:val="0"/>
    <w:rPr>
      <w:rFonts w:hint="eastAsia" w:ascii="宋体" w:hAnsi="宋体" w:eastAsia="宋体" w:cs="宋体"/>
      <w:color w:val="000000"/>
      <w:sz w:val="16"/>
      <w:szCs w:val="16"/>
      <w:u w:val="none"/>
    </w:rPr>
  </w:style>
  <w:style w:type="character" w:customStyle="1" w:styleId="87">
    <w:name w:val="font61"/>
    <w:basedOn w:val="44"/>
    <w:qFormat/>
    <w:uiPriority w:val="0"/>
    <w:rPr>
      <w:rFonts w:hint="eastAsia" w:ascii="宋体" w:hAnsi="宋体" w:eastAsia="宋体" w:cs="宋体"/>
      <w:color w:val="000000"/>
      <w:sz w:val="16"/>
      <w:szCs w:val="16"/>
      <w:u w:val="none"/>
    </w:rPr>
  </w:style>
  <w:style w:type="paragraph" w:customStyle="1" w:styleId="88">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9">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90">
    <w:name w:val="正文缩进 字符"/>
    <w:link w:val="13"/>
    <w:qFormat/>
    <w:uiPriority w:val="0"/>
    <w:rPr>
      <w:rFonts w:eastAsia="宋体"/>
    </w:rPr>
  </w:style>
  <w:style w:type="character" w:customStyle="1" w:styleId="91">
    <w:name w:val="无间隔 字符"/>
    <w:link w:val="92"/>
    <w:qFormat/>
    <w:uiPriority w:val="0"/>
    <w:rPr>
      <w:rFonts w:ascii="Cambria" w:hAnsi="Cambria"/>
      <w:sz w:val="22"/>
      <w:lang w:eastAsia="en-US" w:bidi="en-US"/>
    </w:rPr>
  </w:style>
  <w:style w:type="paragraph" w:styleId="92">
    <w:name w:val="No Spacing"/>
    <w:basedOn w:val="1"/>
    <w:link w:val="91"/>
    <w:qFormat/>
    <w:uiPriority w:val="0"/>
    <w:pPr>
      <w:widowControl/>
      <w:numPr>
        <w:ilvl w:val="4"/>
        <w:numId w:val="2"/>
      </w:numPr>
      <w:ind w:left="0" w:firstLine="0"/>
      <w:jc w:val="left"/>
    </w:pPr>
    <w:rPr>
      <w:rFonts w:ascii="Cambria" w:hAnsi="Cambria"/>
      <w:sz w:val="22"/>
      <w:lang w:eastAsia="en-US" w:bidi="en-US"/>
    </w:rPr>
  </w:style>
  <w:style w:type="character" w:customStyle="1" w:styleId="93">
    <w:name w:val="样式2 Char"/>
    <w:link w:val="94"/>
    <w:qFormat/>
    <w:uiPriority w:val="0"/>
    <w:rPr>
      <w:rFonts w:ascii="宋体" w:hAnsi="宋体"/>
      <w:sz w:val="28"/>
      <w:szCs w:val="28"/>
    </w:rPr>
  </w:style>
  <w:style w:type="paragraph" w:customStyle="1" w:styleId="94">
    <w:name w:val="样式2"/>
    <w:basedOn w:val="1"/>
    <w:link w:val="93"/>
    <w:qFormat/>
    <w:uiPriority w:val="0"/>
    <w:pPr>
      <w:widowControl/>
      <w:spacing w:line="590" w:lineRule="exact"/>
      <w:ind w:firstLine="560" w:firstLineChars="200"/>
    </w:pPr>
    <w:rPr>
      <w:rFonts w:ascii="宋体" w:hAnsi="宋体"/>
      <w:sz w:val="28"/>
      <w:szCs w:val="28"/>
    </w:rPr>
  </w:style>
  <w:style w:type="character" w:customStyle="1" w:styleId="95">
    <w:name w:val="zj-122 Char"/>
    <w:link w:val="96"/>
    <w:qFormat/>
    <w:uiPriority w:val="99"/>
    <w:rPr>
      <w:rFonts w:ascii="Cambria" w:hAnsi="Cambria"/>
      <w:iCs/>
      <w:szCs w:val="21"/>
      <w:lang w:bidi="en-US"/>
    </w:rPr>
  </w:style>
  <w:style w:type="paragraph" w:customStyle="1" w:styleId="96">
    <w:name w:val="zj-122"/>
    <w:basedOn w:val="92"/>
    <w:link w:val="95"/>
    <w:qFormat/>
    <w:uiPriority w:val="99"/>
    <w:rPr>
      <w:iCs/>
      <w:sz w:val="21"/>
      <w:szCs w:val="21"/>
      <w:lang w:eastAsia="zh-CN"/>
    </w:rPr>
  </w:style>
  <w:style w:type="paragraph" w:customStyle="1" w:styleId="97">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a9"/>
    <w:basedOn w:val="44"/>
    <w:qFormat/>
    <w:uiPriority w:val="0"/>
  </w:style>
  <w:style w:type="character" w:customStyle="1" w:styleId="99">
    <w:name w:val="msonormal"/>
    <w:basedOn w:val="44"/>
    <w:qFormat/>
    <w:uiPriority w:val="0"/>
  </w:style>
  <w:style w:type="character" w:customStyle="1" w:styleId="100">
    <w:name w:val="标题 1 Char Char"/>
    <w:qFormat/>
    <w:uiPriority w:val="0"/>
    <w:rPr>
      <w:rFonts w:eastAsia="宋体"/>
      <w:b/>
      <w:spacing w:val="-2"/>
      <w:sz w:val="24"/>
      <w:lang w:val="en-US" w:eastAsia="zh-CN" w:bidi="ar-SA"/>
    </w:rPr>
  </w:style>
  <w:style w:type="character" w:customStyle="1" w:styleId="101">
    <w:name w:val="标题 2 字符"/>
    <w:qFormat/>
    <w:uiPriority w:val="0"/>
    <w:rPr>
      <w:rFonts w:ascii="Arial" w:hAnsi="Arial" w:eastAsia="黑体"/>
      <w:b/>
      <w:bCs/>
      <w:kern w:val="2"/>
      <w:sz w:val="32"/>
      <w:szCs w:val="32"/>
    </w:rPr>
  </w:style>
  <w:style w:type="character" w:customStyle="1" w:styleId="102">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3">
    <w:name w:val="text-4"/>
    <w:basedOn w:val="44"/>
    <w:qFormat/>
    <w:uiPriority w:val="0"/>
  </w:style>
  <w:style w:type="character" w:customStyle="1" w:styleId="104">
    <w:name w:val="boldtitle1"/>
    <w:qFormat/>
    <w:uiPriority w:val="0"/>
    <w:rPr>
      <w:rFonts w:hint="default" w:ascii="Arial Black" w:hAnsi="Arial Black"/>
      <w:sz w:val="36"/>
      <w:szCs w:val="36"/>
    </w:rPr>
  </w:style>
  <w:style w:type="character" w:customStyle="1" w:styleId="105">
    <w:name w:val="Body Char"/>
    <w:link w:val="106"/>
    <w:qFormat/>
    <w:uiPriority w:val="0"/>
    <w:rPr>
      <w:szCs w:val="21"/>
    </w:rPr>
  </w:style>
  <w:style w:type="paragraph" w:customStyle="1" w:styleId="106">
    <w:name w:val="Body"/>
    <w:basedOn w:val="1"/>
    <w:link w:val="105"/>
    <w:qFormat/>
    <w:uiPriority w:val="0"/>
    <w:pPr>
      <w:widowControl/>
      <w:tabs>
        <w:tab w:val="left" w:pos="9356"/>
      </w:tabs>
      <w:spacing w:before="80" w:after="80" w:line="288" w:lineRule="auto"/>
      <w:ind w:left="426" w:leftChars="213" w:right="200"/>
    </w:pPr>
    <w:rPr>
      <w:szCs w:val="21"/>
    </w:rPr>
  </w:style>
  <w:style w:type="paragraph" w:customStyle="1" w:styleId="107">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8">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9">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0">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1">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2">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3">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4">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5">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6">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7">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8">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9">
    <w:name w:val="Char Char"/>
    <w:basedOn w:val="1"/>
    <w:qFormat/>
    <w:uiPriority w:val="99"/>
    <w:rPr>
      <w:rFonts w:ascii="Tahoma" w:hAnsi="Tahoma" w:eastAsia="宋体" w:cs="Times New Roman"/>
      <w:sz w:val="24"/>
      <w:szCs w:val="20"/>
    </w:rPr>
  </w:style>
  <w:style w:type="paragraph" w:customStyle="1" w:styleId="120">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1">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2">
    <w:name w:val="Char Char Char1 Char"/>
    <w:basedOn w:val="1"/>
    <w:qFormat/>
    <w:uiPriority w:val="99"/>
    <w:rPr>
      <w:rFonts w:ascii="仿宋_GB2312" w:hAnsi="Times New Roman" w:eastAsia="仿宋_GB2312" w:cs="Times New Roman"/>
      <w:b/>
      <w:sz w:val="32"/>
      <w:szCs w:val="32"/>
    </w:rPr>
  </w:style>
  <w:style w:type="paragraph" w:customStyle="1" w:styleId="123">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4">
    <w:name w:val="List Paragraph1"/>
    <w:basedOn w:val="1"/>
    <w:qFormat/>
    <w:uiPriority w:val="99"/>
    <w:pPr>
      <w:ind w:firstLine="420" w:firstLineChars="200"/>
    </w:pPr>
    <w:rPr>
      <w:rFonts w:ascii="Calibri" w:hAnsi="Calibri" w:eastAsia="宋体" w:cs="Calibri"/>
      <w:szCs w:val="21"/>
    </w:rPr>
  </w:style>
  <w:style w:type="paragraph" w:customStyle="1" w:styleId="125">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6">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7">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9">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3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1">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2">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3">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5">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6">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7">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8">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9">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40">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1">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2">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3">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4">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5">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6">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7">
    <w:name w:val="ZTE标题6"/>
    <w:basedOn w:val="145"/>
    <w:qFormat/>
    <w:uiPriority w:val="99"/>
    <w:pPr>
      <w:tabs>
        <w:tab w:val="left" w:pos="1276"/>
      </w:tabs>
      <w:spacing w:before="120"/>
      <w:ind w:left="1276" w:hanging="1276"/>
    </w:pPr>
  </w:style>
  <w:style w:type="paragraph" w:customStyle="1" w:styleId="148">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9">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50">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1">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3">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5">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6">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7">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8">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9">
    <w:name w:val="正文 3"/>
    <w:basedOn w:val="130"/>
    <w:next w:val="130"/>
    <w:qFormat/>
    <w:uiPriority w:val="99"/>
    <w:pPr>
      <w:spacing w:before="120"/>
    </w:pPr>
    <w:rPr>
      <w:rFonts w:ascii="Garamond" w:hAnsi="Garamond"/>
      <w:color w:val="auto"/>
    </w:rPr>
  </w:style>
  <w:style w:type="paragraph" w:customStyle="1" w:styleId="160">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1">
    <w:name w:val="List Paragraph"/>
    <w:basedOn w:val="1"/>
    <w:link w:val="165"/>
    <w:qFormat/>
    <w:uiPriority w:val="99"/>
    <w:pPr>
      <w:ind w:firstLine="420" w:firstLineChars="200"/>
    </w:pPr>
    <w:rPr>
      <w:rFonts w:ascii="Calibri" w:hAnsi="Calibri" w:eastAsia="宋体" w:cs="Times New Roman"/>
    </w:rPr>
  </w:style>
  <w:style w:type="paragraph" w:customStyle="1" w:styleId="162">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3">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4">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5">
    <w:name w:val="列表段落 字符"/>
    <w:link w:val="161"/>
    <w:qFormat/>
    <w:locked/>
    <w:uiPriority w:val="99"/>
    <w:rPr>
      <w:rFonts w:ascii="Calibri" w:hAnsi="Calibri" w:eastAsia="宋体" w:cs="Times New Roman"/>
    </w:rPr>
  </w:style>
  <w:style w:type="paragraph" w:customStyle="1" w:styleId="166">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7">
    <w:name w:val="font81"/>
    <w:basedOn w:val="44"/>
    <w:qFormat/>
    <w:uiPriority w:val="0"/>
    <w:rPr>
      <w:rFonts w:hint="eastAsia" w:ascii="宋体" w:hAnsi="宋体" w:eastAsia="宋体" w:cs="宋体"/>
      <w:color w:val="000000"/>
      <w:sz w:val="20"/>
      <w:szCs w:val="20"/>
      <w:u w:val="none"/>
    </w:rPr>
  </w:style>
  <w:style w:type="character" w:customStyle="1" w:styleId="168">
    <w:name w:val="font71"/>
    <w:basedOn w:val="44"/>
    <w:qFormat/>
    <w:uiPriority w:val="0"/>
    <w:rPr>
      <w:rFonts w:ascii="Arial" w:hAnsi="Arial" w:cs="Arial"/>
      <w:color w:val="000000"/>
      <w:sz w:val="24"/>
      <w:szCs w:val="24"/>
      <w:u w:val="none"/>
    </w:rPr>
  </w:style>
  <w:style w:type="character" w:customStyle="1" w:styleId="169">
    <w:name w:val="font91"/>
    <w:basedOn w:val="44"/>
    <w:qFormat/>
    <w:uiPriority w:val="0"/>
    <w:rPr>
      <w:rFonts w:hint="default" w:ascii="Arial" w:hAnsi="Arial" w:cs="Arial"/>
      <w:color w:val="000000"/>
      <w:sz w:val="24"/>
      <w:szCs w:val="24"/>
      <w:u w:val="none"/>
    </w:rPr>
  </w:style>
  <w:style w:type="character" w:customStyle="1" w:styleId="170">
    <w:name w:val="font101"/>
    <w:basedOn w:val="44"/>
    <w:qFormat/>
    <w:uiPriority w:val="0"/>
    <w:rPr>
      <w:rFonts w:hint="eastAsia" w:ascii="宋体" w:hAnsi="宋体" w:eastAsia="宋体" w:cs="宋体"/>
      <w:color w:val="000000"/>
      <w:sz w:val="24"/>
      <w:szCs w:val="24"/>
      <w:u w:val="none"/>
    </w:rPr>
  </w:style>
  <w:style w:type="character" w:customStyle="1" w:styleId="171">
    <w:name w:val="标题 1 Char1"/>
    <w:basedOn w:val="44"/>
    <w:qFormat/>
    <w:uiPriority w:val="0"/>
    <w:rPr>
      <w:rFonts w:asciiTheme="minorHAnsi" w:hAnsiTheme="minorHAnsi" w:eastAsiaTheme="minorEastAsia" w:cstheme="minorBidi"/>
      <w:b/>
      <w:bCs/>
      <w:kern w:val="44"/>
      <w:sz w:val="44"/>
      <w:szCs w:val="44"/>
    </w:rPr>
  </w:style>
  <w:style w:type="character" w:customStyle="1" w:styleId="172">
    <w:name w:val="标题 2 Char1"/>
    <w:basedOn w:val="44"/>
    <w:semiHidden/>
    <w:qFormat/>
    <w:uiPriority w:val="0"/>
    <w:rPr>
      <w:rFonts w:asciiTheme="majorHAnsi" w:hAnsiTheme="majorHAnsi" w:eastAsiaTheme="majorEastAsia" w:cstheme="majorBidi"/>
      <w:b/>
      <w:bCs/>
      <w:kern w:val="2"/>
      <w:sz w:val="32"/>
      <w:szCs w:val="32"/>
    </w:rPr>
  </w:style>
  <w:style w:type="character" w:customStyle="1" w:styleId="173">
    <w:name w:val="标题 3 Char1"/>
    <w:basedOn w:val="44"/>
    <w:semiHidden/>
    <w:qFormat/>
    <w:uiPriority w:val="0"/>
    <w:rPr>
      <w:rFonts w:asciiTheme="minorHAnsi" w:hAnsiTheme="minorHAnsi" w:eastAsiaTheme="minorEastAsia" w:cstheme="minorBidi"/>
      <w:b/>
      <w:bCs/>
      <w:kern w:val="2"/>
      <w:sz w:val="32"/>
      <w:szCs w:val="32"/>
    </w:rPr>
  </w:style>
  <w:style w:type="character" w:customStyle="1" w:styleId="174">
    <w:name w:val="标题 4 Char1"/>
    <w:basedOn w:val="44"/>
    <w:semiHidden/>
    <w:qFormat/>
    <w:uiPriority w:val="0"/>
    <w:rPr>
      <w:rFonts w:asciiTheme="majorHAnsi" w:hAnsiTheme="majorHAnsi" w:eastAsiaTheme="majorEastAsia" w:cstheme="majorBidi"/>
      <w:b/>
      <w:bCs/>
      <w:kern w:val="2"/>
      <w:sz w:val="28"/>
      <w:szCs w:val="28"/>
    </w:rPr>
  </w:style>
  <w:style w:type="character" w:customStyle="1" w:styleId="175">
    <w:name w:val="标题 5 Char1"/>
    <w:basedOn w:val="44"/>
    <w:semiHidden/>
    <w:qFormat/>
    <w:uiPriority w:val="0"/>
    <w:rPr>
      <w:rFonts w:asciiTheme="minorHAnsi" w:hAnsiTheme="minorHAnsi" w:eastAsiaTheme="minorEastAsia" w:cstheme="minorBidi"/>
      <w:b/>
      <w:bCs/>
      <w:kern w:val="2"/>
      <w:sz w:val="28"/>
      <w:szCs w:val="28"/>
    </w:rPr>
  </w:style>
  <w:style w:type="character" w:customStyle="1" w:styleId="176">
    <w:name w:val="标题 6 Char1"/>
    <w:basedOn w:val="44"/>
    <w:semiHidden/>
    <w:qFormat/>
    <w:uiPriority w:val="0"/>
    <w:rPr>
      <w:rFonts w:asciiTheme="majorHAnsi" w:hAnsiTheme="majorHAnsi" w:eastAsiaTheme="majorEastAsia" w:cstheme="majorBidi"/>
      <w:b/>
      <w:bCs/>
      <w:kern w:val="2"/>
      <w:sz w:val="24"/>
      <w:szCs w:val="24"/>
    </w:rPr>
  </w:style>
  <w:style w:type="character" w:customStyle="1" w:styleId="177">
    <w:name w:val="标题 7 Char1"/>
    <w:basedOn w:val="44"/>
    <w:semiHidden/>
    <w:qFormat/>
    <w:uiPriority w:val="0"/>
    <w:rPr>
      <w:rFonts w:asciiTheme="minorHAnsi" w:hAnsiTheme="minorHAnsi" w:eastAsiaTheme="minorEastAsia" w:cstheme="minorBidi"/>
      <w:b/>
      <w:bCs/>
      <w:kern w:val="2"/>
      <w:sz w:val="24"/>
      <w:szCs w:val="24"/>
    </w:rPr>
  </w:style>
  <w:style w:type="character" w:customStyle="1" w:styleId="178">
    <w:name w:val="标题 8 Char1"/>
    <w:basedOn w:val="44"/>
    <w:semiHidden/>
    <w:qFormat/>
    <w:uiPriority w:val="0"/>
    <w:rPr>
      <w:rFonts w:asciiTheme="majorHAnsi" w:hAnsiTheme="majorHAnsi" w:eastAsiaTheme="majorEastAsia" w:cstheme="majorBidi"/>
      <w:kern w:val="2"/>
      <w:sz w:val="24"/>
      <w:szCs w:val="24"/>
    </w:rPr>
  </w:style>
  <w:style w:type="character" w:customStyle="1" w:styleId="179">
    <w:name w:val="标题 9 Char1"/>
    <w:basedOn w:val="44"/>
    <w:semiHidden/>
    <w:qFormat/>
    <w:uiPriority w:val="0"/>
    <w:rPr>
      <w:rFonts w:asciiTheme="majorHAnsi" w:hAnsiTheme="majorHAnsi" w:eastAsiaTheme="majorEastAsia" w:cstheme="majorBidi"/>
      <w:kern w:val="2"/>
      <w:sz w:val="21"/>
      <w:szCs w:val="21"/>
    </w:rPr>
  </w:style>
  <w:style w:type="paragraph" w:customStyle="1" w:styleId="180">
    <w:name w:val="列出段落11"/>
    <w:basedOn w:val="1"/>
    <w:qFormat/>
    <w:uiPriority w:val="99"/>
    <w:pPr>
      <w:ind w:firstLine="420" w:firstLineChars="200"/>
    </w:pPr>
    <w:rPr>
      <w:rFonts w:ascii="Calibri" w:hAnsi="Calibri" w:eastAsia="宋体" w:cs="Times New Roman"/>
    </w:rPr>
  </w:style>
  <w:style w:type="paragraph" w:customStyle="1" w:styleId="181">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2">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3">
    <w:name w:val="网格型1"/>
    <w:basedOn w:val="42"/>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4">
    <w:name w:val="网格型11"/>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列表段落1"/>
    <w:basedOn w:val="1"/>
    <w:qFormat/>
    <w:uiPriority w:val="0"/>
    <w:pPr>
      <w:ind w:firstLine="420" w:firstLineChars="200"/>
    </w:pPr>
    <w:rPr>
      <w:rFonts w:ascii="Calibri" w:hAnsi="Calibri" w:eastAsia="宋体" w:cs="Times New Roman"/>
    </w:rPr>
  </w:style>
  <w:style w:type="paragraph" w:customStyle="1" w:styleId="188">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9">
    <w:name w:val="网格型2"/>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WPSOffice手动目录 1"/>
    <w:qFormat/>
    <w:uiPriority w:val="0"/>
    <w:pPr>
      <w:ind w:leftChars="0"/>
    </w:pPr>
    <w:rPr>
      <w:rFonts w:asciiTheme="minorHAnsi" w:hAnsiTheme="minorHAnsi" w:eastAsiaTheme="minorEastAsia" w:cstheme="minorBidi"/>
      <w:sz w:val="20"/>
      <w:szCs w:val="20"/>
    </w:rPr>
  </w:style>
  <w:style w:type="paragraph" w:customStyle="1" w:styleId="191">
    <w:name w:val="WPSOffice手动目录 2"/>
    <w:qFormat/>
    <w:uiPriority w:val="0"/>
    <w:pPr>
      <w:ind w:leftChars="200"/>
    </w:pPr>
    <w:rPr>
      <w:rFonts w:asciiTheme="minorHAnsi" w:hAnsiTheme="minorHAnsi" w:eastAsiaTheme="minorEastAsia" w:cstheme="minorBidi"/>
      <w:sz w:val="20"/>
      <w:szCs w:val="20"/>
    </w:rPr>
  </w:style>
  <w:style w:type="character" w:customStyle="1" w:styleId="192">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3">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4">
    <w:name w:val="179"/>
    <w:basedOn w:val="1"/>
    <w:qFormat/>
    <w:uiPriority w:val="0"/>
    <w:pPr>
      <w:spacing w:line="360" w:lineRule="auto"/>
      <w:ind w:firstLine="420" w:firstLineChars="200"/>
      <w:jc w:val="both"/>
      <w:textAlignment w:val="baseline"/>
    </w:pPr>
  </w:style>
  <w:style w:type="paragraph" w:customStyle="1" w:styleId="195">
    <w:name w:val="Heading3"/>
    <w:next w:val="196"/>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6">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7">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8">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199">
    <w:name w:val="Normal (Web)"/>
    <w:basedOn w:val="1"/>
    <w:qFormat/>
    <w:uiPriority w:val="0"/>
    <w:pPr>
      <w:widowControl/>
      <w:jc w:val="left"/>
    </w:pPr>
    <w:rPr>
      <w:rFonts w:hint="eastAsia" w:ascii="宋体" w:hAnsi="宋体" w:cs="Times New Roman"/>
      <w:kern w:val="0"/>
      <w:sz w:val="24"/>
    </w:rPr>
  </w:style>
  <w:style w:type="paragraph" w:customStyle="1" w:styleId="200">
    <w:name w:val="Other|1"/>
    <w:basedOn w:val="1"/>
    <w:qFormat/>
    <w:uiPriority w:val="0"/>
    <w:pPr>
      <w:widowControl w:val="0"/>
      <w:shd w:val="clear" w:color="auto" w:fill="auto"/>
      <w:jc w:val="center"/>
    </w:pPr>
    <w:rPr>
      <w:u w:val="none"/>
      <w:shd w:val="clear" w:color="auto" w:fill="auto"/>
    </w:rPr>
  </w:style>
  <w:style w:type="paragraph" w:customStyle="1" w:styleId="201">
    <w:name w:val="Normal_0"/>
    <w:next w:val="2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标题 31"/>
    <w:basedOn w:val="201"/>
    <w:next w:val="201"/>
    <w:qFormat/>
    <w:uiPriority w:val="1"/>
    <w:pPr>
      <w:ind w:right="437"/>
      <w:jc w:val="center"/>
      <w:outlineLvl w:val="2"/>
    </w:pPr>
    <w:rPr>
      <w:sz w:val="28"/>
      <w:szCs w:val="28"/>
    </w:rPr>
  </w:style>
  <w:style w:type="paragraph" w:customStyle="1" w:styleId="203">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普通(网站)1"/>
    <w:basedOn w:val="1"/>
    <w:qFormat/>
    <w:uiPriority w:val="0"/>
    <w:pPr>
      <w:widowControl/>
      <w:jc w:val="left"/>
    </w:pPr>
    <w:rPr>
      <w:rFonts w:hint="eastAsia" w:ascii="宋体" w:hAnsi="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22743</Words>
  <Characters>24857</Characters>
  <Lines>210</Lines>
  <Paragraphs>59</Paragraphs>
  <TotalTime>6</TotalTime>
  <ScaleCrop>false</ScaleCrop>
  <LinksUpToDate>false</LinksUpToDate>
  <CharactersWithSpaces>25261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WPS_1642155775</cp:lastModifiedBy>
  <cp:lastPrinted>2022-05-19T03:11:00Z</cp:lastPrinted>
  <dcterms:modified xsi:type="dcterms:W3CDTF">2022-06-24T02:49:45Z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A02AADD9FD8043A290E76CEE57019956</vt:lpwstr>
  </property>
</Properties>
</file>