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B20F3">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bookmarkStart w:id="90" w:name="_GoBack"/>
      <w:bookmarkEnd w:id="90"/>
      <w:r>
        <w:rPr>
          <w:rFonts w:hint="eastAsia" w:ascii="黑体" w:hAnsi="黑体" w:eastAsia="黑体" w:cs="黑体"/>
          <w:b/>
          <w:bCs/>
          <w:color w:val="auto"/>
          <w:sz w:val="84"/>
          <w:szCs w:val="84"/>
          <w:lang w:val="en-US" w:eastAsia="zh-CN"/>
        </w:rPr>
        <w:t xml:space="preserve"> 随县县</w:t>
      </w:r>
      <w:r>
        <w:rPr>
          <w:rFonts w:hint="eastAsia" w:ascii="黑体" w:hAnsi="黑体" w:eastAsia="黑体" w:cs="黑体"/>
          <w:b/>
          <w:bCs/>
          <w:color w:val="auto"/>
          <w:sz w:val="84"/>
          <w:szCs w:val="84"/>
        </w:rPr>
        <w:t>级政府采购</w:t>
      </w:r>
    </w:p>
    <w:p w14:paraId="3589B011">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p>
    <w:p w14:paraId="6B50BEB5">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r>
        <w:rPr>
          <w:rFonts w:hint="eastAsia" w:ascii="黑体" w:hAnsi="黑体" w:eastAsia="黑体" w:cs="黑体"/>
          <w:b/>
          <w:bCs/>
          <w:color w:val="auto"/>
          <w:sz w:val="84"/>
          <w:szCs w:val="84"/>
        </w:rPr>
        <w:t>竞争性磋商文件</w:t>
      </w:r>
    </w:p>
    <w:p w14:paraId="57F33284">
      <w:pPr>
        <w:pStyle w:val="17"/>
        <w:keepNext w:val="0"/>
        <w:keepLines w:val="0"/>
        <w:pageBreakBefore w:val="0"/>
        <w:widowControl w:val="0"/>
        <w:kinsoku/>
        <w:wordWrap/>
        <w:overflowPunct/>
        <w:topLinePunct w:val="0"/>
        <w:autoSpaceDE/>
        <w:autoSpaceDN/>
        <w:bidi w:val="0"/>
        <w:adjustRightInd/>
        <w:snapToGrid/>
        <w:ind w:right="420" w:rightChars="200"/>
        <w:textAlignment w:val="auto"/>
        <w:rPr>
          <w:rFonts w:hint="eastAsia" w:ascii="黑体" w:hAnsi="黑体" w:eastAsia="黑体" w:cs="黑体"/>
          <w:b/>
          <w:bCs/>
          <w:color w:val="auto"/>
          <w:sz w:val="84"/>
          <w:szCs w:val="84"/>
        </w:rPr>
      </w:pPr>
    </w:p>
    <w:p w14:paraId="4442D446">
      <w:pPr>
        <w:keepNext w:val="0"/>
        <w:keepLines w:val="0"/>
        <w:pageBreakBefore w:val="0"/>
        <w:widowControl w:val="0"/>
        <w:kinsoku/>
        <w:wordWrap/>
        <w:overflowPunct/>
        <w:topLinePunct w:val="0"/>
        <w:autoSpaceDE/>
        <w:autoSpaceDN/>
        <w:bidi w:val="0"/>
        <w:adjustRightInd/>
        <w:snapToGrid/>
        <w:ind w:right="420" w:rightChars="200"/>
        <w:textAlignment w:val="auto"/>
        <w:rPr>
          <w:rFonts w:hint="eastAsia"/>
          <w:color w:val="auto"/>
        </w:rPr>
      </w:pPr>
    </w:p>
    <w:p w14:paraId="25D59515">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ascii="Times New Roman" w:hAnsi="Times New Roman" w:cs="Times New Roman"/>
          <w:color w:val="auto"/>
          <w:sz w:val="24"/>
          <w:szCs w:val="24"/>
        </w:rPr>
      </w:pPr>
    </w:p>
    <w:p w14:paraId="09987862">
      <w:pPr>
        <w:keepNext w:val="0"/>
        <w:keepLines w:val="0"/>
        <w:pageBreakBefore w:val="0"/>
        <w:widowControl w:val="0"/>
        <w:kinsoku/>
        <w:wordWrap/>
        <w:overflowPunct/>
        <w:topLinePunct w:val="0"/>
        <w:autoSpaceDE/>
        <w:autoSpaceDN/>
        <w:bidi w:val="0"/>
        <w:adjustRightInd/>
        <w:snapToGrid/>
        <w:ind w:left="0" w:leftChars="0" w:right="420" w:rightChars="200" w:firstLine="2560" w:firstLineChars="800"/>
        <w:jc w:val="left"/>
        <w:textAlignment w:val="auto"/>
        <w:rPr>
          <w:rFonts w:hint="default" w:ascii="Times New Roman" w:hAnsi="Times New Roman" w:cs="Times New Roman" w:eastAsiaTheme="minorEastAsia"/>
          <w:color w:val="auto"/>
          <w:sz w:val="32"/>
          <w:szCs w:val="32"/>
          <w:lang w:val="en-US" w:eastAsia="zh-CN"/>
        </w:rPr>
      </w:pPr>
      <w:r>
        <w:rPr>
          <w:rFonts w:hint="eastAsia" w:ascii="Times New Roman" w:hAnsi="Times New Roman" w:cs="Times New Roman"/>
          <w:color w:val="auto"/>
          <w:sz w:val="32"/>
          <w:szCs w:val="32"/>
        </w:rPr>
        <w:t>项目编号</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SXZC-2022-0004</w:t>
      </w:r>
    </w:p>
    <w:p w14:paraId="4214B72B">
      <w:pPr>
        <w:keepNext w:val="0"/>
        <w:keepLines w:val="0"/>
        <w:pageBreakBefore w:val="0"/>
        <w:widowControl w:val="0"/>
        <w:kinsoku/>
        <w:wordWrap/>
        <w:overflowPunct/>
        <w:topLinePunct w:val="0"/>
        <w:autoSpaceDE/>
        <w:autoSpaceDN/>
        <w:bidi w:val="0"/>
        <w:adjustRightInd/>
        <w:snapToGrid/>
        <w:ind w:left="4154" w:leftChars="1216" w:right="420" w:rightChars="200" w:hanging="1600" w:hangingChars="500"/>
        <w:jc w:val="left"/>
        <w:textAlignment w:val="auto"/>
        <w:rPr>
          <w:rFonts w:hint="eastAsia" w:ascii="Times New Roman" w:hAnsi="Times New Roman" w:cs="Times New Roman" w:eastAsiaTheme="minorEastAsia"/>
          <w:color w:val="auto"/>
          <w:sz w:val="32"/>
          <w:szCs w:val="32"/>
          <w:lang w:val="en-US" w:eastAsia="zh-CN"/>
        </w:rPr>
      </w:pPr>
      <w:r>
        <w:rPr>
          <w:rFonts w:hint="eastAsia" w:ascii="Times New Roman" w:hAnsi="Times New Roman" w:cs="Times New Roman"/>
          <w:color w:val="auto"/>
          <w:sz w:val="32"/>
          <w:szCs w:val="32"/>
        </w:rPr>
        <w:t>项目名称：</w:t>
      </w:r>
      <w:r>
        <w:rPr>
          <w:rFonts w:hint="eastAsia" w:ascii="Times New Roman" w:hAnsi="Times New Roman" w:cs="Times New Roman"/>
          <w:color w:val="auto"/>
          <w:sz w:val="32"/>
          <w:szCs w:val="32"/>
          <w:lang w:eastAsia="zh-CN"/>
        </w:rPr>
        <w:t>随县林业局预警监测中心信息化建设项目</w:t>
      </w:r>
    </w:p>
    <w:p w14:paraId="7C3E82DA">
      <w:pPr>
        <w:keepNext w:val="0"/>
        <w:keepLines w:val="0"/>
        <w:pageBreakBefore w:val="0"/>
        <w:widowControl w:val="0"/>
        <w:kinsoku/>
        <w:wordWrap/>
        <w:overflowPunct/>
        <w:topLinePunct w:val="0"/>
        <w:autoSpaceDE/>
        <w:autoSpaceDN/>
        <w:bidi w:val="0"/>
        <w:adjustRightInd/>
        <w:snapToGrid/>
        <w:ind w:left="0" w:leftChars="0" w:right="420" w:rightChars="200" w:firstLine="2534" w:firstLineChars="792"/>
        <w:jc w:val="left"/>
        <w:textAlignment w:val="auto"/>
        <w:rPr>
          <w:rFonts w:hint="default" w:ascii="宋体" w:hAnsi="宋体" w:eastAsiaTheme="minorEastAsia"/>
          <w:bCs/>
          <w:color w:val="auto"/>
          <w:sz w:val="32"/>
          <w:szCs w:val="32"/>
          <w:lang w:val="en-US" w:eastAsia="zh-CN"/>
        </w:rPr>
      </w:pPr>
      <w:r>
        <w:rPr>
          <w:rFonts w:hint="eastAsia" w:ascii="Times New Roman" w:hAnsi="Times New Roman" w:cs="Times New Roman"/>
          <w:color w:val="auto"/>
          <w:sz w:val="32"/>
          <w:szCs w:val="32"/>
        </w:rPr>
        <w:t>磋商内容：</w:t>
      </w:r>
      <w:r>
        <w:rPr>
          <w:rFonts w:hint="eastAsia" w:ascii="Times New Roman" w:hAnsi="Times New Roman" w:cs="Times New Roman"/>
          <w:color w:val="auto"/>
          <w:sz w:val="32"/>
          <w:szCs w:val="32"/>
          <w:lang w:val="en-US" w:eastAsia="zh-CN"/>
        </w:rPr>
        <w:t>信息化建设</w:t>
      </w:r>
    </w:p>
    <w:p w14:paraId="4F240365">
      <w:pPr>
        <w:keepNext w:val="0"/>
        <w:keepLines w:val="0"/>
        <w:pageBreakBefore w:val="0"/>
        <w:widowControl w:val="0"/>
        <w:kinsoku/>
        <w:wordWrap/>
        <w:overflowPunct/>
        <w:topLinePunct w:val="0"/>
        <w:autoSpaceDE/>
        <w:autoSpaceDN/>
        <w:bidi w:val="0"/>
        <w:adjustRightInd/>
        <w:snapToGrid/>
        <w:ind w:left="2999" w:leftChars="666" w:right="420" w:rightChars="200" w:hanging="1600" w:hangingChars="500"/>
        <w:jc w:val="center"/>
        <w:textAlignment w:val="auto"/>
        <w:rPr>
          <w:rFonts w:ascii="Times New Roman" w:hAnsi="Times New Roman" w:cs="Times New Roman"/>
          <w:color w:val="auto"/>
          <w:sz w:val="32"/>
          <w:szCs w:val="32"/>
        </w:rPr>
      </w:pPr>
    </w:p>
    <w:p w14:paraId="7BFA828F">
      <w:pPr>
        <w:keepNext w:val="0"/>
        <w:keepLines w:val="0"/>
        <w:pageBreakBefore w:val="0"/>
        <w:widowControl w:val="0"/>
        <w:kinsoku/>
        <w:wordWrap/>
        <w:overflowPunct/>
        <w:topLinePunct w:val="0"/>
        <w:autoSpaceDE/>
        <w:autoSpaceDN/>
        <w:bidi w:val="0"/>
        <w:adjustRightInd/>
        <w:snapToGrid/>
        <w:ind w:right="420" w:rightChars="200"/>
        <w:textAlignment w:val="auto"/>
        <w:rPr>
          <w:rFonts w:ascii="Times New Roman" w:hAnsi="Times New Roman" w:cs="Times New Roman"/>
          <w:color w:val="auto"/>
          <w:sz w:val="32"/>
          <w:szCs w:val="32"/>
        </w:rPr>
      </w:pPr>
    </w:p>
    <w:p w14:paraId="2E1698D5">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rPr>
          <w:rFonts w:ascii="Times New Roman" w:hAnsi="Times New Roman" w:cs="Times New Roman"/>
          <w:color w:val="auto"/>
          <w:sz w:val="32"/>
          <w:szCs w:val="32"/>
        </w:rPr>
      </w:pPr>
    </w:p>
    <w:p w14:paraId="70F35EC3">
      <w:pPr>
        <w:pStyle w:val="2"/>
        <w:rPr>
          <w:rFonts w:ascii="Times New Roman" w:hAnsi="Times New Roman" w:cs="Times New Roman"/>
          <w:color w:val="auto"/>
          <w:sz w:val="32"/>
          <w:szCs w:val="32"/>
        </w:rPr>
      </w:pPr>
    </w:p>
    <w:p w14:paraId="4A4E03FC">
      <w:pPr>
        <w:rPr>
          <w:rFonts w:ascii="Times New Roman" w:hAnsi="Times New Roman" w:cs="Times New Roman"/>
          <w:color w:val="auto"/>
          <w:sz w:val="32"/>
          <w:szCs w:val="32"/>
        </w:rPr>
      </w:pPr>
    </w:p>
    <w:p w14:paraId="2126F5E6">
      <w:pPr>
        <w:pStyle w:val="2"/>
        <w:rPr>
          <w:color w:val="auto"/>
        </w:rPr>
      </w:pPr>
    </w:p>
    <w:p w14:paraId="50D3550D">
      <w:pPr>
        <w:keepNext w:val="0"/>
        <w:keepLines w:val="0"/>
        <w:pageBreakBefore w:val="0"/>
        <w:widowControl w:val="0"/>
        <w:tabs>
          <w:tab w:val="left" w:pos="2625"/>
          <w:tab w:val="left" w:pos="7939"/>
        </w:tabs>
        <w:kinsoku/>
        <w:wordWrap/>
        <w:overflowPunct/>
        <w:topLinePunct w:val="0"/>
        <w:autoSpaceDE/>
        <w:autoSpaceDN/>
        <w:bidi w:val="0"/>
        <w:adjustRightInd/>
        <w:snapToGrid/>
        <w:spacing w:line="360" w:lineRule="auto"/>
        <w:ind w:right="420" w:rightChars="200"/>
        <w:jc w:val="center"/>
        <w:textAlignment w:val="auto"/>
        <w:rPr>
          <w:rFonts w:ascii="Times New Roman" w:hAnsi="Times New Roman" w:cs="Times New Roman"/>
          <w:color w:val="auto"/>
          <w:sz w:val="32"/>
          <w:szCs w:val="32"/>
        </w:rPr>
      </w:pPr>
      <w:r>
        <w:rPr>
          <w:rFonts w:hint="eastAsia" w:ascii="Times New Roman" w:hAnsi="Times New Roman" w:cs="Times New Roman"/>
          <w:color w:val="auto"/>
          <w:sz w:val="32"/>
          <w:szCs w:val="32"/>
          <w:lang w:eastAsia="zh-CN"/>
        </w:rPr>
        <w:t>随县</w:t>
      </w:r>
      <w:r>
        <w:rPr>
          <w:rFonts w:hint="eastAsia" w:ascii="Times New Roman" w:hAnsi="Times New Roman" w:cs="Times New Roman"/>
          <w:color w:val="auto"/>
          <w:sz w:val="32"/>
          <w:szCs w:val="32"/>
        </w:rPr>
        <w:t>政府采购中心</w:t>
      </w:r>
    </w:p>
    <w:p w14:paraId="6DE7FD80">
      <w:pPr>
        <w:keepNext w:val="0"/>
        <w:keepLines w:val="0"/>
        <w:pageBreakBefore w:val="0"/>
        <w:widowControl w:val="0"/>
        <w:kinsoku/>
        <w:wordWrap/>
        <w:overflowPunct/>
        <w:topLinePunct w:val="0"/>
        <w:autoSpaceDE/>
        <w:autoSpaceDN/>
        <w:bidi w:val="0"/>
        <w:adjustRightInd/>
        <w:snapToGrid/>
        <w:spacing w:line="520" w:lineRule="exact"/>
        <w:ind w:right="420" w:rightChars="200"/>
        <w:jc w:val="center"/>
        <w:textAlignment w:val="auto"/>
        <w:rPr>
          <w:rFonts w:hint="default" w:ascii="Times New Roman" w:hAnsi="Times New Roman" w:cs="Times New Roman"/>
          <w:b/>
          <w:color w:val="auto"/>
          <w:sz w:val="24"/>
          <w:szCs w:val="24"/>
          <w:lang w:val="en-US"/>
        </w:rPr>
        <w:sectPr>
          <w:pgSz w:w="11906" w:h="16838"/>
          <w:pgMar w:top="1417" w:right="1786" w:bottom="1417" w:left="1166"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hint="eastAsia" w:ascii="Times New Roman" w:hAnsi="Times New Roman" w:cs="Times New Roman"/>
          <w:color w:val="auto"/>
          <w:sz w:val="32"/>
          <w:szCs w:val="32"/>
          <w:lang w:val="en-US" w:eastAsia="zh-CN"/>
        </w:rPr>
        <w:t xml:space="preserve">  </w:t>
      </w:r>
      <w:r>
        <w:rPr>
          <w:rFonts w:ascii="Times New Roman" w:hAnsi="Times New Roman" w:cs="Times New Roman"/>
          <w:color w:val="auto"/>
          <w:sz w:val="32"/>
          <w:szCs w:val="32"/>
        </w:rPr>
        <w:t>202</w:t>
      </w:r>
      <w:r>
        <w:rPr>
          <w:rFonts w:hint="eastAsia" w:ascii="Times New Roman" w:hAnsi="Times New Roman" w:cs="Times New Roman"/>
          <w:color w:val="auto"/>
          <w:sz w:val="32"/>
          <w:szCs w:val="32"/>
          <w:lang w:val="en-US" w:eastAsia="zh-CN"/>
        </w:rPr>
        <w:t>2</w:t>
      </w:r>
      <w:r>
        <w:rPr>
          <w:rFonts w:hint="eastAsia"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6月</w:t>
      </w:r>
    </w:p>
    <w:p w14:paraId="784A2B02">
      <w:pPr>
        <w:rPr>
          <w:color w:val="auto"/>
        </w:rPr>
      </w:pPr>
    </w:p>
    <w:sdt>
      <w:sdtPr>
        <w:rPr>
          <w:rFonts w:ascii="宋体" w:hAnsi="宋体" w:eastAsia="宋体" w:cstheme="minorBidi"/>
          <w:color w:val="auto"/>
          <w:kern w:val="2"/>
          <w:sz w:val="21"/>
          <w:szCs w:val="22"/>
          <w:lang w:val="en-US" w:eastAsia="zh-CN" w:bidi="ar-SA"/>
        </w:rPr>
        <w:id w:val="147471769"/>
        <w15:color w:val="DBDBDB"/>
        <w:docPartObj>
          <w:docPartGallery w:val="Table of Contents"/>
          <w:docPartUnique/>
        </w:docPartObj>
      </w:sdtPr>
      <w:sdtEndPr>
        <w:rPr>
          <w:rFonts w:ascii="宋体" w:hAnsi="宋体" w:eastAsia="宋体" w:cstheme="minorBidi"/>
          <w:b/>
          <w:color w:val="auto"/>
          <w:kern w:val="2"/>
          <w:sz w:val="21"/>
          <w:szCs w:val="22"/>
          <w:lang w:val="en-US" w:eastAsia="zh-CN" w:bidi="ar-SA"/>
        </w:rPr>
      </w:sdtEndPr>
      <w:sdtContent>
        <w:p w14:paraId="69EA2F65">
          <w:pPr>
            <w:spacing w:before="0" w:beforeLines="0" w:after="0" w:afterLines="0" w:line="240" w:lineRule="auto"/>
            <w:ind w:left="0" w:leftChars="0" w:right="0" w:rightChars="0" w:firstLine="0" w:firstLineChars="0"/>
            <w:jc w:val="center"/>
            <w:rPr>
              <w:b/>
              <w:bCs/>
              <w:color w:val="auto"/>
              <w:sz w:val="44"/>
              <w:szCs w:val="44"/>
            </w:rPr>
          </w:pPr>
          <w:bookmarkStart w:id="0" w:name="_Toc12619"/>
          <w:r>
            <w:rPr>
              <w:rFonts w:ascii="宋体" w:hAnsi="宋体" w:eastAsia="宋体"/>
              <w:b/>
              <w:bCs/>
              <w:color w:val="auto"/>
              <w:sz w:val="44"/>
              <w:szCs w:val="44"/>
            </w:rPr>
            <w:t>目录</w:t>
          </w:r>
        </w:p>
        <w:p w14:paraId="4CF50A3D">
          <w:pPr>
            <w:pStyle w:val="189"/>
            <w:tabs>
              <w:tab w:val="right" w:leader="dot" w:pos="8820"/>
            </w:tabs>
            <w:spacing w:line="600" w:lineRule="auto"/>
            <w:rPr>
              <w:b/>
              <w:color w:val="auto"/>
              <w:sz w:val="30"/>
              <w:szCs w:val="30"/>
            </w:rPr>
          </w:pPr>
          <w:r>
            <w:rPr>
              <w:color w:val="auto"/>
            </w:rPr>
            <w:fldChar w:fldCharType="begin"/>
          </w:r>
          <w:r>
            <w:rPr>
              <w:color w:val="auto"/>
            </w:rPr>
            <w:instrText xml:space="preserve">TOC \o "1-2" \h \u </w:instrText>
          </w:r>
          <w:r>
            <w:rPr>
              <w:color w:val="auto"/>
            </w:rPr>
            <w:fldChar w:fldCharType="separate"/>
          </w:r>
          <w:r>
            <w:rPr>
              <w:b/>
              <w:color w:val="auto"/>
              <w:sz w:val="30"/>
              <w:szCs w:val="30"/>
            </w:rPr>
            <w:fldChar w:fldCharType="begin"/>
          </w:r>
          <w:r>
            <w:rPr>
              <w:b/>
              <w:color w:val="auto"/>
              <w:sz w:val="30"/>
              <w:szCs w:val="30"/>
            </w:rPr>
            <w:instrText xml:space="preserve"> HYPERLINK \l _Toc27578 </w:instrText>
          </w:r>
          <w:r>
            <w:rPr>
              <w:b/>
              <w:color w:val="auto"/>
              <w:sz w:val="30"/>
              <w:szCs w:val="30"/>
            </w:rPr>
            <w:fldChar w:fldCharType="separate"/>
          </w:r>
          <w:r>
            <w:rPr>
              <w:rFonts w:hint="eastAsia" w:ascii="Times New Roman" w:hAnsi="Times New Roman" w:cs="Times New Roman"/>
              <w:b/>
              <w:color w:val="auto"/>
              <w:sz w:val="30"/>
              <w:szCs w:val="30"/>
              <w:lang w:val="hr-HR" w:bidi="ar-EG"/>
            </w:rPr>
            <w:t xml:space="preserve">第一章 </w:t>
          </w:r>
          <w:r>
            <w:rPr>
              <w:rFonts w:hint="eastAsia" w:ascii="Times New Roman" w:hAnsi="Times New Roman" w:cs="Times New Roman"/>
              <w:b/>
              <w:color w:val="auto"/>
              <w:sz w:val="30"/>
              <w:szCs w:val="30"/>
              <w:lang w:val="en-US" w:eastAsia="zh-CN" w:bidi="ar-EG"/>
            </w:rPr>
            <w:t xml:space="preserve"> </w:t>
          </w:r>
          <w:r>
            <w:rPr>
              <w:rFonts w:hint="eastAsia" w:ascii="Times New Roman" w:hAnsi="Times New Roman" w:cs="Times New Roman"/>
              <w:b/>
              <w:color w:val="auto"/>
              <w:sz w:val="30"/>
              <w:szCs w:val="30"/>
              <w:lang w:val="hr-HR" w:bidi="ar-EG"/>
            </w:rPr>
            <w:t>邀请</w:t>
          </w:r>
          <w:r>
            <w:rPr>
              <w:rFonts w:hint="eastAsia"/>
              <w:b/>
              <w:color w:val="auto"/>
              <w:sz w:val="30"/>
              <w:szCs w:val="30"/>
              <w:lang w:val="en-US" w:eastAsia="zh-CN"/>
            </w:rPr>
            <w:t>函</w:t>
          </w:r>
          <w:r>
            <w:rPr>
              <w:b/>
              <w:color w:val="auto"/>
              <w:sz w:val="30"/>
              <w:szCs w:val="30"/>
            </w:rPr>
            <w:fldChar w:fldCharType="end"/>
          </w:r>
        </w:p>
        <w:p w14:paraId="139898BC">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_Toc6368 </w:instrText>
          </w:r>
          <w:r>
            <w:rPr>
              <w:b/>
              <w:color w:val="auto"/>
              <w:sz w:val="30"/>
              <w:szCs w:val="30"/>
            </w:rPr>
            <w:fldChar w:fldCharType="separate"/>
          </w:r>
          <w:r>
            <w:rPr>
              <w:rFonts w:hint="eastAsia" w:ascii="Times New Roman" w:hAnsi="Times New Roman" w:cs="Times New Roman"/>
              <w:b/>
              <w:color w:val="auto"/>
              <w:sz w:val="30"/>
              <w:szCs w:val="30"/>
              <w:lang w:val="hr-HR" w:bidi="ar-EG"/>
            </w:rPr>
            <w:t>第二章</w:t>
          </w:r>
          <w:r>
            <w:rPr>
              <w:rFonts w:hint="eastAsia" w:ascii="Times New Roman" w:hAnsi="Times New Roman" w:cs="Times New Roman"/>
              <w:b/>
              <w:color w:val="auto"/>
              <w:sz w:val="30"/>
              <w:szCs w:val="30"/>
              <w:lang w:val="en-US" w:eastAsia="zh-CN" w:bidi="ar-EG"/>
            </w:rPr>
            <w:t xml:space="preserve">  </w:t>
          </w:r>
          <w:r>
            <w:rPr>
              <w:rFonts w:hint="eastAsia" w:ascii="Times New Roman" w:hAnsi="Times New Roman" w:cs="Times New Roman"/>
              <w:b/>
              <w:color w:val="auto"/>
              <w:sz w:val="30"/>
              <w:szCs w:val="30"/>
              <w:lang w:val="hr-HR" w:bidi="ar-EG"/>
            </w:rPr>
            <w:t>磋商须知</w:t>
          </w:r>
          <w:r>
            <w:rPr>
              <w:b/>
              <w:color w:val="auto"/>
              <w:sz w:val="30"/>
              <w:szCs w:val="30"/>
            </w:rPr>
            <w:fldChar w:fldCharType="end"/>
          </w:r>
        </w:p>
        <w:p w14:paraId="35140EC8">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_Toc25440 </w:instrText>
          </w:r>
          <w:r>
            <w:rPr>
              <w:b/>
              <w:color w:val="auto"/>
              <w:sz w:val="30"/>
              <w:szCs w:val="30"/>
            </w:rPr>
            <w:fldChar w:fldCharType="separate"/>
          </w:r>
          <w:r>
            <w:rPr>
              <w:rFonts w:hint="eastAsia" w:cs="Times New Roman" w:asciiTheme="majorEastAsia" w:hAnsiTheme="majorEastAsia" w:eastAsiaTheme="majorEastAsia"/>
              <w:b/>
              <w:color w:val="auto"/>
              <w:sz w:val="30"/>
              <w:szCs w:val="30"/>
            </w:rPr>
            <w:t xml:space="preserve">第三章 </w:t>
          </w:r>
          <w:r>
            <w:rPr>
              <w:rFonts w:hint="eastAsia" w:cs="Times New Roman" w:asciiTheme="majorEastAsia" w:hAnsiTheme="majorEastAsia" w:eastAsiaTheme="majorEastAsia"/>
              <w:b/>
              <w:color w:val="auto"/>
              <w:sz w:val="30"/>
              <w:szCs w:val="30"/>
              <w:lang w:val="en-US" w:eastAsia="zh-CN"/>
            </w:rPr>
            <w:t xml:space="preserve"> </w:t>
          </w:r>
          <w:r>
            <w:rPr>
              <w:rFonts w:hint="eastAsia" w:cs="Times New Roman" w:asciiTheme="majorEastAsia" w:hAnsiTheme="majorEastAsia" w:eastAsiaTheme="majorEastAsia"/>
              <w:b/>
              <w:color w:val="auto"/>
              <w:sz w:val="30"/>
              <w:szCs w:val="30"/>
              <w:lang w:val="hr-HR" w:bidi="ar-EG"/>
            </w:rPr>
            <w:t>采购</w:t>
          </w:r>
          <w:r>
            <w:rPr>
              <w:rFonts w:hint="eastAsia" w:cs="Times New Roman" w:asciiTheme="majorEastAsia" w:hAnsiTheme="majorEastAsia" w:eastAsiaTheme="majorEastAsia"/>
              <w:b/>
              <w:color w:val="auto"/>
              <w:sz w:val="30"/>
              <w:szCs w:val="30"/>
            </w:rPr>
            <w:t>货物技术参数、规格及要求</w:t>
          </w:r>
          <w:r>
            <w:rPr>
              <w:b/>
              <w:color w:val="auto"/>
              <w:sz w:val="30"/>
              <w:szCs w:val="30"/>
            </w:rPr>
            <w:fldChar w:fldCharType="end"/>
          </w:r>
        </w:p>
        <w:p w14:paraId="0250C866">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_Toc2507 </w:instrText>
          </w:r>
          <w:r>
            <w:rPr>
              <w:b/>
              <w:color w:val="auto"/>
              <w:sz w:val="30"/>
              <w:szCs w:val="30"/>
            </w:rPr>
            <w:fldChar w:fldCharType="separate"/>
          </w:r>
          <w:r>
            <w:rPr>
              <w:rFonts w:ascii="Times New Roman" w:hAnsi="Times New Roman" w:cs="Times New Roman"/>
              <w:b/>
              <w:color w:val="auto"/>
              <w:sz w:val="30"/>
              <w:szCs w:val="30"/>
            </w:rPr>
            <w:t>第四章</w:t>
          </w:r>
          <w:r>
            <w:rPr>
              <w:rFonts w:hint="eastAsia" w:ascii="Times New Roman" w:hAnsi="Times New Roman" w:cs="Times New Roman"/>
              <w:b/>
              <w:color w:val="auto"/>
              <w:sz w:val="30"/>
              <w:szCs w:val="30"/>
            </w:rPr>
            <w:t xml:space="preserve">  </w:t>
          </w:r>
          <w:r>
            <w:rPr>
              <w:rFonts w:ascii="Times New Roman" w:hAnsi="Times New Roman" w:cs="Times New Roman"/>
              <w:b/>
              <w:bCs/>
              <w:color w:val="auto"/>
              <w:sz w:val="30"/>
              <w:szCs w:val="30"/>
            </w:rPr>
            <w:t>评审办法及评分标准</w:t>
          </w:r>
          <w:r>
            <w:rPr>
              <w:b/>
              <w:color w:val="auto"/>
              <w:sz w:val="30"/>
              <w:szCs w:val="30"/>
            </w:rPr>
            <w:fldChar w:fldCharType="end"/>
          </w:r>
        </w:p>
        <w:p w14:paraId="77AB41A0">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_Toc29258 </w:instrText>
          </w:r>
          <w:r>
            <w:rPr>
              <w:b/>
              <w:color w:val="auto"/>
              <w:sz w:val="30"/>
              <w:szCs w:val="30"/>
            </w:rPr>
            <w:fldChar w:fldCharType="separate"/>
          </w:r>
          <w:r>
            <w:rPr>
              <w:rFonts w:hint="eastAsia" w:ascii="Times New Roman" w:hAnsi="Times New Roman" w:cs="Times New Roman"/>
              <w:b/>
              <w:color w:val="auto"/>
              <w:sz w:val="30"/>
              <w:szCs w:val="30"/>
            </w:rPr>
            <w:t>第五章  合同书（参考格式）</w:t>
          </w:r>
          <w:r>
            <w:rPr>
              <w:b/>
              <w:color w:val="auto"/>
              <w:sz w:val="30"/>
              <w:szCs w:val="30"/>
            </w:rPr>
            <w:fldChar w:fldCharType="end"/>
          </w:r>
        </w:p>
        <w:p w14:paraId="5DE86466">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_Toc15277 </w:instrText>
          </w:r>
          <w:r>
            <w:rPr>
              <w:b/>
              <w:color w:val="auto"/>
              <w:sz w:val="30"/>
              <w:szCs w:val="30"/>
            </w:rPr>
            <w:fldChar w:fldCharType="separate"/>
          </w:r>
          <w:r>
            <w:rPr>
              <w:rFonts w:hint="eastAsia" w:ascii="Times New Roman" w:hAnsi="Times New Roman" w:cs="Times New Roman"/>
              <w:b/>
              <w:color w:val="auto"/>
              <w:sz w:val="30"/>
              <w:szCs w:val="30"/>
            </w:rPr>
            <w:t>第六章</w:t>
          </w:r>
          <w:r>
            <w:rPr>
              <w:rFonts w:hint="eastAsia" w:ascii="Times New Roman" w:hAnsi="Times New Roman" w:cs="Times New Roman"/>
              <w:b/>
              <w:color w:val="auto"/>
              <w:sz w:val="30"/>
              <w:szCs w:val="30"/>
              <w:lang w:val="en-US" w:eastAsia="zh-CN"/>
            </w:rPr>
            <w:t xml:space="preserve">  </w:t>
          </w:r>
          <w:r>
            <w:rPr>
              <w:rFonts w:hint="eastAsia" w:ascii="Times New Roman" w:hAnsi="Times New Roman" w:cs="Times New Roman"/>
              <w:b/>
              <w:color w:val="auto"/>
              <w:sz w:val="30"/>
              <w:szCs w:val="30"/>
            </w:rPr>
            <w:t>响应文件格式</w:t>
          </w:r>
          <w:r>
            <w:rPr>
              <w:b/>
              <w:color w:val="auto"/>
              <w:sz w:val="30"/>
              <w:szCs w:val="30"/>
            </w:rPr>
            <w:fldChar w:fldCharType="end"/>
          </w:r>
        </w:p>
        <w:p w14:paraId="786CF6CD">
          <w:pPr>
            <w:pStyle w:val="190"/>
            <w:tabs>
              <w:tab w:val="right" w:leader="dot" w:pos="8820"/>
            </w:tabs>
            <w:rPr>
              <w:color w:val="auto"/>
            </w:rPr>
          </w:pPr>
        </w:p>
        <w:p w14:paraId="28AA04D5">
          <w:pPr>
            <w:pStyle w:val="190"/>
            <w:tabs>
              <w:tab w:val="right" w:leader="dot" w:pos="8820"/>
            </w:tabs>
            <w:rPr>
              <w:color w:val="auto"/>
            </w:rPr>
          </w:pPr>
        </w:p>
        <w:p w14:paraId="13ACEAB2">
          <w:pPr>
            <w:pStyle w:val="190"/>
            <w:tabs>
              <w:tab w:val="right" w:leader="dot" w:pos="8820"/>
            </w:tabs>
            <w:rPr>
              <w:color w:val="auto"/>
            </w:rPr>
          </w:pPr>
        </w:p>
        <w:p w14:paraId="5784EBC8">
          <w:pPr>
            <w:pStyle w:val="190"/>
            <w:tabs>
              <w:tab w:val="right" w:leader="dot" w:pos="8820"/>
            </w:tabs>
            <w:rPr>
              <w:color w:val="auto"/>
            </w:rPr>
          </w:pPr>
        </w:p>
        <w:p w14:paraId="27F3E8B6">
          <w:pPr>
            <w:pStyle w:val="190"/>
            <w:tabs>
              <w:tab w:val="right" w:leader="dot" w:pos="8820"/>
            </w:tabs>
            <w:rPr>
              <w:color w:val="auto"/>
            </w:rPr>
          </w:pPr>
        </w:p>
        <w:p w14:paraId="4EA2622F">
          <w:pPr>
            <w:pStyle w:val="190"/>
            <w:tabs>
              <w:tab w:val="right" w:leader="dot" w:pos="8820"/>
            </w:tabs>
            <w:rPr>
              <w:color w:val="auto"/>
            </w:rPr>
          </w:pPr>
        </w:p>
        <w:p w14:paraId="520881FD">
          <w:pPr>
            <w:pStyle w:val="190"/>
            <w:tabs>
              <w:tab w:val="right" w:leader="dot" w:pos="8820"/>
            </w:tabs>
            <w:rPr>
              <w:color w:val="auto"/>
            </w:rPr>
          </w:pPr>
        </w:p>
        <w:p w14:paraId="4F2CC99E">
          <w:pPr>
            <w:pStyle w:val="190"/>
            <w:tabs>
              <w:tab w:val="right" w:leader="dot" w:pos="8820"/>
            </w:tabs>
            <w:rPr>
              <w:color w:val="auto"/>
            </w:rPr>
          </w:pPr>
        </w:p>
        <w:p w14:paraId="45FA6F06">
          <w:pPr>
            <w:pStyle w:val="190"/>
            <w:tabs>
              <w:tab w:val="right" w:leader="dot" w:pos="8820"/>
            </w:tabs>
            <w:rPr>
              <w:color w:val="auto"/>
            </w:rPr>
          </w:pPr>
        </w:p>
        <w:p w14:paraId="0F2D5933">
          <w:pPr>
            <w:pStyle w:val="190"/>
            <w:tabs>
              <w:tab w:val="right" w:leader="dot" w:pos="8820"/>
            </w:tabs>
            <w:rPr>
              <w:color w:val="auto"/>
            </w:rPr>
          </w:pPr>
        </w:p>
        <w:p w14:paraId="526A3961">
          <w:pPr>
            <w:pStyle w:val="190"/>
            <w:tabs>
              <w:tab w:val="right" w:leader="dot" w:pos="8820"/>
            </w:tabs>
            <w:rPr>
              <w:color w:val="auto"/>
            </w:rPr>
          </w:pPr>
        </w:p>
        <w:p w14:paraId="0BADDE15">
          <w:pPr>
            <w:pStyle w:val="190"/>
            <w:tabs>
              <w:tab w:val="right" w:leader="dot" w:pos="8820"/>
            </w:tabs>
            <w:rPr>
              <w:color w:val="auto"/>
            </w:rPr>
          </w:pPr>
        </w:p>
        <w:p w14:paraId="7D038002">
          <w:pPr>
            <w:pStyle w:val="190"/>
            <w:tabs>
              <w:tab w:val="right" w:leader="dot" w:pos="8820"/>
            </w:tabs>
            <w:rPr>
              <w:color w:val="auto"/>
            </w:rPr>
          </w:pPr>
        </w:p>
        <w:p w14:paraId="4EBC5736">
          <w:pPr>
            <w:pStyle w:val="190"/>
            <w:tabs>
              <w:tab w:val="right" w:leader="dot" w:pos="8820"/>
            </w:tabs>
            <w:rPr>
              <w:color w:val="auto"/>
            </w:rPr>
          </w:pPr>
        </w:p>
        <w:p w14:paraId="0692680D">
          <w:pPr>
            <w:pStyle w:val="190"/>
            <w:tabs>
              <w:tab w:val="right" w:leader="dot" w:pos="8820"/>
            </w:tabs>
            <w:rPr>
              <w:color w:val="auto"/>
            </w:rPr>
          </w:pPr>
        </w:p>
        <w:p w14:paraId="08E42EEE">
          <w:pPr>
            <w:pStyle w:val="190"/>
            <w:tabs>
              <w:tab w:val="right" w:leader="dot" w:pos="8820"/>
            </w:tabs>
            <w:rPr>
              <w:color w:val="auto"/>
            </w:rPr>
          </w:pPr>
        </w:p>
        <w:p w14:paraId="30EB6166">
          <w:pPr>
            <w:pStyle w:val="190"/>
            <w:tabs>
              <w:tab w:val="right" w:leader="dot" w:pos="8820"/>
            </w:tabs>
            <w:rPr>
              <w:color w:val="auto"/>
            </w:rPr>
          </w:pPr>
        </w:p>
        <w:p w14:paraId="2EFD800C">
          <w:pPr>
            <w:pStyle w:val="190"/>
            <w:tabs>
              <w:tab w:val="right" w:leader="dot" w:pos="8820"/>
            </w:tabs>
            <w:rPr>
              <w:color w:val="auto"/>
            </w:rPr>
          </w:pPr>
        </w:p>
        <w:p w14:paraId="7C6922A6">
          <w:pPr>
            <w:pStyle w:val="190"/>
            <w:tabs>
              <w:tab w:val="right" w:leader="dot" w:pos="8820"/>
            </w:tabs>
            <w:rPr>
              <w:color w:val="auto"/>
            </w:rPr>
          </w:pPr>
        </w:p>
        <w:p w14:paraId="3CFE76AA">
          <w:pPr>
            <w:pStyle w:val="190"/>
            <w:tabs>
              <w:tab w:val="right" w:leader="dot" w:pos="8820"/>
            </w:tabs>
            <w:rPr>
              <w:color w:val="auto"/>
            </w:rPr>
          </w:pPr>
        </w:p>
        <w:p w14:paraId="41B88900">
          <w:pPr>
            <w:pStyle w:val="190"/>
            <w:tabs>
              <w:tab w:val="right" w:leader="dot" w:pos="8820"/>
            </w:tabs>
            <w:rPr>
              <w:color w:val="auto"/>
            </w:rPr>
          </w:pPr>
        </w:p>
        <w:p w14:paraId="272D4618">
          <w:pPr>
            <w:pStyle w:val="190"/>
            <w:tabs>
              <w:tab w:val="right" w:leader="dot" w:pos="8820"/>
            </w:tabs>
            <w:rPr>
              <w:color w:val="auto"/>
            </w:rPr>
          </w:pPr>
        </w:p>
        <w:p w14:paraId="5EEA2125">
          <w:pPr>
            <w:pStyle w:val="190"/>
            <w:tabs>
              <w:tab w:val="right" w:leader="dot" w:pos="8820"/>
            </w:tabs>
            <w:rPr>
              <w:color w:val="auto"/>
            </w:rPr>
          </w:pPr>
        </w:p>
        <w:p w14:paraId="09CDFA63">
          <w:pPr>
            <w:pStyle w:val="190"/>
            <w:tabs>
              <w:tab w:val="right" w:leader="dot" w:pos="8820"/>
            </w:tabs>
            <w:rPr>
              <w:color w:val="auto"/>
            </w:rPr>
          </w:pPr>
        </w:p>
        <w:p w14:paraId="1472DA75">
          <w:pPr>
            <w:pStyle w:val="190"/>
            <w:tabs>
              <w:tab w:val="right" w:leader="dot" w:pos="8820"/>
            </w:tabs>
            <w:rPr>
              <w:color w:val="auto"/>
            </w:rPr>
          </w:pPr>
        </w:p>
        <w:p w14:paraId="401E9547">
          <w:pPr>
            <w:pStyle w:val="190"/>
            <w:tabs>
              <w:tab w:val="right" w:leader="dot" w:pos="8820"/>
            </w:tabs>
            <w:ind w:left="0" w:leftChars="0" w:firstLine="0" w:firstLineChars="0"/>
            <w:rPr>
              <w:color w:val="auto"/>
            </w:rPr>
          </w:pPr>
        </w:p>
        <w:p w14:paraId="43259F57">
          <w:pPr>
            <w:pStyle w:val="190"/>
            <w:tabs>
              <w:tab w:val="right" w:leader="dot" w:pos="8820"/>
            </w:tabs>
            <w:ind w:left="0" w:leftChars="0" w:firstLine="0" w:firstLineChars="0"/>
            <w:rPr>
              <w:color w:val="auto"/>
            </w:rPr>
          </w:pPr>
        </w:p>
        <w:p w14:paraId="24FF3163">
          <w:pPr>
            <w:pStyle w:val="190"/>
            <w:tabs>
              <w:tab w:val="right" w:leader="dot" w:pos="8820"/>
            </w:tabs>
            <w:rPr>
              <w:color w:val="auto"/>
            </w:rPr>
          </w:pPr>
        </w:p>
        <w:p w14:paraId="292F7147">
          <w:r>
            <w:rPr>
              <w:b/>
              <w:color w:val="auto"/>
            </w:rPr>
            <w:fldChar w:fldCharType="end"/>
          </w:r>
        </w:p>
      </w:sdtContent>
    </w:sdt>
    <w:p w14:paraId="03A990B6">
      <w:pPr>
        <w:jc w:val="center"/>
        <w:rPr>
          <w:rFonts w:hint="eastAsia" w:ascii="Times New Roman" w:hAnsi="Times New Roman" w:cs="Times New Roman"/>
          <w:b/>
          <w:color w:val="auto"/>
          <w:sz w:val="36"/>
          <w:szCs w:val="36"/>
          <w:lang w:val="hr-HR" w:bidi="ar-EG"/>
        </w:rPr>
      </w:pPr>
      <w:r>
        <w:rPr>
          <w:rFonts w:hint="eastAsia" w:ascii="Times New Roman" w:hAnsi="Times New Roman" w:cs="Times New Roman"/>
          <w:b/>
          <w:color w:val="auto"/>
          <w:sz w:val="36"/>
          <w:szCs w:val="36"/>
          <w:lang w:val="en-US" w:eastAsia="zh-CN" w:bidi="ar-EG"/>
        </w:rPr>
        <w:t>一、</w:t>
      </w:r>
      <w:r>
        <w:rPr>
          <w:rFonts w:hint="eastAsia" w:ascii="Times New Roman" w:hAnsi="Times New Roman" w:cs="Times New Roman"/>
          <w:b/>
          <w:color w:val="auto"/>
          <w:sz w:val="36"/>
          <w:szCs w:val="36"/>
          <w:lang w:val="hr-HR" w:bidi="ar-EG"/>
        </w:rPr>
        <w:t xml:space="preserve"> </w:t>
      </w:r>
      <w:bookmarkStart w:id="1" w:name="_Toc27578"/>
      <w:r>
        <w:rPr>
          <w:rFonts w:hint="eastAsia" w:ascii="Times New Roman" w:hAnsi="Times New Roman" w:cs="Times New Roman"/>
          <w:b/>
          <w:color w:val="auto"/>
          <w:sz w:val="36"/>
          <w:szCs w:val="36"/>
          <w:lang w:val="hr-HR" w:bidi="ar-EG"/>
        </w:rPr>
        <w:t>邀请函</w:t>
      </w:r>
      <w:bookmarkEnd w:id="0"/>
      <w:bookmarkEnd w:id="1"/>
    </w:p>
    <w:p w14:paraId="6478DEFB">
      <w:pPr>
        <w:pStyle w:val="2"/>
        <w:numPr>
          <w:ilvl w:val="0"/>
          <w:numId w:val="0"/>
        </w:numPr>
        <w:rPr>
          <w:color w:val="auto"/>
          <w:lang w:val="hr-HR"/>
        </w:rPr>
      </w:pPr>
    </w:p>
    <w:p w14:paraId="4329D33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textAlignment w:val="auto"/>
        <w:rPr>
          <w:rFonts w:ascii="宋体" w:hAnsi="宋体" w:eastAsia="宋体" w:cs="宋体"/>
          <w:color w:val="auto"/>
          <w:sz w:val="24"/>
          <w:szCs w:val="24"/>
        </w:rPr>
      </w:pPr>
      <w:r>
        <w:rPr>
          <w:rFonts w:hint="eastAsia" w:ascii="宋体" w:hAnsi="宋体" w:eastAsia="宋体" w:cs="宋体"/>
          <w:color w:val="auto"/>
          <w:sz w:val="24"/>
          <w:szCs w:val="24"/>
        </w:rPr>
        <w:t>项目概况</w:t>
      </w:r>
    </w:p>
    <w:p w14:paraId="085DE0E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随县林业局预警监测中心信息化建设项目</w:t>
      </w:r>
      <w:r>
        <w:rPr>
          <w:rFonts w:hint="eastAsia" w:ascii="宋体" w:hAnsi="宋体" w:eastAsia="宋体" w:cs="宋体"/>
          <w:color w:val="auto"/>
          <w:sz w:val="24"/>
          <w:szCs w:val="24"/>
        </w:rPr>
        <w:t>的潜在供应商应</w:t>
      </w:r>
      <w:r>
        <w:rPr>
          <w:rFonts w:hint="eastAsia" w:ascii="宋体" w:hAnsi="宋体" w:eastAsia="宋体" w:cs="宋体"/>
          <w:color w:val="auto"/>
          <w:sz w:val="24"/>
          <w:szCs w:val="24"/>
          <w:u w:val="none"/>
        </w:rPr>
        <w:t>在</w:t>
      </w:r>
      <w:r>
        <w:rPr>
          <w:rFonts w:hint="eastAsia" w:ascii="宋体" w:hAnsi="宋体" w:eastAsia="宋体" w:cs="宋体"/>
          <w:color w:val="auto"/>
          <w:sz w:val="24"/>
          <w:szCs w:val="24"/>
          <w:lang w:val="en-US" w:eastAsia="zh-CN"/>
        </w:rPr>
        <w:t>随县政府电子采购平台</w:t>
      </w:r>
      <w:r>
        <w:rPr>
          <w:rFonts w:hint="eastAsia" w:ascii="仿宋" w:hAnsi="仿宋" w:cs="仿宋"/>
          <w:color w:val="auto"/>
          <w:spacing w:val="18"/>
          <w:sz w:val="24"/>
          <w:u w:val="single"/>
          <w:lang w:eastAsia="zh-CN"/>
        </w:rPr>
        <w:t>（https://dzcg.hubeigp.gov.cn/assets/special/100/hbenterpoint.html）</w:t>
      </w:r>
      <w:r>
        <w:rPr>
          <w:rFonts w:hint="eastAsia" w:ascii="宋体" w:hAnsi="宋体" w:eastAsia="宋体" w:cs="宋体"/>
          <w:color w:val="auto"/>
          <w:sz w:val="24"/>
          <w:szCs w:val="24"/>
        </w:rPr>
        <w:t>获取采购文件，并于</w:t>
      </w:r>
      <w:r>
        <w:rPr>
          <w:rFonts w:hint="eastAsia" w:ascii="宋体" w:hAnsi="宋体" w:eastAsia="宋体" w:cs="宋体"/>
          <w:color w:val="auto"/>
          <w:sz w:val="24"/>
          <w:szCs w:val="24"/>
          <w:lang w:val="en-US" w:eastAsia="zh-CN"/>
        </w:rPr>
        <w:t>本项目竞争性磋商公告规定的提交响应文件截止时间前提交响应文件并签到。</w:t>
      </w:r>
    </w:p>
    <w:p w14:paraId="13554C47">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outlineLvl w:val="1"/>
        <w:rPr>
          <w:rFonts w:ascii="Times New Roman" w:hAnsi="Times New Roman" w:eastAsia="宋体" w:cs="Times New Roman"/>
          <w:b/>
          <w:bCs/>
          <w:color w:val="auto"/>
          <w:sz w:val="24"/>
          <w:szCs w:val="24"/>
        </w:rPr>
      </w:pPr>
      <w:bookmarkStart w:id="2" w:name="_Toc35393798"/>
      <w:bookmarkStart w:id="3" w:name="_Toc28359012"/>
      <w:bookmarkStart w:id="4" w:name="_Toc35393629"/>
      <w:bookmarkStart w:id="5" w:name="_Toc17951"/>
      <w:bookmarkStart w:id="6" w:name="_Toc28359089"/>
      <w:r>
        <w:rPr>
          <w:rFonts w:hint="eastAsia" w:ascii="Times New Roman" w:hAnsi="Times New Roman" w:eastAsia="宋体" w:cs="Times New Roman"/>
          <w:b/>
          <w:bCs/>
          <w:color w:val="auto"/>
          <w:sz w:val="24"/>
          <w:szCs w:val="24"/>
        </w:rPr>
        <w:t>一、项目基本情况</w:t>
      </w:r>
      <w:bookmarkEnd w:id="2"/>
      <w:bookmarkEnd w:id="3"/>
      <w:bookmarkEnd w:id="4"/>
      <w:bookmarkEnd w:id="5"/>
      <w:bookmarkEnd w:id="6"/>
    </w:p>
    <w:p w14:paraId="60331A9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en-US" w:eastAsia="zh-CN"/>
        </w:rPr>
        <w:t>SXZC-2022-0004</w:t>
      </w:r>
    </w:p>
    <w:p w14:paraId="1AE6170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color w:val="auto"/>
          <w:sz w:val="24"/>
          <w:szCs w:val="24"/>
          <w:lang w:val="en-US" w:eastAsia="zh-CN"/>
        </w:rPr>
        <w:t>采购</w:t>
      </w:r>
      <w:r>
        <w:rPr>
          <w:rFonts w:hint="eastAsia" w:ascii="Times New Roman" w:hAnsi="Times New Roman" w:eastAsia="宋体" w:cs="Times New Roman"/>
          <w:color w:val="auto"/>
          <w:sz w:val="24"/>
          <w:szCs w:val="24"/>
        </w:rPr>
        <w:t>计划备案号：</w:t>
      </w:r>
      <w:r>
        <w:rPr>
          <w:rFonts w:hint="eastAsia" w:ascii="宋体" w:hAnsi="宋体" w:eastAsia="宋体" w:cs="宋体"/>
          <w:color w:val="auto"/>
          <w:sz w:val="24"/>
          <w:szCs w:val="24"/>
          <w:lang w:val="en-US" w:eastAsia="zh-CN"/>
        </w:rPr>
        <w:t>2022-05-004069</w:t>
      </w:r>
    </w:p>
    <w:p w14:paraId="6C2D8D3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随县林业局预警监测中心信息化建设项目</w:t>
      </w:r>
    </w:p>
    <w:p w14:paraId="4274E1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采购方式：</w:t>
      </w:r>
      <w:r>
        <w:rPr>
          <w:rFonts w:hint="eastAsia" w:ascii="宋体" w:hAnsi="宋体" w:eastAsia="宋体" w:cs="宋体"/>
          <w:color w:val="auto"/>
          <w:sz w:val="24"/>
          <w:szCs w:val="24"/>
        </w:rPr>
        <w:t>竞争性磋商</w:t>
      </w:r>
    </w:p>
    <w:p w14:paraId="063EB43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u w:val="none"/>
        </w:rPr>
      </w:pPr>
      <w:r>
        <w:rPr>
          <w:rFonts w:hint="eastAsia" w:ascii="Times New Roman" w:hAnsi="Times New Roman" w:eastAsia="宋体" w:cs="Times New Roman"/>
          <w:color w:val="auto"/>
          <w:sz w:val="24"/>
          <w:szCs w:val="24"/>
        </w:rPr>
        <w:t>预算金额：</w:t>
      </w: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rPr>
        <w:t xml:space="preserve">万元 </w:t>
      </w:r>
      <w:r>
        <w:rPr>
          <w:rFonts w:hint="eastAsia" w:ascii="Times New Roman" w:hAnsi="Times New Roman" w:eastAsia="宋体" w:cs="Times New Roman"/>
          <w:color w:val="auto"/>
          <w:sz w:val="24"/>
          <w:szCs w:val="24"/>
        </w:rPr>
        <w:t xml:space="preserve">   </w:t>
      </w:r>
    </w:p>
    <w:p w14:paraId="769617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宋体" w:hAnsi="宋体" w:eastAsia="宋体" w:cs="宋体"/>
          <w:color w:val="FF0000"/>
          <w:sz w:val="24"/>
          <w:szCs w:val="24"/>
        </w:rPr>
      </w:pP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信息化建设设备、办公设备及中心装修改造（</w:t>
      </w:r>
      <w:r>
        <w:rPr>
          <w:rFonts w:hint="eastAsia" w:ascii="宋体" w:hAnsi="宋体" w:eastAsia="宋体" w:cs="宋体"/>
          <w:color w:val="auto"/>
          <w:sz w:val="24"/>
          <w:szCs w:val="24"/>
        </w:rPr>
        <w:t>详见</w:t>
      </w:r>
      <w:r>
        <w:rPr>
          <w:rFonts w:hint="eastAsia" w:ascii="宋体" w:hAnsi="宋体" w:eastAsia="宋体" w:cs="宋体"/>
          <w:color w:val="auto"/>
          <w:sz w:val="24"/>
          <w:szCs w:val="24"/>
          <w:lang w:val="en-US" w:eastAsia="zh-CN"/>
        </w:rPr>
        <w:t>磋商文件</w:t>
      </w:r>
      <w:r>
        <w:rPr>
          <w:rFonts w:hint="eastAsia" w:ascii="宋体" w:hAnsi="宋体" w:eastAsia="宋体" w:cs="宋体"/>
          <w:color w:val="auto"/>
          <w:sz w:val="24"/>
          <w:szCs w:val="24"/>
          <w:lang w:eastAsia="zh-CN"/>
        </w:rPr>
        <w:t>）</w:t>
      </w:r>
    </w:p>
    <w:p w14:paraId="0FFF101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合同履行期限：合同签订</w:t>
      </w:r>
      <w:r>
        <w:rPr>
          <w:rFonts w:hint="eastAsia" w:ascii="Times New Roman" w:hAnsi="Times New Roman" w:eastAsia="宋体" w:cs="Times New Roman"/>
          <w:color w:val="auto"/>
          <w:sz w:val="24"/>
          <w:szCs w:val="24"/>
          <w:lang w:eastAsia="zh-CN"/>
        </w:rPr>
        <w:t>之日起</w:t>
      </w:r>
      <w:r>
        <w:rPr>
          <w:rFonts w:hint="eastAsia" w:ascii="Times New Roman" w:hAnsi="Times New Roman" w:eastAsia="宋体" w:cs="Times New Roman"/>
          <w:color w:val="auto"/>
          <w:sz w:val="24"/>
          <w:szCs w:val="24"/>
          <w:lang w:val="en-US" w:eastAsia="zh-CN"/>
        </w:rPr>
        <w:t>30个日历日内完成</w:t>
      </w:r>
    </w:p>
    <w:p w14:paraId="569D675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Times New Roman"/>
          <w:color w:val="auto"/>
          <w:sz w:val="24"/>
          <w:szCs w:val="24"/>
          <w:lang w:val="en-US" w:eastAsia="zh-CN"/>
        </w:rPr>
      </w:pPr>
      <w:r>
        <w:rPr>
          <w:rFonts w:hint="eastAsia" w:ascii="Times New Roman" w:hAnsi="Times New Roman" w:eastAsia="宋体" w:cs="Times New Roman"/>
          <w:color w:val="auto"/>
          <w:sz w:val="24"/>
          <w:szCs w:val="24"/>
        </w:rPr>
        <w:t>本项目</w:t>
      </w:r>
      <w:r>
        <w:rPr>
          <w:rFonts w:hint="eastAsia" w:ascii="宋体" w:hAnsi="宋体" w:eastAsia="宋体" w:cs="Times New Roman"/>
          <w:color w:val="auto"/>
          <w:sz w:val="24"/>
          <w:szCs w:val="24"/>
          <w:lang w:val="en-US" w:eastAsia="zh-CN"/>
        </w:rPr>
        <w:t>是否</w:t>
      </w:r>
      <w:r>
        <w:rPr>
          <w:rFonts w:hint="eastAsia" w:ascii="宋体" w:hAnsi="宋体" w:eastAsia="宋体" w:cs="Times New Roman"/>
          <w:color w:val="auto"/>
          <w:sz w:val="24"/>
          <w:szCs w:val="24"/>
        </w:rPr>
        <w:t>接受联合体投标</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14:paraId="51CD65B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default" w:ascii="宋体" w:hAnsi="宋体" w:eastAsia="宋体" w:cs="宋体"/>
          <w:color w:val="auto"/>
          <w:sz w:val="24"/>
          <w:szCs w:val="24"/>
          <w:lang w:val="en-US" w:eastAsia="zh-CN"/>
        </w:rPr>
      </w:pPr>
      <w:r>
        <w:rPr>
          <w:rFonts w:hint="eastAsia" w:ascii="宋体" w:hAnsi="宋体" w:eastAsia="宋体" w:cs="Times New Roman"/>
          <w:color w:val="auto"/>
          <w:sz w:val="24"/>
          <w:szCs w:val="24"/>
          <w:lang w:val="en-US" w:eastAsia="zh-CN"/>
        </w:rPr>
        <w:t>本项目是否</w:t>
      </w:r>
      <w:r>
        <w:rPr>
          <w:rFonts w:hint="eastAsia" w:ascii="宋体" w:hAnsi="宋体" w:eastAsia="宋体" w:cs="Times New Roman"/>
          <w:color w:val="auto"/>
          <w:sz w:val="24"/>
          <w:szCs w:val="24"/>
        </w:rPr>
        <w:t>允许分包或转包</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14:paraId="76C33743">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7" w:name="_Toc30736"/>
      <w:bookmarkStart w:id="8" w:name="_Toc28359013"/>
      <w:bookmarkStart w:id="9" w:name="_Toc35393799"/>
      <w:bookmarkStart w:id="10" w:name="_Toc35393630"/>
      <w:bookmarkStart w:id="11" w:name="_Toc28359090"/>
      <w:r>
        <w:rPr>
          <w:rFonts w:hint="eastAsia" w:ascii="Times New Roman" w:hAnsi="Times New Roman" w:eastAsia="宋体" w:cs="Times New Roman"/>
          <w:b/>
          <w:bCs/>
          <w:color w:val="auto"/>
          <w:sz w:val="24"/>
          <w:szCs w:val="24"/>
        </w:rPr>
        <w:t>二、申请人的资格要求：</w:t>
      </w:r>
      <w:bookmarkEnd w:id="7"/>
      <w:bookmarkEnd w:id="8"/>
      <w:bookmarkEnd w:id="9"/>
      <w:bookmarkEnd w:id="10"/>
      <w:bookmarkEnd w:id="11"/>
    </w:p>
    <w:p w14:paraId="279F8D0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bookmarkStart w:id="12" w:name="_Toc28359091"/>
      <w:bookmarkStart w:id="13" w:name="_Toc28359014"/>
      <w:r>
        <w:rPr>
          <w:rFonts w:hint="eastAsia" w:ascii="宋体" w:hAnsi="宋体" w:eastAsia="宋体" w:cs="宋体"/>
          <w:color w:val="auto"/>
          <w:sz w:val="24"/>
          <w:szCs w:val="24"/>
        </w:rPr>
        <w:t>1、满足《中华人民共和国政府采购法》第二十二条规定，即：</w:t>
      </w:r>
    </w:p>
    <w:p w14:paraId="403BFF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5E9231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14:paraId="633A77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14:paraId="58FAEE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14:paraId="74758AF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14:paraId="2187F58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14:paraId="0674EA7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2、单位负责人为同一人或者存在直接控股、管理关系的不同投标人，不得参加本项目同一合同项下的政府采购活动；</w:t>
      </w:r>
    </w:p>
    <w:p w14:paraId="6CDF8D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3、为本采购项目提供整体设计、规范编制或者项目管理、监理、检测等服务的，不得再参加本项目的其他招标采购活动；</w:t>
      </w:r>
    </w:p>
    <w:p w14:paraId="3D483EE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4、供应商在“信用中国”网站（www.creditchina.gov.cn）中未被列入失信被执行人、重大税收违法案件当事人名单和“中国政府采购”网站（www.ccgp.gov.cn）政府采购严重违法失信行为记录名单；</w:t>
      </w:r>
    </w:p>
    <w:p w14:paraId="2648E2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5、落实政府采购政策需满足的资格要求：</w:t>
      </w:r>
      <w:r>
        <w:rPr>
          <w:rFonts w:hint="eastAsia" w:ascii="宋体" w:hAnsi="宋体" w:eastAsia="宋体" w:cs="宋体"/>
          <w:color w:val="auto"/>
          <w:sz w:val="24"/>
          <w:szCs w:val="24"/>
          <w:lang w:eastAsia="zh-CN"/>
        </w:rPr>
        <w:t>无。</w:t>
      </w:r>
    </w:p>
    <w:p w14:paraId="1291E4A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6、本项目的特定资格要求：无</w:t>
      </w:r>
      <w:r>
        <w:rPr>
          <w:rFonts w:hint="eastAsia" w:ascii="宋体" w:hAnsi="宋体" w:eastAsia="宋体" w:cs="宋体"/>
          <w:color w:val="auto"/>
          <w:sz w:val="24"/>
          <w:szCs w:val="24"/>
          <w:lang w:eastAsia="zh-CN"/>
        </w:rPr>
        <w:t>。</w:t>
      </w:r>
    </w:p>
    <w:p w14:paraId="109A6DBC">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4" w:name="_Toc11217"/>
      <w:r>
        <w:rPr>
          <w:rFonts w:hint="eastAsia" w:ascii="Times New Roman" w:hAnsi="Times New Roman" w:eastAsia="宋体" w:cs="Times New Roman"/>
          <w:b/>
          <w:bCs/>
          <w:color w:val="auto"/>
          <w:sz w:val="24"/>
          <w:szCs w:val="24"/>
        </w:rPr>
        <w:t>三、获取采购文件</w:t>
      </w:r>
      <w:bookmarkEnd w:id="14"/>
    </w:p>
    <w:p w14:paraId="01596CF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时间：</w:t>
      </w:r>
      <w:r>
        <w:rPr>
          <w:rFonts w:hint="eastAsia" w:ascii="仿宋" w:hAnsi="仿宋" w:cs="仿宋"/>
          <w:color w:val="auto"/>
          <w:spacing w:val="-3"/>
          <w:sz w:val="24"/>
          <w:lang w:val="en-US" w:eastAsia="zh-CN"/>
        </w:rPr>
        <w:t>2022年6月7日至2022年6月13日，每天上午00:00 至12:00，下午12:00 至24:00（北京时间，法定节假日除外）。</w:t>
      </w:r>
    </w:p>
    <w:p w14:paraId="288BA12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cs="仿宋"/>
          <w:color w:val="auto"/>
          <w:spacing w:val="-2"/>
          <w:sz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rPr>
        <w:t>：</w:t>
      </w:r>
      <w:r>
        <w:rPr>
          <w:rFonts w:ascii="仿宋" w:hAnsi="仿宋" w:cs="仿宋"/>
          <w:color w:val="auto"/>
          <w:spacing w:val="-2"/>
          <w:sz w:val="24"/>
        </w:rPr>
        <w:t>登录</w:t>
      </w:r>
      <w:r>
        <w:rPr>
          <w:rFonts w:hint="eastAsia" w:ascii="仿宋" w:hAnsi="仿宋" w:cs="仿宋"/>
          <w:color w:val="auto"/>
          <w:spacing w:val="-2"/>
          <w:sz w:val="24"/>
          <w:lang w:eastAsia="zh-CN"/>
        </w:rPr>
        <w:t>随县</w:t>
      </w:r>
      <w:r>
        <w:rPr>
          <w:rFonts w:hint="eastAsia" w:ascii="仿宋" w:hAnsi="仿宋" w:cs="仿宋"/>
          <w:color w:val="auto"/>
          <w:spacing w:val="-2"/>
          <w:sz w:val="24"/>
        </w:rPr>
        <w:t>政府电子采购平台</w:t>
      </w:r>
      <w:r>
        <w:rPr>
          <w:rFonts w:ascii="仿宋" w:hAnsi="仿宋" w:cs="仿宋"/>
          <w:color w:val="auto"/>
          <w:spacing w:val="0"/>
          <w:sz w:val="24"/>
        </w:rPr>
        <w:t>直接获取</w:t>
      </w:r>
      <w:r>
        <w:rPr>
          <w:rFonts w:hint="eastAsia" w:ascii="仿宋" w:hAnsi="仿宋" w:cs="仿宋"/>
          <w:color w:val="auto"/>
          <w:spacing w:val="0"/>
          <w:sz w:val="24"/>
          <w:lang w:eastAsia="zh-CN"/>
        </w:rPr>
        <w:t>。</w:t>
      </w:r>
      <w:r>
        <w:rPr>
          <w:rFonts w:hint="eastAsia" w:ascii="仿宋" w:hAnsi="仿宋" w:cs="仿宋"/>
          <w:color w:val="auto"/>
          <w:spacing w:val="-3"/>
          <w:sz w:val="24"/>
          <w:lang w:eastAsia="zh-CN"/>
        </w:rPr>
        <w:t>（</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eastAsia="zh-CN"/>
        </w:rPr>
        <w:t>）</w:t>
      </w:r>
      <w:r>
        <w:rPr>
          <w:rFonts w:hint="eastAsia" w:ascii="仿宋" w:hAnsi="仿宋" w:cs="仿宋"/>
          <w:color w:val="auto"/>
          <w:spacing w:val="-3"/>
          <w:sz w:val="24"/>
          <w:lang w:val="en-US" w:eastAsia="zh-CN"/>
        </w:rPr>
        <w:t>流程如下：</w:t>
      </w:r>
    </w:p>
    <w:p w14:paraId="5F68D15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cs="宋体" w:eastAsiaTheme="minorEastAsia"/>
          <w:color w:val="auto"/>
          <w:sz w:val="24"/>
          <w:szCs w:val="24"/>
          <w:lang w:val="en-US" w:eastAsia="zh-CN"/>
        </w:rPr>
      </w:pPr>
      <w:r>
        <w:rPr>
          <w:rFonts w:ascii="宋体" w:hAnsi="宋体" w:eastAsia="宋体" w:cs="宋体"/>
          <w:color w:val="auto"/>
          <w:sz w:val="24"/>
          <w:szCs w:val="24"/>
        </w:rPr>
        <w:t>1</w:t>
      </w:r>
      <w:r>
        <w:rPr>
          <w:rFonts w:hint="eastAsia" w:ascii="宋体" w:hAnsi="宋体" w:eastAsia="宋体" w:cs="宋体"/>
          <w:color w:val="auto"/>
          <w:sz w:val="24"/>
          <w:szCs w:val="24"/>
        </w:rPr>
        <w:t>）</w:t>
      </w:r>
      <w:r>
        <w:rPr>
          <w:rFonts w:hint="eastAsia" w:ascii="仿宋" w:hAnsi="仿宋" w:cs="仿宋"/>
          <w:color w:val="auto"/>
          <w:spacing w:val="-3"/>
          <w:sz w:val="24"/>
        </w:rPr>
        <w:t>未注册账号的供应商。先完成账号注册，经审核通过后办理ＣＡ锁。方式：</w:t>
      </w:r>
      <w:r>
        <w:rPr>
          <w:rFonts w:hint="eastAsia" w:ascii="仿宋" w:hAnsi="仿宋" w:cs="仿宋"/>
          <w:color w:val="auto"/>
          <w:spacing w:val="-3"/>
          <w:sz w:val="24"/>
          <w:lang w:val="en-US" w:eastAsia="zh-CN"/>
        </w:rPr>
        <w:t>点击http://jycg.hubei.gov.cn进入湖北省公共资源电子交易（采购）平台</w:t>
      </w:r>
      <w:r>
        <w:rPr>
          <w:rFonts w:hint="eastAsia" w:ascii="仿宋" w:hAnsi="仿宋" w:cs="仿宋"/>
          <w:color w:val="auto"/>
          <w:spacing w:val="-3"/>
          <w:sz w:val="24"/>
        </w:rPr>
        <w:t>，点击“供应商”填写注册信息。供应商注册时应诚信客观、真实准确填写相关信息，不能弄虚作假或假冒他人名义。否则将按国家有关规定进行处理，并在有关网站上公示，由此产生的后果由供应商自行承担。注册信息审核通过后</w:t>
      </w:r>
      <w:r>
        <w:rPr>
          <w:rFonts w:hint="eastAsia" w:ascii="仿宋" w:hAnsi="仿宋" w:cs="仿宋"/>
          <w:color w:val="auto"/>
          <w:spacing w:val="-3"/>
          <w:sz w:val="24"/>
          <w:lang w:eastAsia="zh-CN"/>
        </w:rPr>
        <w:t>，</w:t>
      </w:r>
      <w:r>
        <w:rPr>
          <w:rFonts w:hint="eastAsia" w:ascii="仿宋" w:hAnsi="仿宋" w:cs="仿宋"/>
          <w:color w:val="auto"/>
          <w:spacing w:val="-3"/>
          <w:sz w:val="24"/>
        </w:rPr>
        <w:t>可进行 CA 锁办理</w:t>
      </w:r>
      <w:r>
        <w:rPr>
          <w:rFonts w:hint="eastAsia" w:ascii="仿宋" w:hAnsi="仿宋" w:cs="仿宋"/>
          <w:color w:val="auto"/>
          <w:spacing w:val="-3"/>
          <w:sz w:val="24"/>
          <w:lang w:eastAsia="zh-CN"/>
        </w:rPr>
        <w:t>。</w:t>
      </w:r>
    </w:p>
    <w:p w14:paraId="3E656D83">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eastAsia" w:ascii="仿宋" w:hAnsi="仿宋" w:cs="仿宋"/>
          <w:color w:val="auto"/>
          <w:spacing w:val="-3"/>
          <w:sz w:val="24"/>
        </w:rPr>
      </w:pPr>
      <w:r>
        <w:rPr>
          <w:rFonts w:hint="eastAsia" w:ascii="仿宋" w:hAnsi="仿宋" w:cs="仿宋"/>
          <w:color w:val="auto"/>
          <w:spacing w:val="-3"/>
          <w:sz w:val="24"/>
        </w:rPr>
        <w:t>2）已办理 CA 的供应商。登录</w:t>
      </w:r>
      <w:r>
        <w:rPr>
          <w:rFonts w:hint="eastAsia" w:ascii="仿宋" w:hAnsi="仿宋" w:cs="仿宋"/>
          <w:color w:val="auto"/>
          <w:spacing w:val="-3"/>
          <w:sz w:val="24"/>
          <w:lang w:eastAsia="zh-CN"/>
        </w:rPr>
        <w:t>随县</w:t>
      </w:r>
      <w:r>
        <w:rPr>
          <w:rFonts w:hint="eastAsia" w:ascii="仿宋" w:hAnsi="仿宋" w:cs="仿宋"/>
          <w:color w:val="auto"/>
          <w:spacing w:val="-3"/>
          <w:sz w:val="24"/>
        </w:rPr>
        <w:t>政府</w:t>
      </w:r>
      <w:r>
        <w:rPr>
          <w:rFonts w:hint="eastAsia" w:ascii="仿宋" w:hAnsi="仿宋" w:cs="仿宋"/>
          <w:color w:val="auto"/>
          <w:spacing w:val="-3"/>
          <w:sz w:val="24"/>
          <w:lang w:eastAsia="zh-CN"/>
        </w:rPr>
        <w:t>电子</w:t>
      </w:r>
      <w:r>
        <w:rPr>
          <w:rFonts w:hint="eastAsia" w:ascii="仿宋" w:hAnsi="仿宋" w:cs="仿宋"/>
          <w:color w:val="auto"/>
          <w:spacing w:val="-3"/>
          <w:sz w:val="24"/>
        </w:rPr>
        <w:t>采购</w:t>
      </w:r>
      <w:r>
        <w:rPr>
          <w:rFonts w:hint="eastAsia" w:ascii="仿宋" w:hAnsi="仿宋" w:cs="仿宋"/>
          <w:color w:val="auto"/>
          <w:spacing w:val="-3"/>
          <w:sz w:val="24"/>
          <w:lang w:eastAsia="zh-CN"/>
        </w:rPr>
        <w:t>平台</w:t>
      </w:r>
      <w:r>
        <w:rPr>
          <w:rFonts w:hint="eastAsia" w:ascii="仿宋" w:hAnsi="仿宋" w:cs="仿宋"/>
          <w:color w:val="auto"/>
          <w:spacing w:val="-3"/>
          <w:sz w:val="24"/>
        </w:rPr>
        <w:t>，可在获取文件有效时间内直接下载采购文件。</w:t>
      </w:r>
    </w:p>
    <w:p w14:paraId="640F0342">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5" w:name="_Toc19714"/>
      <w:r>
        <w:rPr>
          <w:rFonts w:hint="eastAsia" w:ascii="Times New Roman" w:hAnsi="Times New Roman" w:eastAsia="宋体" w:cs="Times New Roman"/>
          <w:b/>
          <w:bCs/>
          <w:color w:val="auto"/>
          <w:sz w:val="24"/>
          <w:szCs w:val="24"/>
        </w:rPr>
        <w:t>四、响应文件提交</w:t>
      </w:r>
      <w:bookmarkEnd w:id="15"/>
    </w:p>
    <w:p w14:paraId="6AAC3E4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1、开始时间：2022年6月13日00点00分（北京时间）</w:t>
      </w:r>
    </w:p>
    <w:p w14:paraId="27F419D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截止时间：</w:t>
      </w:r>
      <w:r>
        <w:rPr>
          <w:rFonts w:hint="eastAsia" w:ascii="宋体" w:hAnsi="宋体" w:eastAsia="宋体" w:cs="宋体"/>
          <w:color w:val="auto"/>
          <w:sz w:val="24"/>
          <w:szCs w:val="24"/>
          <w:lang w:val="en-US" w:eastAsia="zh-CN"/>
        </w:rPr>
        <w:t>2022年6月17日09点30分（北京时间）</w:t>
      </w:r>
    </w:p>
    <w:p w14:paraId="2E1981F7">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cs="仿宋"/>
          <w:color w:val="auto"/>
          <w:spacing w:val="-3"/>
          <w:sz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政府电子采购平台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（https://dzcg.hubeigp.gov.cn/assets/special/100/hbenterpoint.html）</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rPr>
        <w:t>。</w:t>
      </w:r>
      <w:r>
        <w:rPr>
          <w:rFonts w:ascii="宋体" w:hAnsi="宋体" w:eastAsia="宋体" w:cs="宋体"/>
          <w:color w:val="auto"/>
          <w:sz w:val="24"/>
          <w:szCs w:val="24"/>
        </w:rPr>
        <w:t xml:space="preserve"> </w:t>
      </w:r>
      <w:r>
        <w:rPr>
          <w:rFonts w:hint="eastAsia" w:ascii="仿宋" w:hAnsi="仿宋" w:cs="仿宋"/>
          <w:color w:val="auto"/>
          <w:spacing w:val="-3"/>
          <w:sz w:val="24"/>
        </w:rPr>
        <w:t>将加密的电子响应文件上传到项目所属区域内的电子响应文件栏目。逾期未完成上传或未按规定加密的响应文件，采购人</w:t>
      </w:r>
      <w:r>
        <w:rPr>
          <w:rFonts w:hint="eastAsia" w:ascii="仿宋" w:hAnsi="仿宋" w:cs="仿宋"/>
          <w:color w:val="auto"/>
          <w:spacing w:val="-3"/>
          <w:sz w:val="24"/>
          <w:lang w:eastAsia="zh-CN"/>
        </w:rPr>
        <w:t>或集采机构</w:t>
      </w:r>
      <w:r>
        <w:rPr>
          <w:rFonts w:hint="eastAsia" w:ascii="仿宋" w:hAnsi="仿宋" w:cs="仿宋"/>
          <w:color w:val="auto"/>
          <w:spacing w:val="-3"/>
          <w:sz w:val="24"/>
        </w:rPr>
        <w:t>将拒收。</w:t>
      </w:r>
    </w:p>
    <w:p w14:paraId="3B96FEC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1"/>
        <w:rPr>
          <w:rFonts w:ascii="宋体" w:hAnsi="宋体" w:eastAsia="宋体" w:cs="宋体"/>
          <w:color w:val="auto"/>
          <w:sz w:val="24"/>
          <w:szCs w:val="24"/>
        </w:rPr>
      </w:pPr>
      <w:bookmarkStart w:id="16" w:name="_Toc10375"/>
      <w:r>
        <w:rPr>
          <w:rFonts w:hint="eastAsia" w:ascii="Times New Roman" w:hAnsi="Times New Roman" w:eastAsia="宋体" w:cs="Times New Roman"/>
          <w:b/>
          <w:bCs/>
          <w:color w:val="auto"/>
          <w:sz w:val="24"/>
          <w:szCs w:val="24"/>
        </w:rPr>
        <w:t>开启</w:t>
      </w:r>
      <w:bookmarkEnd w:id="16"/>
    </w:p>
    <w:p w14:paraId="20016866">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firstLine="480" w:firstLineChars="200"/>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2022年6月17日09点30分（北京时间）</w:t>
      </w:r>
    </w:p>
    <w:p w14:paraId="331FF6FE">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firstLine="480" w:firstLineChars="200"/>
        <w:textAlignment w:val="auto"/>
        <w:outlineLvl w:val="1"/>
        <w:rPr>
          <w:rFonts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政府电子采购平台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。（https://dzcg.hubeigp.gov.cn/assets/special/100/hbenterpoint.html）</w:t>
      </w:r>
      <w:r>
        <w:rPr>
          <w:rFonts w:ascii="宋体" w:hAnsi="宋体" w:eastAsia="宋体" w:cs="宋体"/>
          <w:color w:val="auto"/>
          <w:sz w:val="24"/>
          <w:szCs w:val="24"/>
        </w:rPr>
        <w:t xml:space="preserve"> </w:t>
      </w:r>
    </w:p>
    <w:p w14:paraId="5EA25A1A">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7" w:name="_Toc15197"/>
      <w:r>
        <w:rPr>
          <w:rFonts w:hint="eastAsia" w:ascii="Times New Roman" w:hAnsi="Times New Roman" w:eastAsia="宋体" w:cs="Times New Roman"/>
          <w:b/>
          <w:bCs/>
          <w:color w:val="auto"/>
          <w:sz w:val="24"/>
          <w:szCs w:val="24"/>
        </w:rPr>
        <w:t>六、公告期限</w:t>
      </w:r>
      <w:bookmarkEnd w:id="17"/>
    </w:p>
    <w:p w14:paraId="64951687">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14:paraId="0558FA9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textAlignment w:val="auto"/>
        <w:outlineLvl w:val="1"/>
        <w:rPr>
          <w:rFonts w:ascii="宋体" w:hAnsi="宋体" w:eastAsia="宋体" w:cs="宋体"/>
          <w:b/>
          <w:bCs/>
          <w:color w:val="auto"/>
          <w:sz w:val="24"/>
          <w:szCs w:val="24"/>
        </w:rPr>
      </w:pPr>
      <w:bookmarkStart w:id="18" w:name="_Toc10908"/>
      <w:r>
        <w:rPr>
          <w:rFonts w:hint="eastAsia" w:ascii="宋体" w:hAnsi="宋体" w:eastAsia="宋体" w:cs="宋体"/>
          <w:b/>
          <w:bCs/>
          <w:color w:val="auto"/>
          <w:sz w:val="24"/>
          <w:szCs w:val="24"/>
        </w:rPr>
        <w:t>其它补充事宜</w:t>
      </w:r>
      <w:bookmarkEnd w:id="18"/>
    </w:p>
    <w:p w14:paraId="140A228D">
      <w:pPr>
        <w:pStyle w:val="17"/>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default" w:eastAsiaTheme="minorEastAsia"/>
          <w:color w:val="auto"/>
          <w:lang w:val="en-US" w:eastAsia="zh-CN"/>
        </w:rPr>
      </w:pPr>
      <w:r>
        <w:rPr>
          <w:rFonts w:hint="eastAsia" w:ascii="宋体" w:hAnsi="宋体" w:eastAsia="宋体" w:cs="宋体"/>
          <w:b/>
          <w:bCs/>
          <w:color w:val="auto"/>
          <w:sz w:val="24"/>
          <w:szCs w:val="24"/>
          <w:lang w:val="en-US" w:eastAsia="zh-CN"/>
        </w:rPr>
        <w:t xml:space="preserve">    1、</w:t>
      </w:r>
      <w:r>
        <w:rPr>
          <w:rFonts w:ascii="仿宋" w:hAnsi="仿宋" w:cs="仿宋"/>
          <w:color w:val="auto"/>
          <w:spacing w:val="0"/>
          <w:sz w:val="24"/>
        </w:rPr>
        <w:t>供应商无需提交纸质响应文件，需于截止时间前在</w:t>
      </w:r>
      <w:r>
        <w:rPr>
          <w:rFonts w:hint="eastAsia" w:ascii="仿宋" w:hAnsi="仿宋" w:cs="仿宋"/>
          <w:color w:val="auto"/>
          <w:spacing w:val="0"/>
          <w:sz w:val="24"/>
          <w:lang w:eastAsia="zh-CN"/>
        </w:rPr>
        <w:t>随县</w:t>
      </w:r>
      <w:r>
        <w:rPr>
          <w:rFonts w:ascii="仿宋" w:hAnsi="仿宋" w:cs="仿宋"/>
          <w:color w:val="auto"/>
          <w:spacing w:val="0"/>
          <w:sz w:val="24"/>
        </w:rPr>
        <w:t>政府</w:t>
      </w:r>
      <w:r>
        <w:rPr>
          <w:rFonts w:hint="eastAsia" w:ascii="仿宋" w:hAnsi="仿宋" w:cs="仿宋"/>
          <w:color w:val="auto"/>
          <w:spacing w:val="0"/>
          <w:sz w:val="24"/>
          <w:lang w:eastAsia="zh-CN"/>
        </w:rPr>
        <w:t>电子</w:t>
      </w:r>
      <w:r>
        <w:rPr>
          <w:rFonts w:ascii="仿宋" w:hAnsi="仿宋" w:cs="仿宋"/>
          <w:color w:val="auto"/>
          <w:spacing w:val="0"/>
          <w:sz w:val="24"/>
        </w:rPr>
        <w:t>采购</w:t>
      </w:r>
      <w:r>
        <w:rPr>
          <w:rFonts w:hint="eastAsia" w:ascii="仿宋" w:hAnsi="仿宋" w:cs="仿宋"/>
          <w:color w:val="auto"/>
          <w:spacing w:val="0"/>
          <w:sz w:val="24"/>
          <w:lang w:val="en-US" w:eastAsia="zh-CN"/>
        </w:rPr>
        <w:t>平台上传电子响应文件一份。投标过程中如遇系统操作问题可咨询：0722-3325097、全省供应商</w:t>
      </w:r>
      <w:r>
        <w:rPr>
          <w:color w:val="auto"/>
          <w:sz w:val="24"/>
        </w:rPr>
        <w:t>QQ群：</w:t>
      </w:r>
      <w:r>
        <w:rPr>
          <w:rFonts w:hint="eastAsia"/>
          <w:color w:val="auto"/>
          <w:sz w:val="24"/>
          <w:lang w:val="en-US" w:eastAsia="zh-CN"/>
        </w:rPr>
        <w:t>463671735 / 966545752</w:t>
      </w:r>
      <w:r>
        <w:rPr>
          <w:color w:val="auto"/>
          <w:sz w:val="24"/>
        </w:rPr>
        <w:t>，联系电话：</w:t>
      </w:r>
      <w:r>
        <w:rPr>
          <w:rFonts w:hint="eastAsia"/>
          <w:color w:val="auto"/>
          <w:sz w:val="24"/>
          <w:lang w:val="en-US" w:eastAsia="zh-CN"/>
        </w:rPr>
        <w:t>4009913966</w:t>
      </w:r>
    </w:p>
    <w:p w14:paraId="6B5F91E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2、政府采购相关政策执行：落实政府采购强制、优先采购节能产品政策；政府采购优先采购环保产品政策；政府采购促进中小企业发展（监狱企业、残疾人福利性单位视同小微企业）等政策。</w:t>
      </w:r>
    </w:p>
    <w:p w14:paraId="4CBAD7E5">
      <w:pPr>
        <w:overflowPunct w:val="0"/>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 质疑：供应商对磋商文件、采购过程和中标结果使自己的权益受到损害的，可以在知道或者应知其权益受到损害之日起7个工作日内，向</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公共资源交易中心提出质疑。质疑提出时间以提供书面质疑书记载为准。联系人</w:t>
      </w:r>
      <w:r>
        <w:rPr>
          <w:rFonts w:hint="eastAsia" w:ascii="宋体" w:hAnsi="宋体" w:eastAsia="宋体" w:cs="宋体"/>
          <w:color w:val="auto"/>
          <w:sz w:val="24"/>
          <w:szCs w:val="24"/>
          <w:lang w:eastAsia="zh-CN"/>
        </w:rPr>
        <w:t>：钦盼</w:t>
      </w:r>
      <w:r>
        <w:rPr>
          <w:rFonts w:hint="eastAsia" w:ascii="宋体" w:hAnsi="宋体" w:eastAsia="宋体" w:cs="宋体"/>
          <w:color w:val="auto"/>
          <w:sz w:val="24"/>
          <w:szCs w:val="24"/>
        </w:rPr>
        <w:t>；联系电话：0722-</w:t>
      </w:r>
      <w:r>
        <w:rPr>
          <w:rFonts w:hint="eastAsia" w:ascii="宋体" w:hAnsi="宋体" w:eastAsia="宋体" w:cs="宋体"/>
          <w:color w:val="auto"/>
          <w:sz w:val="24"/>
          <w:szCs w:val="24"/>
          <w:lang w:val="en-US" w:eastAsia="zh-CN"/>
        </w:rPr>
        <w:t>3563205</w:t>
      </w:r>
      <w:r>
        <w:rPr>
          <w:rFonts w:hint="eastAsia" w:ascii="宋体" w:hAnsi="宋体" w:eastAsia="宋体" w:cs="宋体"/>
          <w:color w:val="auto"/>
          <w:sz w:val="24"/>
          <w:szCs w:val="24"/>
        </w:rPr>
        <w:t>； 联系地址：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r>
        <w:rPr>
          <w:rFonts w:hint="eastAsia" w:ascii="宋体" w:hAnsi="宋体" w:eastAsia="宋体" w:cs="宋体"/>
          <w:color w:val="auto"/>
          <w:sz w:val="24"/>
          <w:szCs w:val="24"/>
          <w:lang w:eastAsia="zh-CN"/>
        </w:rPr>
        <w:t>。</w:t>
      </w:r>
    </w:p>
    <w:p w14:paraId="4CD0C08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lang w:eastAsia="zh-CN"/>
        </w:rPr>
      </w:pPr>
      <w:r>
        <w:rPr>
          <w:rFonts w:hint="eastAsia" w:ascii="宋体" w:hAnsi="宋体" w:eastAsia="宋体" w:cs="宋体"/>
          <w:color w:val="auto"/>
          <w:sz w:val="24"/>
          <w:szCs w:val="24"/>
          <w:lang w:val="en-US" w:eastAsia="zh-CN"/>
        </w:rPr>
        <w:t>4、为支持扶持中小微企业及推进“政采贷”政策落实，目前随县已开通的“政采贷”银行有2家，联系方式如下：（1）建设银行随县支行：0722-3338009；（2）邮储银行随县支行：0722-3338922。</w:t>
      </w:r>
    </w:p>
    <w:bookmarkEnd w:id="12"/>
    <w:bookmarkEnd w:id="13"/>
    <w:p w14:paraId="5898B586">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9" w:name="_Toc20538"/>
      <w:bookmarkStart w:id="20" w:name="_Toc35393805"/>
      <w:bookmarkStart w:id="21" w:name="_Toc35393636"/>
      <w:bookmarkStart w:id="22" w:name="_Toc24012"/>
      <w:bookmarkStart w:id="23" w:name="_Toc28359018"/>
      <w:bookmarkStart w:id="24" w:name="_Toc28359095"/>
      <w:r>
        <w:rPr>
          <w:rFonts w:hint="eastAsia" w:ascii="Times New Roman" w:hAnsi="Times New Roman" w:eastAsia="宋体" w:cs="Times New Roman"/>
          <w:b/>
          <w:bCs/>
          <w:color w:val="auto"/>
          <w:sz w:val="24"/>
          <w:szCs w:val="24"/>
        </w:rPr>
        <w:t>八、凡对本次采购提出询问，请按</w:t>
      </w:r>
      <w:r>
        <w:rPr>
          <w:rFonts w:ascii="Times New Roman" w:hAnsi="Times New Roman" w:eastAsia="宋体" w:cs="Times New Roman"/>
          <w:b/>
          <w:bCs/>
          <w:color w:val="auto"/>
          <w:sz w:val="24"/>
          <w:szCs w:val="24"/>
        </w:rPr>
        <w:t>以下方式</w:t>
      </w:r>
      <w:r>
        <w:rPr>
          <w:rFonts w:hint="eastAsia" w:ascii="Times New Roman" w:hAnsi="Times New Roman" w:eastAsia="宋体" w:cs="Times New Roman"/>
          <w:b/>
          <w:bCs/>
          <w:color w:val="auto"/>
          <w:sz w:val="24"/>
          <w:szCs w:val="24"/>
        </w:rPr>
        <w:t>联系。</w:t>
      </w:r>
      <w:bookmarkEnd w:id="19"/>
      <w:bookmarkEnd w:id="20"/>
      <w:bookmarkEnd w:id="21"/>
      <w:bookmarkEnd w:id="22"/>
      <w:bookmarkEnd w:id="23"/>
      <w:bookmarkEnd w:id="24"/>
    </w:p>
    <w:p w14:paraId="222F26A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1.采购人信息</w:t>
      </w:r>
    </w:p>
    <w:p w14:paraId="1A81037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随县林业局</w:t>
      </w:r>
    </w:p>
    <w:p w14:paraId="1E8FFD9D">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随县杨林路与利民路交汇处</w:t>
      </w:r>
    </w:p>
    <w:p w14:paraId="46DBE6F3">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联系人：胡**</w:t>
      </w:r>
      <w:r>
        <w:rPr>
          <w:rFonts w:hint="eastAsia" w:ascii="宋体" w:hAnsi="宋体" w:eastAsia="宋体" w:cs="宋体"/>
          <w:color w:val="auto"/>
          <w:sz w:val="24"/>
          <w:szCs w:val="24"/>
          <w:lang w:val="en-US" w:eastAsia="zh-CN"/>
        </w:rPr>
        <w:tab/>
      </w:r>
    </w:p>
    <w:p w14:paraId="3B830743">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bookmarkStart w:id="25" w:name="_Toc35393638"/>
      <w:bookmarkStart w:id="26" w:name="_Toc35393807"/>
      <w:bookmarkStart w:id="27" w:name="_Toc28359097"/>
      <w:bookmarkStart w:id="28" w:name="_Toc28359020"/>
      <w:r>
        <w:rPr>
          <w:rFonts w:hint="eastAsia" w:ascii="宋体" w:hAnsi="宋体" w:eastAsia="宋体" w:cs="宋体"/>
          <w:color w:val="auto"/>
          <w:sz w:val="24"/>
          <w:szCs w:val="24"/>
          <w:lang w:val="en-US" w:eastAsia="zh-CN"/>
        </w:rPr>
        <w:t>13597839936</w:t>
      </w:r>
    </w:p>
    <w:p w14:paraId="4AB4EBB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2.采购代理机构信息</w:t>
      </w:r>
      <w:bookmarkEnd w:id="25"/>
      <w:bookmarkEnd w:id="26"/>
      <w:bookmarkEnd w:id="27"/>
      <w:bookmarkEnd w:id="28"/>
    </w:p>
    <w:p w14:paraId="1683A251">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名  称：</w:t>
      </w:r>
      <w:r>
        <w:rPr>
          <w:rFonts w:hint="eastAsia" w:ascii="宋体" w:hAnsi="宋体" w:cs="宋体"/>
          <w:color w:val="auto"/>
          <w:sz w:val="24"/>
          <w:szCs w:val="24"/>
          <w:lang w:eastAsia="zh-CN"/>
        </w:rPr>
        <w:t>随县</w:t>
      </w:r>
      <w:r>
        <w:rPr>
          <w:rFonts w:hint="eastAsia" w:ascii="宋体" w:hAnsi="宋体" w:cs="宋体"/>
          <w:color w:val="auto"/>
          <w:sz w:val="24"/>
          <w:szCs w:val="24"/>
        </w:rPr>
        <w:t>政府采购中心</w:t>
      </w:r>
    </w:p>
    <w:p w14:paraId="54D4CE5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p>
    <w:p w14:paraId="2F1641C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联系电话：0722-</w:t>
      </w:r>
      <w:r>
        <w:rPr>
          <w:rFonts w:hint="eastAsia" w:ascii="宋体" w:hAnsi="宋体" w:eastAsia="宋体" w:cs="宋体"/>
          <w:color w:val="auto"/>
          <w:sz w:val="24"/>
          <w:szCs w:val="24"/>
          <w:lang w:val="en-US" w:eastAsia="zh-CN"/>
        </w:rPr>
        <w:t>3563205</w:t>
      </w:r>
    </w:p>
    <w:p w14:paraId="35E66EB1">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right"/>
        <w:textAlignment w:val="auto"/>
        <w:rPr>
          <w:rFonts w:hint="eastAsia" w:asciiTheme="minorEastAsia" w:hAnsiTheme="minorEastAsia" w:cstheme="minorEastAsia"/>
          <w:color w:val="auto"/>
          <w:sz w:val="24"/>
          <w:szCs w:val="24"/>
        </w:rPr>
      </w:pPr>
    </w:p>
    <w:p w14:paraId="36C917B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eastAsia="zh-CN"/>
        </w:rPr>
        <w:t>随县</w:t>
      </w:r>
      <w:r>
        <w:rPr>
          <w:rFonts w:hint="eastAsia" w:asciiTheme="minorEastAsia" w:hAnsiTheme="minorEastAsia" w:cstheme="minorEastAsia"/>
          <w:color w:val="auto"/>
          <w:sz w:val="24"/>
          <w:szCs w:val="24"/>
        </w:rPr>
        <w:t>政府采购中心</w:t>
      </w:r>
    </w:p>
    <w:p w14:paraId="6ADF3613">
      <w:pPr>
        <w:keepNext w:val="0"/>
        <w:keepLines w:val="0"/>
        <w:pageBreakBefore w:val="0"/>
        <w:widowControl w:val="0"/>
        <w:kinsoku/>
        <w:wordWrap/>
        <w:overflowPunct/>
        <w:topLinePunct w:val="0"/>
        <w:autoSpaceDE/>
        <w:autoSpaceDN/>
        <w:bidi w:val="0"/>
        <w:adjustRightInd/>
        <w:snapToGrid/>
        <w:spacing w:line="360" w:lineRule="auto"/>
        <w:ind w:right="0" w:rightChars="0" w:firstLine="6480" w:firstLineChars="2700"/>
        <w:textAlignment w:val="auto"/>
        <w:rPr>
          <w:rFonts w:hint="eastAsia" w:ascii="Times New Roman" w:hAnsi="Times New Roman" w:cs="Times New Roman"/>
          <w:b/>
          <w:color w:val="auto"/>
          <w:sz w:val="36"/>
          <w:szCs w:val="36"/>
          <w:lang w:val="hr-HR" w:bidi="ar-EG"/>
        </w:rPr>
      </w:pPr>
      <w:r>
        <w:rPr>
          <w:rFonts w:asciiTheme="minorEastAsia" w:hAnsiTheme="minorEastAsia" w:cstheme="minorEastAsia"/>
          <w:color w:val="auto"/>
          <w:sz w:val="24"/>
          <w:szCs w:val="24"/>
        </w:rPr>
        <w:t>20</w:t>
      </w:r>
      <w:r>
        <w:rPr>
          <w:rFonts w:hint="eastAsia" w:asciiTheme="minorEastAsia" w:hAnsiTheme="minorEastAsia" w:cstheme="minorEastAsia"/>
          <w:color w:val="auto"/>
          <w:sz w:val="24"/>
          <w:szCs w:val="24"/>
        </w:rPr>
        <w:t>2</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年</w:t>
      </w:r>
      <w:r>
        <w:rPr>
          <w:rFonts w:hint="eastAsia" w:asciiTheme="minorEastAsia" w:hAnsiTheme="minorEastAsia" w:cstheme="minorEastAsia"/>
          <w:color w:val="auto"/>
          <w:sz w:val="24"/>
          <w:szCs w:val="24"/>
          <w:lang w:val="en-US" w:eastAsia="zh-CN"/>
        </w:rPr>
        <w:t>5</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lang w:val="en-US" w:eastAsia="zh-CN"/>
        </w:rPr>
        <w:t>27</w:t>
      </w:r>
      <w:r>
        <w:rPr>
          <w:rFonts w:hint="eastAsia" w:asciiTheme="minorEastAsia" w:hAnsiTheme="minorEastAsia" w:cstheme="minorEastAsia"/>
          <w:color w:val="auto"/>
          <w:sz w:val="24"/>
          <w:szCs w:val="24"/>
        </w:rPr>
        <w:t>日</w:t>
      </w:r>
    </w:p>
    <w:p w14:paraId="35EA9CB8">
      <w:pPr>
        <w:keepNext w:val="0"/>
        <w:keepLines w:val="0"/>
        <w:pageBreakBefore w:val="0"/>
        <w:widowControl w:val="0"/>
        <w:kinsoku/>
        <w:wordWrap/>
        <w:overflowPunct/>
        <w:topLinePunct w:val="0"/>
        <w:autoSpaceDE/>
        <w:autoSpaceDN/>
        <w:bidi w:val="0"/>
        <w:adjustRightInd/>
        <w:spacing w:line="500" w:lineRule="exact"/>
        <w:ind w:right="630" w:rightChars="300"/>
        <w:jc w:val="center"/>
        <w:textAlignment w:val="auto"/>
        <w:outlineLvl w:val="9"/>
        <w:rPr>
          <w:rFonts w:hint="eastAsia" w:ascii="Times New Roman" w:hAnsi="Times New Roman" w:cs="Times New Roman"/>
          <w:b/>
          <w:color w:val="auto"/>
          <w:sz w:val="36"/>
          <w:szCs w:val="36"/>
          <w:lang w:val="hr-HR" w:bidi="ar-EG"/>
        </w:rPr>
      </w:pPr>
      <w:bookmarkStart w:id="29" w:name="_Toc6463"/>
    </w:p>
    <w:p w14:paraId="0D9D1C7D">
      <w:pPr>
        <w:pStyle w:val="2"/>
        <w:rPr>
          <w:rFonts w:hint="eastAsia" w:ascii="Times New Roman" w:hAnsi="Times New Roman" w:cs="Times New Roman"/>
          <w:b/>
          <w:color w:val="auto"/>
          <w:sz w:val="36"/>
          <w:szCs w:val="36"/>
          <w:lang w:val="hr-HR" w:bidi="ar-EG"/>
        </w:rPr>
      </w:pPr>
    </w:p>
    <w:bookmarkEnd w:id="29"/>
    <w:p w14:paraId="547A419D">
      <w:pPr>
        <w:rPr>
          <w:color w:val="auto"/>
        </w:rPr>
      </w:pPr>
      <w:bookmarkStart w:id="30" w:name="_Toc22032"/>
    </w:p>
    <w:p w14:paraId="00058580">
      <w:pPr>
        <w:keepNext w:val="0"/>
        <w:keepLines w:val="0"/>
        <w:pageBreakBefore w:val="0"/>
        <w:widowControl w:val="0"/>
        <w:kinsoku/>
        <w:wordWrap/>
        <w:overflowPunct/>
        <w:topLinePunct w:val="0"/>
        <w:autoSpaceDE/>
        <w:autoSpaceDN/>
        <w:bidi w:val="0"/>
        <w:adjustRightInd/>
        <w:spacing w:line="500" w:lineRule="exact"/>
        <w:ind w:right="630" w:rightChars="300"/>
        <w:jc w:val="center"/>
        <w:textAlignment w:val="auto"/>
        <w:outlineLvl w:val="0"/>
        <w:rPr>
          <w:rFonts w:ascii="Times New Roman" w:hAnsi="Times New Roman" w:cs="Times New Roman"/>
          <w:b/>
          <w:color w:val="auto"/>
          <w:sz w:val="36"/>
          <w:szCs w:val="36"/>
          <w:lang w:val="hr-HR" w:bidi="ar-EG"/>
        </w:rPr>
      </w:pPr>
      <w:bookmarkStart w:id="31" w:name="_Toc6368"/>
      <w:r>
        <w:rPr>
          <w:rFonts w:hint="eastAsia" w:ascii="Times New Roman" w:hAnsi="Times New Roman" w:cs="Times New Roman"/>
          <w:b/>
          <w:color w:val="auto"/>
          <w:sz w:val="36"/>
          <w:szCs w:val="36"/>
          <w:lang w:val="hr-HR" w:bidi="ar-EG"/>
        </w:rPr>
        <w:t>第二章磋商须知</w:t>
      </w:r>
      <w:bookmarkEnd w:id="31"/>
    </w:p>
    <w:p w14:paraId="4BC1156C">
      <w:pPr>
        <w:keepNext w:val="0"/>
        <w:keepLines w:val="0"/>
        <w:pageBreakBefore w:val="0"/>
        <w:widowControl w:val="0"/>
        <w:kinsoku/>
        <w:wordWrap/>
        <w:overflowPunct/>
        <w:topLinePunct w:val="0"/>
        <w:autoSpaceDE/>
        <w:autoSpaceDN/>
        <w:bidi w:val="0"/>
        <w:adjustRightInd/>
        <w:snapToGrid w:val="0"/>
        <w:ind w:left="-109" w:leftChars="-52" w:right="630" w:rightChars="300" w:firstLine="1"/>
        <w:jc w:val="center"/>
        <w:textAlignment w:val="auto"/>
        <w:outlineLvl w:val="9"/>
        <w:rPr>
          <w:rFonts w:ascii="Times New Roman" w:hAnsi="Times New Roman" w:cs="Times New Roman"/>
          <w:b/>
          <w:bCs/>
          <w:color w:val="auto"/>
          <w:sz w:val="24"/>
          <w:szCs w:val="24"/>
        </w:rPr>
      </w:pPr>
    </w:p>
    <w:p w14:paraId="3A9C7A9D">
      <w:pPr>
        <w:pStyle w:val="160"/>
        <w:keepNext w:val="0"/>
        <w:keepLines w:val="0"/>
        <w:pageBreakBefore w:val="0"/>
        <w:widowControl w:val="0"/>
        <w:numPr>
          <w:ilvl w:val="0"/>
          <w:numId w:val="7"/>
        </w:numPr>
        <w:kinsoku/>
        <w:wordWrap/>
        <w:overflowPunct/>
        <w:topLinePunct w:val="0"/>
        <w:autoSpaceDE/>
        <w:autoSpaceDN/>
        <w:bidi w:val="0"/>
        <w:adjustRightInd/>
        <w:ind w:left="0" w:leftChars="0" w:right="630" w:rightChars="300" w:firstLine="0" w:firstLineChars="0"/>
        <w:jc w:val="center"/>
        <w:textAlignment w:val="auto"/>
        <w:rPr>
          <w:rFonts w:ascii="Times New Roman" w:hAnsi="Times New Roman"/>
          <w:b/>
          <w:color w:val="auto"/>
          <w:sz w:val="24"/>
          <w:szCs w:val="24"/>
        </w:rPr>
      </w:pPr>
      <w:r>
        <w:rPr>
          <w:rFonts w:hint="eastAsia" w:ascii="Times New Roman" w:hAnsi="Times New Roman"/>
          <w:b/>
          <w:color w:val="auto"/>
          <w:sz w:val="24"/>
          <w:szCs w:val="24"/>
        </w:rPr>
        <w:t>磋商须知前附表</w:t>
      </w:r>
    </w:p>
    <w:p w14:paraId="5E5E389F">
      <w:pPr>
        <w:pStyle w:val="160"/>
        <w:ind w:left="480" w:firstLine="0" w:firstLineChars="0"/>
        <w:rPr>
          <w:rFonts w:ascii="Times New Roman" w:hAnsi="Times New Roman"/>
          <w:color w:val="auto"/>
          <w:sz w:val="24"/>
          <w:szCs w:val="24"/>
        </w:rPr>
      </w:pPr>
    </w:p>
    <w:tbl>
      <w:tblPr>
        <w:tblStyle w:val="4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41"/>
        <w:gridCol w:w="6926"/>
      </w:tblGrid>
      <w:tr w14:paraId="10A5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60DF89F4">
            <w:pPr>
              <w:ind w:left="36" w:leftChars="-50" w:right="-80" w:rightChars="-38" w:hanging="141" w:hangingChars="59"/>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款号</w:t>
            </w:r>
          </w:p>
        </w:tc>
        <w:tc>
          <w:tcPr>
            <w:tcW w:w="1241" w:type="dxa"/>
            <w:tcBorders>
              <w:top w:val="single" w:color="auto" w:sz="4" w:space="0"/>
              <w:left w:val="single" w:color="auto" w:sz="4" w:space="0"/>
              <w:bottom w:val="single" w:color="auto" w:sz="4" w:space="0"/>
              <w:right w:val="single" w:color="auto" w:sz="4" w:space="0"/>
            </w:tcBorders>
            <w:vAlign w:val="center"/>
          </w:tcPr>
          <w:p w14:paraId="1027B41C">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名称</w:t>
            </w:r>
          </w:p>
        </w:tc>
        <w:tc>
          <w:tcPr>
            <w:tcW w:w="6926" w:type="dxa"/>
            <w:tcBorders>
              <w:top w:val="single" w:color="auto" w:sz="4" w:space="0"/>
              <w:left w:val="single" w:color="auto" w:sz="4" w:space="0"/>
              <w:bottom w:val="single" w:color="auto" w:sz="4" w:space="0"/>
              <w:right w:val="single" w:color="auto" w:sz="4" w:space="0"/>
            </w:tcBorders>
            <w:vAlign w:val="center"/>
          </w:tcPr>
          <w:p w14:paraId="707FF8D5">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内容</w:t>
            </w:r>
          </w:p>
        </w:tc>
      </w:tr>
      <w:tr w14:paraId="5951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tcBorders>
              <w:top w:val="single" w:color="auto" w:sz="4" w:space="0"/>
              <w:left w:val="single" w:color="auto" w:sz="4" w:space="0"/>
              <w:bottom w:val="single" w:color="auto" w:sz="4" w:space="0"/>
              <w:right w:val="single" w:color="auto" w:sz="4" w:space="0"/>
            </w:tcBorders>
            <w:vAlign w:val="center"/>
          </w:tcPr>
          <w:p w14:paraId="451A2831">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1</w:t>
            </w:r>
          </w:p>
        </w:tc>
        <w:tc>
          <w:tcPr>
            <w:tcW w:w="1241" w:type="dxa"/>
            <w:tcBorders>
              <w:top w:val="single" w:color="auto" w:sz="4" w:space="0"/>
              <w:left w:val="single" w:color="auto" w:sz="4" w:space="0"/>
              <w:bottom w:val="single" w:color="auto" w:sz="4" w:space="0"/>
              <w:right w:val="single" w:color="auto" w:sz="4" w:space="0"/>
            </w:tcBorders>
            <w:vAlign w:val="center"/>
          </w:tcPr>
          <w:p w14:paraId="6C6EA287">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计划编号</w:t>
            </w:r>
          </w:p>
        </w:tc>
        <w:tc>
          <w:tcPr>
            <w:tcW w:w="6926" w:type="dxa"/>
            <w:tcBorders>
              <w:top w:val="single" w:color="auto" w:sz="4" w:space="0"/>
              <w:left w:val="single" w:color="auto" w:sz="4" w:space="0"/>
              <w:bottom w:val="single" w:color="auto" w:sz="4" w:space="0"/>
              <w:right w:val="single" w:color="auto" w:sz="4" w:space="0"/>
            </w:tcBorders>
            <w:vAlign w:val="center"/>
          </w:tcPr>
          <w:p w14:paraId="273EE535">
            <w:pPr>
              <w:rPr>
                <w:rFonts w:hint="default" w:ascii="Times New Roman" w:hAnsi="Times New Roman" w:eastAsia="宋体" w:cs="Times New Roman"/>
                <w:color w:val="auto"/>
                <w:kern w:val="0"/>
                <w:sz w:val="24"/>
                <w:szCs w:val="24"/>
                <w:lang w:val="en-US" w:eastAsia="zh-CN"/>
              </w:rPr>
            </w:pPr>
            <w:r>
              <w:rPr>
                <w:rFonts w:hint="eastAsia" w:ascii="宋体" w:hAnsi="宋体" w:eastAsia="宋体" w:cs="宋体"/>
                <w:color w:val="auto"/>
                <w:sz w:val="24"/>
                <w:szCs w:val="24"/>
                <w:lang w:val="en-US" w:eastAsia="zh-CN"/>
              </w:rPr>
              <w:t>2022-05-004069</w:t>
            </w:r>
          </w:p>
        </w:tc>
      </w:tr>
      <w:tr w14:paraId="4738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14:paraId="06CC3049">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30EA78CB">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tc>
        <w:tc>
          <w:tcPr>
            <w:tcW w:w="6926" w:type="dxa"/>
            <w:tcBorders>
              <w:top w:val="single" w:color="auto" w:sz="4" w:space="0"/>
              <w:left w:val="single" w:color="auto" w:sz="4" w:space="0"/>
              <w:bottom w:val="single" w:color="auto" w:sz="4" w:space="0"/>
              <w:right w:val="single" w:color="auto" w:sz="4" w:space="0"/>
            </w:tcBorders>
            <w:vAlign w:val="center"/>
          </w:tcPr>
          <w:p w14:paraId="46B3F145">
            <w:pPr>
              <w:rPr>
                <w:rFonts w:hint="eastAsia" w:ascii="Times New Roman" w:hAnsi="Times New Roman" w:eastAsia="宋体" w:cs="Times New Roman"/>
                <w:color w:val="auto"/>
                <w:kern w:val="0"/>
                <w:sz w:val="24"/>
                <w:szCs w:val="24"/>
              </w:rPr>
            </w:pPr>
            <w:r>
              <w:rPr>
                <w:rFonts w:hint="eastAsia" w:ascii="宋体" w:hAnsi="宋体" w:eastAsia="宋体" w:cs="宋体"/>
                <w:color w:val="auto"/>
                <w:sz w:val="24"/>
                <w:szCs w:val="24"/>
                <w:lang w:eastAsia="zh-CN"/>
              </w:rPr>
              <w:t>随县林业局预警监测中心信息化建设项目</w:t>
            </w:r>
          </w:p>
        </w:tc>
      </w:tr>
      <w:tr w14:paraId="5326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14:paraId="7C0A16E8">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1A56F2FE">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项目编号</w:t>
            </w:r>
          </w:p>
        </w:tc>
        <w:tc>
          <w:tcPr>
            <w:tcW w:w="6926" w:type="dxa"/>
            <w:tcBorders>
              <w:top w:val="single" w:color="auto" w:sz="4" w:space="0"/>
              <w:left w:val="single" w:color="auto" w:sz="4" w:space="0"/>
              <w:bottom w:val="single" w:color="auto" w:sz="4" w:space="0"/>
              <w:right w:val="single" w:color="auto" w:sz="4" w:space="0"/>
            </w:tcBorders>
            <w:vAlign w:val="center"/>
          </w:tcPr>
          <w:p w14:paraId="4072C975">
            <w:pPr>
              <w:rPr>
                <w:rFonts w:hint="default" w:ascii="Times New Roman" w:hAnsi="Times New Roman" w:eastAsia="宋体" w:cs="Times New Roman"/>
                <w:color w:val="auto"/>
                <w:kern w:val="0"/>
                <w:sz w:val="24"/>
                <w:szCs w:val="24"/>
                <w:lang w:val="en-US"/>
              </w:rPr>
            </w:pPr>
            <w:r>
              <w:rPr>
                <w:rFonts w:hint="eastAsia" w:ascii="Times New Roman" w:hAnsi="Times New Roman" w:eastAsia="宋体" w:cs="Times New Roman"/>
                <w:color w:val="auto"/>
                <w:kern w:val="0"/>
                <w:sz w:val="24"/>
                <w:szCs w:val="24"/>
                <w:lang w:val="en-US" w:eastAsia="zh-CN"/>
              </w:rPr>
              <w:t>SXZC-2022-0004</w:t>
            </w:r>
          </w:p>
        </w:tc>
      </w:tr>
      <w:tr w14:paraId="7F02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14:paraId="0D01551C">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45944926">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采购内容</w:t>
            </w:r>
          </w:p>
        </w:tc>
        <w:tc>
          <w:tcPr>
            <w:tcW w:w="6926" w:type="dxa"/>
            <w:tcBorders>
              <w:top w:val="single" w:color="auto" w:sz="4" w:space="0"/>
              <w:left w:val="single" w:color="auto" w:sz="4" w:space="0"/>
              <w:bottom w:val="single" w:color="auto" w:sz="4" w:space="0"/>
              <w:right w:val="single" w:color="auto" w:sz="4" w:space="0"/>
            </w:tcBorders>
            <w:vAlign w:val="center"/>
          </w:tcPr>
          <w:p w14:paraId="06AC4960">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详见</w:t>
            </w:r>
            <w:r>
              <w:rPr>
                <w:rFonts w:hint="eastAsia" w:ascii="Times New Roman" w:hAnsi="Times New Roman" w:eastAsia="宋体" w:cs="Times New Roman"/>
                <w:color w:val="auto"/>
                <w:kern w:val="0"/>
                <w:sz w:val="24"/>
                <w:szCs w:val="24"/>
                <w:lang w:eastAsia="zh-CN"/>
              </w:rPr>
              <w:t>磋商文件</w:t>
            </w:r>
          </w:p>
        </w:tc>
      </w:tr>
      <w:tr w14:paraId="545C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14:paraId="2E78E148">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67DF0B1E">
            <w:pPr>
              <w:rPr>
                <w:rFonts w:ascii="Times New Roman" w:hAnsi="Times New Roman" w:cs="Times New Roman"/>
                <w:color w:val="auto"/>
                <w:kern w:val="0"/>
                <w:sz w:val="24"/>
                <w:szCs w:val="24"/>
              </w:rPr>
            </w:pPr>
            <w:r>
              <w:rPr>
                <w:rFonts w:hint="eastAsia" w:ascii="Times New Roman" w:hAnsi="Times New Roman" w:cs="Times New Roman"/>
                <w:b w:val="0"/>
                <w:bCs w:val="0"/>
                <w:color w:val="auto"/>
                <w:kern w:val="0"/>
                <w:sz w:val="24"/>
                <w:szCs w:val="24"/>
              </w:rPr>
              <w:t>采购预算</w:t>
            </w:r>
          </w:p>
        </w:tc>
        <w:tc>
          <w:tcPr>
            <w:tcW w:w="6926" w:type="dxa"/>
            <w:tcBorders>
              <w:top w:val="single" w:color="auto" w:sz="4" w:space="0"/>
              <w:left w:val="single" w:color="auto" w:sz="4" w:space="0"/>
              <w:bottom w:val="single" w:color="auto" w:sz="4" w:space="0"/>
              <w:right w:val="single" w:color="auto" w:sz="4" w:space="0"/>
            </w:tcBorders>
            <w:vAlign w:val="center"/>
          </w:tcPr>
          <w:p w14:paraId="47C24F11">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72</w:t>
            </w:r>
            <w:r>
              <w:rPr>
                <w:rFonts w:hint="eastAsia" w:ascii="Times New Roman" w:hAnsi="Times New Roman" w:eastAsia="宋体" w:cs="Times New Roman"/>
                <w:color w:val="auto"/>
                <w:kern w:val="0"/>
                <w:sz w:val="24"/>
                <w:szCs w:val="24"/>
              </w:rPr>
              <w:t>万元人民币</w:t>
            </w:r>
          </w:p>
        </w:tc>
      </w:tr>
      <w:tr w14:paraId="0B00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67BDCD49">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14:paraId="3D383695">
            <w:pPr>
              <w:rPr>
                <w:rFonts w:hint="eastAsia" w:ascii="Times New Roman" w:hAnsi="Times New Roman" w:cs="Times New Roman"/>
                <w:color w:val="auto"/>
                <w:kern w:val="0"/>
                <w:sz w:val="24"/>
                <w:szCs w:val="24"/>
              </w:rPr>
            </w:pPr>
            <w:r>
              <w:rPr>
                <w:rFonts w:hint="eastAsia" w:ascii="Times New Roman" w:hAnsi="Times New Roman" w:cs="Times New Roman"/>
                <w:color w:val="auto"/>
                <w:kern w:val="0"/>
                <w:sz w:val="24"/>
                <w:szCs w:val="24"/>
              </w:rPr>
              <w:t>操作模式</w:t>
            </w:r>
          </w:p>
        </w:tc>
        <w:tc>
          <w:tcPr>
            <w:tcW w:w="6926" w:type="dxa"/>
            <w:tcBorders>
              <w:top w:val="single" w:color="auto" w:sz="4" w:space="0"/>
              <w:left w:val="single" w:color="auto" w:sz="4" w:space="0"/>
              <w:bottom w:val="single" w:color="auto" w:sz="4" w:space="0"/>
              <w:right w:val="single" w:color="auto" w:sz="4" w:space="0"/>
            </w:tcBorders>
            <w:vAlign w:val="center"/>
          </w:tcPr>
          <w:p w14:paraId="1B580509">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在</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政府电子采购平台全流程电子化操作运行期间，本项目实行全流程电子化操作，供应商应按照</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政府电子采购平台要求，熟悉并完成网上所有操作流程。</w:t>
            </w:r>
          </w:p>
        </w:tc>
      </w:tr>
      <w:tr w14:paraId="4B8F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6D5C86CB">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2.1</w:t>
            </w:r>
          </w:p>
        </w:tc>
        <w:tc>
          <w:tcPr>
            <w:tcW w:w="1241" w:type="dxa"/>
            <w:tcBorders>
              <w:top w:val="single" w:color="auto" w:sz="4" w:space="0"/>
              <w:left w:val="single" w:color="auto" w:sz="4" w:space="0"/>
              <w:bottom w:val="single" w:color="auto" w:sz="4" w:space="0"/>
              <w:right w:val="single" w:color="auto" w:sz="4" w:space="0"/>
            </w:tcBorders>
            <w:vAlign w:val="center"/>
          </w:tcPr>
          <w:p w14:paraId="0631A5DD">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政府采购监管部门</w:t>
            </w:r>
          </w:p>
        </w:tc>
        <w:tc>
          <w:tcPr>
            <w:tcW w:w="6926" w:type="dxa"/>
            <w:tcBorders>
              <w:top w:val="single" w:color="auto" w:sz="4" w:space="0"/>
              <w:left w:val="single" w:color="auto" w:sz="4" w:space="0"/>
              <w:bottom w:val="single" w:color="auto" w:sz="4" w:space="0"/>
              <w:right w:val="single" w:color="auto" w:sz="4" w:space="0"/>
            </w:tcBorders>
            <w:vAlign w:val="center"/>
          </w:tcPr>
          <w:p w14:paraId="0445F3BC">
            <w:pPr>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lang w:eastAsia="zh-CN"/>
              </w:rPr>
              <w:t>随县财政局政府采购监督管理股</w:t>
            </w:r>
          </w:p>
        </w:tc>
      </w:tr>
      <w:tr w14:paraId="222D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71FFA92E">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2.2</w:t>
            </w:r>
          </w:p>
        </w:tc>
        <w:tc>
          <w:tcPr>
            <w:tcW w:w="1241" w:type="dxa"/>
            <w:tcBorders>
              <w:top w:val="single" w:color="auto" w:sz="4" w:space="0"/>
              <w:left w:val="single" w:color="auto" w:sz="4" w:space="0"/>
              <w:bottom w:val="single" w:color="auto" w:sz="4" w:space="0"/>
              <w:right w:val="single" w:color="auto" w:sz="4" w:space="0"/>
            </w:tcBorders>
            <w:vAlign w:val="center"/>
          </w:tcPr>
          <w:p w14:paraId="2A912A65">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采购人</w:t>
            </w:r>
          </w:p>
        </w:tc>
        <w:tc>
          <w:tcPr>
            <w:tcW w:w="6926" w:type="dxa"/>
            <w:tcBorders>
              <w:top w:val="single" w:color="auto" w:sz="4" w:space="0"/>
              <w:left w:val="single" w:color="auto" w:sz="4" w:space="0"/>
              <w:bottom w:val="single" w:color="auto" w:sz="4" w:space="0"/>
              <w:right w:val="single" w:color="auto" w:sz="4" w:space="0"/>
            </w:tcBorders>
            <w:vAlign w:val="center"/>
          </w:tcPr>
          <w:p w14:paraId="54039D41">
            <w:pPr>
              <w:rPr>
                <w:rFonts w:hint="eastAsia" w:ascii="Times New Roman" w:hAnsi="Times New Roman" w:eastAsia="宋体" w:cs="Times New Roman"/>
                <w:color w:val="auto"/>
                <w:kern w:val="0"/>
                <w:sz w:val="24"/>
                <w:szCs w:val="24"/>
                <w:lang w:eastAsia="zh-CN"/>
              </w:rPr>
            </w:pPr>
            <w:r>
              <w:rPr>
                <w:rFonts w:ascii="Times New Roman" w:hAnsi="Times New Roman" w:cs="Times New Roman"/>
                <w:color w:val="auto"/>
                <w:kern w:val="0"/>
                <w:sz w:val="24"/>
                <w:szCs w:val="24"/>
              </w:rPr>
              <w:fldChar w:fldCharType="begin"/>
            </w:r>
            <w:r>
              <w:rPr>
                <w:rFonts w:ascii="Times New Roman" w:hAnsi="Times New Roman" w:cs="Times New Roman"/>
                <w:color w:val="auto"/>
                <w:kern w:val="0"/>
                <w:sz w:val="24"/>
                <w:szCs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ascii="Times New Roman" w:hAnsi="Times New Roman" w:cs="Times New Roman"/>
                <w:color w:val="auto"/>
                <w:kern w:val="0"/>
                <w:sz w:val="24"/>
                <w:szCs w:val="24"/>
              </w:rPr>
              <w:fldChar w:fldCharType="separate"/>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异常的公式结尾</w:t>
            </w:r>
            <w:r>
              <w:rPr>
                <w:rFonts w:ascii="Times New Roman" w:hAnsi="Times New Roman" w:cs="Times New Roman"/>
                <w:color w:val="auto"/>
                <w:kern w:val="0"/>
                <w:sz w:val="24"/>
                <w:szCs w:val="24"/>
              </w:rPr>
              <w:fldChar w:fldCharType="end"/>
            </w:r>
            <w:r>
              <w:rPr>
                <w:rFonts w:hint="eastAsia" w:ascii="Times New Roman" w:hAnsi="Times New Roman" w:cs="Times New Roman"/>
                <w:color w:val="auto"/>
                <w:kern w:val="0"/>
                <w:sz w:val="24"/>
                <w:szCs w:val="24"/>
              </w:rPr>
              <w:t>名</w:t>
            </w:r>
            <w:r>
              <w:rPr>
                <w:rFonts w:hint="eastAsia" w:ascii="Times New Roman" w:hAnsi="Times New Roman" w:eastAsia="宋体" w:cs="Times New Roman"/>
                <w:color w:val="auto"/>
                <w:kern w:val="0"/>
                <w:sz w:val="24"/>
                <w:szCs w:val="24"/>
              </w:rPr>
              <w:t>称：</w:t>
            </w:r>
            <w:r>
              <w:rPr>
                <w:rFonts w:hint="eastAsia" w:ascii="Times New Roman" w:hAnsi="Times New Roman" w:eastAsia="宋体" w:cs="Times New Roman"/>
                <w:color w:val="auto"/>
                <w:kern w:val="0"/>
                <w:sz w:val="24"/>
                <w:szCs w:val="24"/>
                <w:lang w:eastAsia="zh-CN"/>
              </w:rPr>
              <w:t>随县林业局</w:t>
            </w:r>
          </w:p>
          <w:p w14:paraId="3E1E852A">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联系人：</w:t>
            </w:r>
            <w:r>
              <w:rPr>
                <w:rFonts w:hint="eastAsia" w:ascii="Times New Roman" w:hAnsi="Times New Roman" w:eastAsia="宋体" w:cs="Times New Roman"/>
                <w:color w:val="auto"/>
                <w:kern w:val="0"/>
                <w:sz w:val="24"/>
                <w:szCs w:val="24"/>
                <w:lang w:val="en-US" w:eastAsia="zh-CN"/>
              </w:rPr>
              <w:t>胡道文</w:t>
            </w:r>
          </w:p>
          <w:p w14:paraId="188902FA">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color w:val="auto"/>
                <w:kern w:val="0"/>
                <w:sz w:val="24"/>
                <w:szCs w:val="24"/>
              </w:rPr>
              <w:t>联系方式：</w:t>
            </w:r>
            <w:r>
              <w:rPr>
                <w:rFonts w:hint="eastAsia" w:ascii="宋体" w:hAnsi="宋体" w:eastAsia="宋体" w:cs="宋体"/>
                <w:color w:val="auto"/>
                <w:sz w:val="24"/>
                <w:szCs w:val="24"/>
                <w:lang w:val="en-US" w:eastAsia="zh-CN"/>
              </w:rPr>
              <w:t>13597839936</w:t>
            </w:r>
          </w:p>
          <w:p w14:paraId="7759C21B">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地    址：</w:t>
            </w:r>
            <w:r>
              <w:rPr>
                <w:rFonts w:hint="eastAsia" w:ascii="宋体" w:hAnsi="宋体" w:eastAsia="宋体" w:cs="宋体"/>
                <w:color w:val="auto"/>
                <w:sz w:val="24"/>
                <w:szCs w:val="24"/>
                <w:lang w:val="en-US" w:eastAsia="zh-CN"/>
              </w:rPr>
              <w:t>随县杨林路与利民路交汇处</w:t>
            </w:r>
          </w:p>
        </w:tc>
      </w:tr>
      <w:tr w14:paraId="5CAE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658FC443">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2.3</w:t>
            </w:r>
          </w:p>
        </w:tc>
        <w:tc>
          <w:tcPr>
            <w:tcW w:w="1241" w:type="dxa"/>
            <w:tcBorders>
              <w:top w:val="single" w:color="auto" w:sz="4" w:space="0"/>
              <w:left w:val="single" w:color="auto" w:sz="4" w:space="0"/>
              <w:bottom w:val="single" w:color="auto" w:sz="4" w:space="0"/>
              <w:right w:val="single" w:color="auto" w:sz="4" w:space="0"/>
            </w:tcBorders>
            <w:vAlign w:val="center"/>
          </w:tcPr>
          <w:p w14:paraId="7F00332C">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集中采购机构</w:t>
            </w:r>
          </w:p>
        </w:tc>
        <w:tc>
          <w:tcPr>
            <w:tcW w:w="6926" w:type="dxa"/>
            <w:tcBorders>
              <w:top w:val="single" w:color="auto" w:sz="4" w:space="0"/>
              <w:left w:val="single" w:color="auto" w:sz="4" w:space="0"/>
              <w:bottom w:val="single" w:color="auto" w:sz="4" w:space="0"/>
              <w:right w:val="single" w:color="auto" w:sz="4" w:space="0"/>
            </w:tcBorders>
            <w:vAlign w:val="center"/>
          </w:tcPr>
          <w:p w14:paraId="681A2E7C">
            <w:pP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名称：</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rPr>
              <w:t>政府采购中心</w:t>
            </w:r>
            <w:r>
              <w:rPr>
                <w:rFonts w:ascii="Times New Roman" w:hAnsi="Times New Roman" w:eastAsia="宋体" w:cs="Times New Roman"/>
                <w:color w:val="auto"/>
                <w:kern w:val="0"/>
                <w:sz w:val="24"/>
                <w:szCs w:val="24"/>
              </w:rPr>
              <w:fldChar w:fldCharType="begin"/>
            </w:r>
            <w:r>
              <w:rPr>
                <w:rFonts w:ascii="Times New Roman" w:hAnsi="Times New Roman" w:eastAsia="宋体" w:cs="Times New Roman"/>
                <w:color w:val="auto"/>
                <w:kern w:val="0"/>
                <w:sz w:val="24"/>
                <w:szCs w:val="24"/>
              </w:rPr>
              <w:instrText xml:space="preserve">&lt;MK&gt; org.organname&lt;/MK&gt;</w:instrText>
            </w:r>
            <w:r>
              <w:rPr>
                <w:rFonts w:ascii="Times New Roman" w:hAnsi="Times New Roman" w:eastAsia="宋体" w:cs="Times New Roman"/>
                <w:color w:val="auto"/>
                <w:kern w:val="0"/>
                <w:sz w:val="24"/>
                <w:szCs w:val="24"/>
              </w:rPr>
              <w:fldChar w:fldCharType="end"/>
            </w:r>
          </w:p>
          <w:p w14:paraId="6C577991">
            <w:pPr>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rPr>
              <w:t>联系人：</w:t>
            </w:r>
            <w:r>
              <w:rPr>
                <w:rFonts w:hint="eastAsia" w:ascii="Times New Roman" w:hAnsi="Times New Roman" w:eastAsia="宋体" w:cs="Times New Roman"/>
                <w:color w:val="auto"/>
                <w:kern w:val="0"/>
                <w:sz w:val="24"/>
                <w:szCs w:val="24"/>
                <w:lang w:eastAsia="zh-CN"/>
              </w:rPr>
              <w:t>钦盼</w:t>
            </w:r>
          </w:p>
          <w:p w14:paraId="73E2E4F0">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联系电话：</w:t>
            </w:r>
            <w:r>
              <w:rPr>
                <w:rFonts w:ascii="Times New Roman" w:hAnsi="Times New Roman" w:eastAsia="宋体" w:cs="Times New Roman"/>
                <w:color w:val="auto"/>
                <w:kern w:val="0"/>
                <w:sz w:val="24"/>
                <w:szCs w:val="24"/>
              </w:rPr>
              <w:t>0722-</w:t>
            </w:r>
            <w:r>
              <w:rPr>
                <w:rFonts w:hint="eastAsia" w:ascii="Times New Roman" w:hAnsi="Times New Roman" w:eastAsia="宋体" w:cs="Times New Roman"/>
                <w:color w:val="auto"/>
                <w:kern w:val="0"/>
                <w:sz w:val="24"/>
                <w:szCs w:val="24"/>
                <w:lang w:val="en-US" w:eastAsia="zh-CN"/>
              </w:rPr>
              <w:t>3563205</w:t>
            </w:r>
          </w:p>
          <w:p w14:paraId="53392E83">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地</w:t>
            </w:r>
            <w:r>
              <w:rPr>
                <w:rFonts w:hint="eastAsia" w:ascii="Times New Roman" w:hAnsi="Times New Roman" w:eastAsia="宋体" w:cs="Times New Roman"/>
                <w:color w:val="auto"/>
                <w:kern w:val="0"/>
                <w:sz w:val="24"/>
                <w:szCs w:val="24"/>
                <w:lang w:val="en-US" w:eastAsia="zh-CN"/>
              </w:rPr>
              <w:t xml:space="preserve">    </w:t>
            </w:r>
            <w:r>
              <w:rPr>
                <w:rFonts w:hint="eastAsia" w:ascii="Times New Roman" w:hAnsi="Times New Roman" w:eastAsia="宋体" w:cs="Times New Roman"/>
                <w:color w:val="auto"/>
                <w:kern w:val="0"/>
                <w:sz w:val="24"/>
                <w:szCs w:val="24"/>
              </w:rPr>
              <w:t>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r>
              <w:rPr>
                <w:rFonts w:ascii="Times New Roman" w:hAnsi="Times New Roman" w:cs="Times New Roman"/>
                <w:color w:val="auto"/>
                <w:kern w:val="0"/>
                <w:sz w:val="24"/>
                <w:szCs w:val="24"/>
              </w:rPr>
              <w:fldChar w:fldCharType="begin"/>
            </w:r>
            <w:r>
              <w:rPr>
                <w:rFonts w:ascii="Times New Roman" w:hAnsi="Times New Roman" w:cs="Times New Roman"/>
                <w:color w:val="auto"/>
                <w:kern w:val="0"/>
                <w:sz w:val="24"/>
                <w:szCs w:val="24"/>
              </w:rPr>
              <w:instrText xml:space="preserve">&lt;MK&gt;pro.mobile&lt;/MK&gt;</w:instrText>
            </w:r>
            <w:r>
              <w:rPr>
                <w:rFonts w:ascii="Times New Roman" w:hAnsi="Times New Roman" w:cs="Times New Roman"/>
                <w:color w:val="auto"/>
                <w:kern w:val="0"/>
                <w:sz w:val="24"/>
                <w:szCs w:val="24"/>
              </w:rPr>
              <w:fldChar w:fldCharType="end"/>
            </w:r>
          </w:p>
        </w:tc>
      </w:tr>
      <w:tr w14:paraId="559F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tcBorders>
              <w:top w:val="single" w:color="auto" w:sz="4" w:space="0"/>
              <w:left w:val="single" w:color="auto" w:sz="4" w:space="0"/>
              <w:bottom w:val="single" w:color="auto" w:sz="4" w:space="0"/>
              <w:right w:val="single" w:color="auto" w:sz="4" w:space="0"/>
            </w:tcBorders>
            <w:vAlign w:val="center"/>
          </w:tcPr>
          <w:p w14:paraId="7036D394">
            <w:pPr>
              <w:jc w:val="cente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3</w:t>
            </w:r>
          </w:p>
        </w:tc>
        <w:tc>
          <w:tcPr>
            <w:tcW w:w="1241" w:type="dxa"/>
            <w:tcBorders>
              <w:top w:val="single" w:color="auto" w:sz="4" w:space="0"/>
              <w:left w:val="single" w:color="auto" w:sz="4" w:space="0"/>
              <w:bottom w:val="single" w:color="auto" w:sz="4" w:space="0"/>
              <w:right w:val="single" w:color="auto" w:sz="4" w:space="0"/>
            </w:tcBorders>
            <w:vAlign w:val="center"/>
          </w:tcPr>
          <w:p w14:paraId="4432D012">
            <w:pP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磋商文件的获取</w:t>
            </w:r>
          </w:p>
        </w:tc>
        <w:tc>
          <w:tcPr>
            <w:tcW w:w="6926" w:type="dxa"/>
            <w:tcBorders>
              <w:top w:val="single" w:color="auto" w:sz="4" w:space="0"/>
              <w:left w:val="single" w:color="auto" w:sz="4" w:space="0"/>
              <w:bottom w:val="single" w:color="auto" w:sz="4" w:space="0"/>
              <w:right w:val="single" w:color="auto" w:sz="4" w:space="0"/>
            </w:tcBorders>
            <w:vAlign w:val="center"/>
          </w:tcPr>
          <w:p w14:paraId="6F5224DC">
            <w:pPr>
              <w:ind w:left="602" w:hanging="602" w:hangingChars="250"/>
              <w:rPr>
                <w:rFonts w:hint="eastAsia" w:ascii="Times New Roman" w:hAnsi="Times New Roman" w:cs="Times New Roman"/>
                <w:b/>
                <w:color w:val="auto"/>
                <w:kern w:val="0"/>
                <w:sz w:val="24"/>
                <w:szCs w:val="24"/>
              </w:rPr>
            </w:pPr>
            <w:r>
              <w:rPr>
                <w:rFonts w:hint="eastAsia" w:ascii="Times New Roman" w:hAnsi="Times New Roman" w:cs="Times New Roman"/>
                <w:b/>
                <w:color w:val="auto"/>
                <w:kern w:val="0"/>
                <w:sz w:val="24"/>
                <w:szCs w:val="24"/>
                <w:lang w:eastAsia="zh-CN"/>
              </w:rPr>
              <w:t>（</w:t>
            </w:r>
            <w:r>
              <w:rPr>
                <w:rFonts w:hint="eastAsia" w:ascii="Times New Roman" w:hAnsi="Times New Roman" w:cs="Times New Roman"/>
                <w:b/>
                <w:color w:val="auto"/>
                <w:kern w:val="0"/>
                <w:sz w:val="24"/>
                <w:szCs w:val="24"/>
                <w:lang w:val="en-US" w:eastAsia="zh-CN"/>
              </w:rPr>
              <w:t>1）</w:t>
            </w:r>
            <w:r>
              <w:rPr>
                <w:rFonts w:hint="eastAsia" w:ascii="Times New Roman" w:hAnsi="Times New Roman" w:cs="Times New Roman"/>
                <w:b/>
                <w:color w:val="auto"/>
                <w:kern w:val="0"/>
                <w:sz w:val="24"/>
                <w:szCs w:val="24"/>
              </w:rPr>
              <w:t>供应商</w:t>
            </w:r>
            <w:r>
              <w:rPr>
                <w:rFonts w:hint="eastAsia" w:ascii="Times New Roman" w:hAnsi="Times New Roman" w:cs="Times New Roman"/>
                <w:b/>
                <w:color w:val="auto"/>
                <w:kern w:val="0"/>
                <w:sz w:val="24"/>
                <w:szCs w:val="24"/>
                <w:lang w:val="en-US" w:eastAsia="zh-CN"/>
              </w:rPr>
              <w:t>应</w:t>
            </w:r>
            <w:r>
              <w:rPr>
                <w:rFonts w:hint="eastAsia" w:ascii="Times New Roman" w:hAnsi="Times New Roman" w:cs="Times New Roman"/>
                <w:b/>
                <w:color w:val="auto"/>
                <w:kern w:val="0"/>
                <w:sz w:val="24"/>
                <w:szCs w:val="24"/>
              </w:rPr>
              <w:t>登录湖北省</w:t>
            </w:r>
            <w:r>
              <w:rPr>
                <w:rFonts w:hint="eastAsia" w:ascii="Times New Roman" w:hAnsi="Times New Roman" w:cs="Times New Roman"/>
                <w:b/>
                <w:color w:val="auto"/>
                <w:kern w:val="0"/>
                <w:sz w:val="24"/>
                <w:szCs w:val="24"/>
                <w:lang w:val="en-US" w:eastAsia="zh-CN"/>
              </w:rPr>
              <w:t>随州市随县</w:t>
            </w:r>
            <w:r>
              <w:rPr>
                <w:rFonts w:hint="eastAsia" w:ascii="Times New Roman" w:hAnsi="Times New Roman" w:cs="Times New Roman"/>
                <w:b/>
                <w:color w:val="auto"/>
                <w:kern w:val="0"/>
                <w:sz w:val="24"/>
                <w:szCs w:val="24"/>
              </w:rPr>
              <w:t>政府电子</w:t>
            </w:r>
            <w:r>
              <w:rPr>
                <w:rFonts w:hint="eastAsia" w:ascii="Times New Roman" w:hAnsi="Times New Roman" w:cs="Times New Roman"/>
                <w:b/>
                <w:color w:val="auto"/>
                <w:kern w:val="0"/>
                <w:sz w:val="24"/>
                <w:szCs w:val="24"/>
                <w:lang w:val="en-US" w:eastAsia="zh-CN"/>
              </w:rPr>
              <w:t>采</w:t>
            </w:r>
            <w:r>
              <w:rPr>
                <w:rFonts w:hint="eastAsia" w:ascii="Times New Roman" w:hAnsi="Times New Roman" w:cs="Times New Roman"/>
                <w:b/>
                <w:color w:val="auto"/>
                <w:kern w:val="0"/>
                <w:sz w:val="24"/>
                <w:szCs w:val="24"/>
              </w:rPr>
              <w:t>购平台下载。</w:t>
            </w:r>
          </w:p>
          <w:p w14:paraId="2A6B6CE6">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b/>
                <w:color w:val="auto"/>
                <w:kern w:val="0"/>
                <w:sz w:val="24"/>
                <w:szCs w:val="24"/>
              </w:rPr>
              <w:t>（2）下载时间：</w:t>
            </w:r>
            <w:r>
              <w:rPr>
                <w:rFonts w:hint="eastAsia" w:ascii="宋体" w:hAnsi="宋体" w:eastAsia="宋体" w:cs="宋体"/>
                <w:color w:val="auto"/>
                <w:sz w:val="24"/>
                <w:szCs w:val="24"/>
                <w:lang w:val="en-US" w:eastAsia="zh-CN"/>
              </w:rPr>
              <w:t>详见竞争性磋商公告</w:t>
            </w:r>
            <w:r>
              <w:rPr>
                <w:rFonts w:hint="eastAsia" w:ascii="Times New Roman" w:hAnsi="Times New Roman" w:cs="Times New Roman"/>
                <w:b/>
                <w:color w:val="auto"/>
                <w:kern w:val="0"/>
                <w:sz w:val="24"/>
                <w:szCs w:val="24"/>
                <w:lang w:eastAsia="zh-CN"/>
              </w:rPr>
              <w:t>。</w:t>
            </w:r>
          </w:p>
        </w:tc>
      </w:tr>
      <w:tr w14:paraId="3C95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816" w:type="dxa"/>
            <w:tcBorders>
              <w:top w:val="single" w:color="auto" w:sz="4" w:space="0"/>
              <w:left w:val="single" w:color="auto" w:sz="4" w:space="0"/>
              <w:bottom w:val="single" w:color="auto" w:sz="4" w:space="0"/>
              <w:right w:val="single" w:color="auto" w:sz="4" w:space="0"/>
            </w:tcBorders>
            <w:vAlign w:val="center"/>
          </w:tcPr>
          <w:p w14:paraId="5BD87631">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4</w:t>
            </w:r>
          </w:p>
        </w:tc>
        <w:tc>
          <w:tcPr>
            <w:tcW w:w="1241" w:type="dxa"/>
            <w:tcBorders>
              <w:top w:val="single" w:color="auto" w:sz="4" w:space="0"/>
              <w:left w:val="single" w:color="auto" w:sz="4" w:space="0"/>
              <w:bottom w:val="single" w:color="auto" w:sz="4" w:space="0"/>
              <w:right w:val="single" w:color="auto" w:sz="4" w:space="0"/>
            </w:tcBorders>
            <w:vAlign w:val="center"/>
          </w:tcPr>
          <w:p w14:paraId="42393C30">
            <w:pPr>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供应商资格条件</w:t>
            </w:r>
          </w:p>
        </w:tc>
        <w:tc>
          <w:tcPr>
            <w:tcW w:w="6926" w:type="dxa"/>
            <w:tcBorders>
              <w:top w:val="single" w:color="auto" w:sz="4" w:space="0"/>
              <w:left w:val="single" w:color="auto" w:sz="4" w:space="0"/>
              <w:bottom w:val="single" w:color="auto" w:sz="4" w:space="0"/>
              <w:right w:val="single" w:color="auto" w:sz="4" w:space="0"/>
            </w:tcBorders>
            <w:vAlign w:val="center"/>
          </w:tcPr>
          <w:p w14:paraId="2CBA1FE2">
            <w:pPr>
              <w:ind w:left="638" w:leftChars="0" w:hanging="638" w:hangingChars="266"/>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（1）应具备《中华人民共和国政府采购法》第二十二条第一款规定的条件。</w:t>
            </w:r>
          </w:p>
          <w:p w14:paraId="10F8D144">
            <w:pPr>
              <w:ind w:left="638" w:leftChars="0" w:hanging="638" w:hangingChars="266"/>
              <w:rPr>
                <w:rFonts w:hint="eastAsia" w:eastAsiaTheme="minorEastAsia"/>
                <w:color w:val="auto"/>
                <w:lang w:val="en-US" w:eastAsia="zh-CN"/>
              </w:rPr>
            </w:pPr>
            <w:r>
              <w:rPr>
                <w:rFonts w:hint="eastAsia" w:ascii="Times New Roman" w:hAnsi="Times New Roman" w:eastAsia="宋体" w:cs="Times New Roman"/>
                <w:color w:val="auto"/>
                <w:kern w:val="0"/>
                <w:sz w:val="24"/>
                <w:szCs w:val="24"/>
              </w:rPr>
              <w:t>（2）未被列入“信用中国”、“中国政府采购网”失信被执行人、重大税收违法案件当事人名单、政府采购严重违法失信行为记录名单。</w:t>
            </w:r>
          </w:p>
        </w:tc>
      </w:tr>
      <w:tr w14:paraId="081B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64F766AB">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5</w:t>
            </w:r>
          </w:p>
        </w:tc>
        <w:tc>
          <w:tcPr>
            <w:tcW w:w="1241" w:type="dxa"/>
            <w:tcBorders>
              <w:top w:val="single" w:color="auto" w:sz="4" w:space="0"/>
              <w:left w:val="single" w:color="auto" w:sz="4" w:space="0"/>
              <w:bottom w:val="single" w:color="auto" w:sz="4" w:space="0"/>
              <w:right w:val="single" w:color="auto" w:sz="4" w:space="0"/>
            </w:tcBorders>
            <w:vAlign w:val="center"/>
          </w:tcPr>
          <w:p w14:paraId="051828CC">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联合体</w:t>
            </w:r>
          </w:p>
        </w:tc>
        <w:tc>
          <w:tcPr>
            <w:tcW w:w="6926" w:type="dxa"/>
            <w:tcBorders>
              <w:top w:val="single" w:color="auto" w:sz="4" w:space="0"/>
              <w:left w:val="single" w:color="auto" w:sz="4" w:space="0"/>
              <w:bottom w:val="single" w:color="auto" w:sz="4" w:space="0"/>
              <w:right w:val="single" w:color="auto" w:sz="4" w:space="0"/>
            </w:tcBorders>
            <w:vAlign w:val="center"/>
          </w:tcPr>
          <w:p w14:paraId="7EC86D70">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14:paraId="5A1A9930">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14:paraId="7276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1028A10B">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6</w:t>
            </w:r>
          </w:p>
        </w:tc>
        <w:tc>
          <w:tcPr>
            <w:tcW w:w="1241" w:type="dxa"/>
            <w:tcBorders>
              <w:top w:val="single" w:color="auto" w:sz="4" w:space="0"/>
              <w:left w:val="single" w:color="auto" w:sz="4" w:space="0"/>
              <w:bottom w:val="single" w:color="auto" w:sz="4" w:space="0"/>
              <w:right w:val="single" w:color="auto" w:sz="4" w:space="0"/>
            </w:tcBorders>
            <w:vAlign w:val="center"/>
          </w:tcPr>
          <w:p w14:paraId="53B38167">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踏勘现场</w:t>
            </w:r>
          </w:p>
        </w:tc>
        <w:tc>
          <w:tcPr>
            <w:tcW w:w="6926" w:type="dxa"/>
            <w:tcBorders>
              <w:top w:val="single" w:color="auto" w:sz="4" w:space="0"/>
              <w:left w:val="single" w:color="auto" w:sz="4" w:space="0"/>
              <w:bottom w:val="single" w:color="auto" w:sz="4" w:space="0"/>
              <w:right w:val="single" w:color="auto" w:sz="4" w:space="0"/>
            </w:tcBorders>
            <w:vAlign w:val="center"/>
          </w:tcPr>
          <w:p w14:paraId="55670BA4">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14:paraId="3B688D0E">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14:paraId="0235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02F779A4">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lang w:val="en-US" w:eastAsia="zh-CN"/>
              </w:rPr>
              <w:t>7</w:t>
            </w:r>
          </w:p>
        </w:tc>
        <w:tc>
          <w:tcPr>
            <w:tcW w:w="1241" w:type="dxa"/>
            <w:tcBorders>
              <w:top w:val="single" w:color="auto" w:sz="4" w:space="0"/>
              <w:left w:val="single" w:color="auto" w:sz="4" w:space="0"/>
              <w:bottom w:val="single" w:color="auto" w:sz="4" w:space="0"/>
              <w:right w:val="single" w:color="auto" w:sz="4" w:space="0"/>
            </w:tcBorders>
            <w:vAlign w:val="center"/>
          </w:tcPr>
          <w:p w14:paraId="432BF043">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答疑会</w:t>
            </w:r>
          </w:p>
        </w:tc>
        <w:tc>
          <w:tcPr>
            <w:tcW w:w="6926" w:type="dxa"/>
            <w:tcBorders>
              <w:top w:val="single" w:color="auto" w:sz="4" w:space="0"/>
              <w:left w:val="single" w:color="auto" w:sz="4" w:space="0"/>
              <w:bottom w:val="single" w:color="auto" w:sz="4" w:space="0"/>
              <w:right w:val="single" w:color="auto" w:sz="4" w:space="0"/>
            </w:tcBorders>
            <w:vAlign w:val="center"/>
          </w:tcPr>
          <w:p w14:paraId="1FB93476">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14:paraId="62D21A85">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14:paraId="69B5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377E4520">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8</w:t>
            </w:r>
          </w:p>
        </w:tc>
        <w:tc>
          <w:tcPr>
            <w:tcW w:w="1241" w:type="dxa"/>
            <w:tcBorders>
              <w:top w:val="single" w:color="auto" w:sz="4" w:space="0"/>
              <w:left w:val="single" w:color="auto" w:sz="4" w:space="0"/>
              <w:bottom w:val="single" w:color="auto" w:sz="4" w:space="0"/>
              <w:right w:val="single" w:color="auto" w:sz="4" w:space="0"/>
            </w:tcBorders>
            <w:vAlign w:val="center"/>
          </w:tcPr>
          <w:p w14:paraId="790101D7">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分包</w:t>
            </w:r>
          </w:p>
        </w:tc>
        <w:tc>
          <w:tcPr>
            <w:tcW w:w="6926" w:type="dxa"/>
            <w:tcBorders>
              <w:top w:val="single" w:color="auto" w:sz="4" w:space="0"/>
              <w:left w:val="single" w:color="auto" w:sz="4" w:space="0"/>
              <w:bottom w:val="single" w:color="auto" w:sz="4" w:space="0"/>
              <w:right w:val="single" w:color="auto" w:sz="4" w:space="0"/>
            </w:tcBorders>
            <w:vAlign w:val="center"/>
          </w:tcPr>
          <w:p w14:paraId="132A5767">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允许</w:t>
            </w:r>
          </w:p>
          <w:p w14:paraId="164EC64F">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不允许</w:t>
            </w:r>
          </w:p>
        </w:tc>
      </w:tr>
      <w:tr w14:paraId="15B6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23249CBE">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9</w:t>
            </w:r>
          </w:p>
        </w:tc>
        <w:tc>
          <w:tcPr>
            <w:tcW w:w="1241" w:type="dxa"/>
            <w:tcBorders>
              <w:top w:val="single" w:color="auto" w:sz="4" w:space="0"/>
              <w:left w:val="single" w:color="auto" w:sz="4" w:space="0"/>
              <w:bottom w:val="single" w:color="auto" w:sz="4" w:space="0"/>
              <w:right w:val="single" w:color="auto" w:sz="4" w:space="0"/>
            </w:tcBorders>
            <w:vAlign w:val="center"/>
          </w:tcPr>
          <w:p w14:paraId="1F6DD068">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备选方案</w:t>
            </w:r>
          </w:p>
        </w:tc>
        <w:tc>
          <w:tcPr>
            <w:tcW w:w="6926" w:type="dxa"/>
            <w:tcBorders>
              <w:top w:val="single" w:color="auto" w:sz="4" w:space="0"/>
              <w:left w:val="single" w:color="auto" w:sz="4" w:space="0"/>
              <w:bottom w:val="single" w:color="auto" w:sz="4" w:space="0"/>
              <w:right w:val="single" w:color="auto" w:sz="4" w:space="0"/>
            </w:tcBorders>
            <w:vAlign w:val="center"/>
          </w:tcPr>
          <w:p w14:paraId="109567DC">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14:paraId="5F4AB883">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14:paraId="316F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31899DBC">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10</w:t>
            </w:r>
          </w:p>
        </w:tc>
        <w:tc>
          <w:tcPr>
            <w:tcW w:w="1241" w:type="dxa"/>
            <w:tcBorders>
              <w:top w:val="single" w:color="auto" w:sz="4" w:space="0"/>
              <w:left w:val="single" w:color="auto" w:sz="4" w:space="0"/>
              <w:bottom w:val="single" w:color="auto" w:sz="4" w:space="0"/>
              <w:right w:val="single" w:color="auto" w:sz="4" w:space="0"/>
            </w:tcBorders>
            <w:vAlign w:val="center"/>
          </w:tcPr>
          <w:p w14:paraId="16D29E48">
            <w:pPr>
              <w:rPr>
                <w:rFonts w:ascii="Times New Roman" w:hAnsi="Times New Roman" w:cs="Times New Roman"/>
                <w:color w:val="auto"/>
                <w:kern w:val="0"/>
                <w:sz w:val="24"/>
                <w:szCs w:val="24"/>
              </w:rPr>
            </w:pPr>
            <w:r>
              <w:rPr>
                <w:rFonts w:hint="eastAsia" w:ascii="Times New Roman" w:hAnsi="Times New Roman" w:cs="Times New Roman"/>
                <w:bCs/>
                <w:color w:val="auto"/>
                <w:sz w:val="24"/>
                <w:szCs w:val="24"/>
              </w:rPr>
              <w:t>其他资格证明文件及资料</w:t>
            </w:r>
          </w:p>
        </w:tc>
        <w:tc>
          <w:tcPr>
            <w:tcW w:w="6926" w:type="dxa"/>
            <w:tcBorders>
              <w:top w:val="single" w:color="auto" w:sz="4" w:space="0"/>
              <w:left w:val="single" w:color="auto" w:sz="4" w:space="0"/>
              <w:bottom w:val="single" w:color="auto" w:sz="4" w:space="0"/>
              <w:right w:val="single" w:color="auto" w:sz="4" w:space="0"/>
            </w:tcBorders>
            <w:vAlign w:val="center"/>
          </w:tcPr>
          <w:p w14:paraId="328FE04C">
            <w:pPr>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无</w:t>
            </w:r>
          </w:p>
        </w:tc>
      </w:tr>
      <w:tr w14:paraId="23E5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758C3111">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11</w:t>
            </w:r>
          </w:p>
        </w:tc>
        <w:tc>
          <w:tcPr>
            <w:tcW w:w="1241" w:type="dxa"/>
            <w:tcBorders>
              <w:top w:val="single" w:color="auto" w:sz="4" w:space="0"/>
              <w:left w:val="single" w:color="auto" w:sz="4" w:space="0"/>
              <w:bottom w:val="single" w:color="auto" w:sz="4" w:space="0"/>
              <w:right w:val="single" w:color="auto" w:sz="4" w:space="0"/>
            </w:tcBorders>
            <w:vAlign w:val="center"/>
          </w:tcPr>
          <w:p w14:paraId="611EC01B">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响应文件有效期</w:t>
            </w:r>
          </w:p>
        </w:tc>
        <w:tc>
          <w:tcPr>
            <w:tcW w:w="6926" w:type="dxa"/>
            <w:tcBorders>
              <w:top w:val="single" w:color="auto" w:sz="4" w:space="0"/>
              <w:left w:val="single" w:color="auto" w:sz="4" w:space="0"/>
              <w:bottom w:val="single" w:color="auto" w:sz="4" w:space="0"/>
              <w:right w:val="single" w:color="auto" w:sz="4" w:space="0"/>
            </w:tcBorders>
            <w:vAlign w:val="center"/>
          </w:tcPr>
          <w:p w14:paraId="4C150171">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磋商之日算起</w:t>
            </w:r>
            <w:r>
              <w:rPr>
                <w:rFonts w:ascii="Times New Roman" w:hAnsi="Times New Roman" w:cs="Times New Roman"/>
                <w:b/>
                <w:bCs/>
                <w:color w:val="auto"/>
                <w:kern w:val="0"/>
                <w:sz w:val="24"/>
                <w:szCs w:val="24"/>
              </w:rPr>
              <w:t>90</w:t>
            </w:r>
            <w:r>
              <w:rPr>
                <w:rFonts w:hint="eastAsia" w:ascii="Times New Roman" w:hAnsi="Times New Roman" w:cs="Times New Roman"/>
                <w:b/>
                <w:bCs/>
                <w:color w:val="auto"/>
                <w:kern w:val="0"/>
                <w:sz w:val="24"/>
                <w:szCs w:val="24"/>
              </w:rPr>
              <w:t>日历日</w:t>
            </w:r>
            <w:r>
              <w:rPr>
                <w:rFonts w:hint="eastAsia" w:ascii="Times New Roman" w:hAnsi="Times New Roman" w:cs="Times New Roman"/>
                <w:color w:val="auto"/>
                <w:kern w:val="0"/>
                <w:sz w:val="24"/>
                <w:szCs w:val="24"/>
              </w:rPr>
              <w:t>内保持有效。</w:t>
            </w:r>
          </w:p>
        </w:tc>
      </w:tr>
      <w:tr w14:paraId="64AE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16ECDD35">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14:paraId="54F06D4B">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报价方式</w:t>
            </w:r>
          </w:p>
        </w:tc>
        <w:tc>
          <w:tcPr>
            <w:tcW w:w="6926" w:type="dxa"/>
            <w:tcBorders>
              <w:top w:val="single" w:color="auto" w:sz="4" w:space="0"/>
              <w:left w:val="single" w:color="auto" w:sz="4" w:space="0"/>
              <w:bottom w:val="single" w:color="auto" w:sz="4" w:space="0"/>
              <w:right w:val="single" w:color="auto" w:sz="4" w:space="0"/>
            </w:tcBorders>
            <w:vAlign w:val="center"/>
          </w:tcPr>
          <w:p w14:paraId="30B1D184">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按综合报价方式，即交钥匙工程。</w:t>
            </w:r>
            <w:r>
              <w:rPr>
                <w:b/>
                <w:bCs/>
                <w:color w:val="auto"/>
                <w:kern w:val="0"/>
                <w:sz w:val="24"/>
              </w:rPr>
              <w:t>最后报价超过采购预算的，其响应文件无效</w:t>
            </w:r>
            <w:r>
              <w:rPr>
                <w:color w:val="auto"/>
                <w:kern w:val="0"/>
                <w:sz w:val="24"/>
              </w:rPr>
              <w:t>。</w:t>
            </w:r>
          </w:p>
        </w:tc>
      </w:tr>
      <w:tr w14:paraId="0F91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6" w:type="dxa"/>
            <w:tcBorders>
              <w:top w:val="single" w:color="auto" w:sz="4" w:space="0"/>
              <w:left w:val="single" w:color="auto" w:sz="4" w:space="0"/>
              <w:bottom w:val="single" w:color="auto" w:sz="4" w:space="0"/>
              <w:right w:val="single" w:color="auto" w:sz="4" w:space="0"/>
            </w:tcBorders>
            <w:vAlign w:val="center"/>
          </w:tcPr>
          <w:p w14:paraId="3B2CABBC">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13</w:t>
            </w:r>
          </w:p>
        </w:tc>
        <w:tc>
          <w:tcPr>
            <w:tcW w:w="1241" w:type="dxa"/>
            <w:tcBorders>
              <w:top w:val="single" w:color="auto" w:sz="4" w:space="0"/>
              <w:left w:val="single" w:color="auto" w:sz="4" w:space="0"/>
              <w:bottom w:val="single" w:color="auto" w:sz="4" w:space="0"/>
              <w:right w:val="single" w:color="auto" w:sz="4" w:space="0"/>
            </w:tcBorders>
            <w:vAlign w:val="center"/>
          </w:tcPr>
          <w:p w14:paraId="423A217F">
            <w:pPr>
              <w:pStyle w:val="88"/>
              <w:jc w:val="both"/>
              <w:rPr>
                <w:rFonts w:ascii="Times New Roman" w:hAnsi="Times New Roman" w:cs="Times New Roman"/>
                <w:color w:val="auto"/>
                <w:sz w:val="24"/>
                <w:szCs w:val="24"/>
                <w:lang w:val="en-US"/>
              </w:rPr>
            </w:pPr>
            <w:r>
              <w:rPr>
                <w:rFonts w:ascii="Times New Roman" w:hAnsi="Times New Roman" w:cs="Times New Roman"/>
                <w:color w:val="auto"/>
                <w:sz w:val="24"/>
              </w:rPr>
              <w:t>电子响应文件的签章、加密与递交</w:t>
            </w:r>
          </w:p>
        </w:tc>
        <w:tc>
          <w:tcPr>
            <w:tcW w:w="69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0BBF64">
            <w:pPr>
              <w:widowControl w:val="0"/>
              <w:autoSpaceDE w:val="0"/>
              <w:autoSpaceDN w:val="0"/>
              <w:spacing w:before="0" w:after="0" w:line="240" w:lineRule="exact"/>
              <w:ind w:left="420" w:leftChars="0" w:right="0" w:hanging="420" w:hangingChars="175"/>
              <w:jc w:val="left"/>
              <w:rPr>
                <w:rFonts w:ascii="Times New Roman" w:hAnsi="Times New Roman" w:cs="Times New Roman"/>
                <w:color w:val="auto"/>
                <w:sz w:val="24"/>
                <w:szCs w:val="24"/>
                <w:lang w:val="en-US"/>
              </w:rPr>
            </w:pPr>
            <w:r>
              <w:rPr>
                <w:rFonts w:ascii="Times New Roman" w:hAnsi="Times New Roman" w:cs="Times New Roman" w:eastAsiaTheme="minorEastAsia"/>
                <w:color w:val="auto"/>
                <w:kern w:val="0"/>
                <w:sz w:val="24"/>
                <w:szCs w:val="24"/>
                <w:lang w:val="en-US" w:eastAsia="zh-CN" w:bidi="ar-SA"/>
              </w:rPr>
              <w:t>（1）签章。响应文件格式文件要求“盖单位章”的地方，供应商应使用CA 数字证书加盖供应商的单位电子印章；要求“签字”的地方，供应商应由法定代表人或授权委托人签字或使用CA数字证书加盖法定代表人的个人电子印章或电子签名章</w:t>
            </w:r>
            <w:r>
              <w:rPr>
                <w:rFonts w:hint="eastAsia" w:ascii="Times New Roman" w:hAnsi="Times New Roman" w:cs="Times New Roman"/>
                <w:color w:val="auto"/>
                <w:kern w:val="0"/>
                <w:sz w:val="24"/>
                <w:szCs w:val="24"/>
                <w:lang w:val="en-US" w:eastAsia="zh-CN" w:bidi="ar-SA"/>
              </w:rPr>
              <w:t>，</w:t>
            </w:r>
            <w:r>
              <w:rPr>
                <w:rFonts w:ascii="Times New Roman" w:hAnsi="Times New Roman" w:cs="Times New Roman" w:eastAsiaTheme="minorEastAsia"/>
                <w:color w:val="auto"/>
                <w:kern w:val="0"/>
                <w:sz w:val="24"/>
                <w:szCs w:val="24"/>
                <w:lang w:val="en-US" w:eastAsia="zh-CN" w:bidi="ar-SA"/>
              </w:rPr>
              <w:t>否则按照无效响应处理，</w:t>
            </w:r>
            <w:r>
              <w:rPr>
                <w:rFonts w:ascii="Times New Roman" w:hAnsi="Times New Roman" w:cs="Times New Roman" w:eastAsiaTheme="minorEastAsia"/>
                <w:b/>
                <w:bCs/>
                <w:color w:val="auto"/>
                <w:kern w:val="0"/>
                <w:sz w:val="24"/>
                <w:szCs w:val="24"/>
                <w:lang w:val="en-US" w:eastAsia="zh-CN" w:bidi="ar-SA"/>
              </w:rPr>
              <w:t>响应文件无效</w:t>
            </w:r>
            <w:r>
              <w:rPr>
                <w:rFonts w:ascii="Times New Roman" w:hAnsi="Times New Roman" w:cs="Times New Roman" w:eastAsiaTheme="minorEastAsia"/>
                <w:color w:val="auto"/>
                <w:kern w:val="0"/>
                <w:sz w:val="24"/>
                <w:szCs w:val="24"/>
                <w:lang w:val="en-US" w:eastAsia="zh-CN" w:bidi="ar-SA"/>
              </w:rPr>
              <w:t>。</w:t>
            </w:r>
          </w:p>
          <w:p w14:paraId="13E698CC">
            <w:pPr>
              <w:pStyle w:val="88"/>
              <w:ind w:left="48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密码保护。供应商应牢记上传电子响应文件加密密码并严格保密，该密码将用于解密其电子响应文件。如忘记或输入错误密码超过5次，其递交的电子响应文件将无法解密，导致无法提取数据，致使其磋商失败。</w:t>
            </w:r>
          </w:p>
          <w:p w14:paraId="7CD62876">
            <w:pPr>
              <w:pStyle w:val="88"/>
              <w:ind w:left="480" w:leftChars="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（3）递交。</w:t>
            </w:r>
            <w:r>
              <w:rPr>
                <w:rFonts w:hint="eastAsia" w:ascii="Times New Roman" w:hAnsi="Times New Roman" w:eastAsia="宋体" w:cs="Times New Roman"/>
                <w:b/>
                <w:bCs/>
                <w:color w:val="0000FF"/>
                <w:kern w:val="0"/>
                <w:sz w:val="24"/>
                <w:szCs w:val="24"/>
                <w:lang w:val="en-US" w:eastAsia="zh-CN" w:bidi="ar-SA"/>
              </w:rPr>
              <w:t>供应商应在采购文件规定递交响应文件截止时间前，通过随州市随县政府电子采购平台的响应文件递交界面，成功递交电子响应文件（PDF格式）和数据文件（PDF格式）</w:t>
            </w:r>
            <w:r>
              <w:rPr>
                <w:rFonts w:hint="eastAsia" w:ascii="Times New Roman" w:hAnsi="Times New Roman" w:eastAsia="宋体" w:cs="Times New Roman"/>
                <w:b/>
                <w:bCs/>
                <w:color w:val="0000FF"/>
                <w:kern w:val="0"/>
                <w:sz w:val="24"/>
                <w:szCs w:val="24"/>
                <w:highlight w:val="yellow"/>
                <w:lang w:val="en-US" w:eastAsia="zh-CN" w:bidi="ar-SA"/>
              </w:rPr>
              <w:t>并签到</w:t>
            </w:r>
            <w:r>
              <w:rPr>
                <w:rFonts w:ascii="Times New Roman" w:hAnsi="Times New Roman" w:cs="Times New Roman"/>
                <w:color w:val="auto"/>
                <w:sz w:val="24"/>
                <w:szCs w:val="24"/>
                <w:lang w:val="en-US"/>
              </w:rPr>
              <w:t>。电子响应文件提交前，系统会自动在本地进行加密和数字签名，加密和数字签名后的文件除上传到系统中之外还会同步保存到本地计算机。</w:t>
            </w:r>
          </w:p>
        </w:tc>
      </w:tr>
      <w:tr w14:paraId="5B09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Borders>
              <w:top w:val="single" w:color="auto" w:sz="4" w:space="0"/>
              <w:left w:val="single" w:color="auto" w:sz="4" w:space="0"/>
              <w:bottom w:val="single" w:color="auto" w:sz="4" w:space="0"/>
              <w:right w:val="single" w:color="auto" w:sz="4" w:space="0"/>
            </w:tcBorders>
            <w:vAlign w:val="center"/>
          </w:tcPr>
          <w:p w14:paraId="42E20F5D">
            <w:pPr>
              <w:jc w:val="center"/>
              <w:rPr>
                <w:rFonts w:hint="default" w:ascii="Times New Roman" w:hAnsi="Times New Roman" w:cs="Times New Roman" w:eastAsiaTheme="minorEastAsia"/>
                <w:color w:val="auto"/>
                <w:kern w:val="0"/>
                <w:sz w:val="24"/>
                <w:szCs w:val="24"/>
                <w:lang w:val="en-US" w:eastAsia="zh-CN"/>
              </w:rPr>
            </w:pPr>
            <w:r>
              <w:rPr>
                <w:rFonts w:hint="eastAsia"/>
                <w:color w:val="auto"/>
                <w:kern w:val="0"/>
                <w:sz w:val="24"/>
                <w:lang w:val="en-US" w:eastAsia="zh-CN"/>
              </w:rPr>
              <w:t>15</w:t>
            </w:r>
          </w:p>
        </w:tc>
        <w:tc>
          <w:tcPr>
            <w:tcW w:w="1241" w:type="dxa"/>
            <w:tcBorders>
              <w:top w:val="single" w:color="auto" w:sz="4" w:space="0"/>
              <w:left w:val="single" w:color="auto" w:sz="4" w:space="0"/>
              <w:bottom w:val="single" w:color="auto" w:sz="4" w:space="0"/>
              <w:right w:val="single" w:color="auto" w:sz="4" w:space="0"/>
            </w:tcBorders>
            <w:vAlign w:val="center"/>
          </w:tcPr>
          <w:p w14:paraId="358C7633">
            <w:pPr>
              <w:pStyle w:val="88"/>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磋商小组组成</w:t>
            </w:r>
          </w:p>
        </w:tc>
        <w:tc>
          <w:tcPr>
            <w:tcW w:w="6926" w:type="dxa"/>
            <w:tcBorders>
              <w:top w:val="single" w:color="auto" w:sz="4" w:space="0"/>
              <w:left w:val="single" w:color="auto" w:sz="4" w:space="0"/>
              <w:bottom w:val="single" w:color="auto" w:sz="4" w:space="0"/>
              <w:right w:val="single" w:color="auto" w:sz="4" w:space="0"/>
            </w:tcBorders>
            <w:vAlign w:val="center"/>
          </w:tcPr>
          <w:p w14:paraId="69012AC4">
            <w:pPr>
              <w:pStyle w:val="88"/>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由采购人代表和</w:t>
            </w:r>
            <w:r>
              <w:rPr>
                <w:rFonts w:ascii="Times New Roman" w:hAnsi="Times New Roman" w:cs="Times New Roman"/>
                <w:color w:val="auto"/>
                <w:sz w:val="24"/>
                <w:szCs w:val="24"/>
                <w:u w:val="single"/>
                <w:lang w:val="en-US"/>
              </w:rPr>
              <w:t xml:space="preserve"> 2 </w:t>
            </w:r>
            <w:r>
              <w:rPr>
                <w:rFonts w:ascii="Times New Roman" w:hAnsi="Times New Roman" w:cs="Times New Roman"/>
                <w:color w:val="auto"/>
                <w:sz w:val="24"/>
                <w:szCs w:val="24"/>
                <w:lang w:val="en-US"/>
              </w:rPr>
              <w:t>名评审专家组成，评审专家从省级政府采购专家库中随机抽取。</w:t>
            </w:r>
          </w:p>
        </w:tc>
      </w:tr>
      <w:tr w14:paraId="476D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16" w:type="dxa"/>
            <w:tcBorders>
              <w:top w:val="single" w:color="auto" w:sz="4" w:space="0"/>
              <w:left w:val="single" w:color="auto" w:sz="4" w:space="0"/>
              <w:bottom w:val="single" w:color="auto" w:sz="4" w:space="0"/>
              <w:right w:val="single" w:color="auto" w:sz="4" w:space="0"/>
            </w:tcBorders>
            <w:vAlign w:val="center"/>
          </w:tcPr>
          <w:p w14:paraId="03F6839D">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16</w:t>
            </w:r>
          </w:p>
        </w:tc>
        <w:tc>
          <w:tcPr>
            <w:tcW w:w="1241" w:type="dxa"/>
            <w:tcBorders>
              <w:top w:val="single" w:color="auto" w:sz="4" w:space="0"/>
              <w:left w:val="single" w:color="auto" w:sz="4" w:space="0"/>
              <w:bottom w:val="single" w:color="auto" w:sz="4" w:space="0"/>
              <w:right w:val="single" w:color="auto" w:sz="4" w:space="0"/>
            </w:tcBorders>
            <w:vAlign w:val="center"/>
          </w:tcPr>
          <w:p w14:paraId="44F10BBA">
            <w:pPr>
              <w:pStyle w:val="88"/>
              <w:jc w:val="both"/>
              <w:rPr>
                <w:rFonts w:ascii="Times New Roman" w:hAnsi="Times New Roman" w:cs="Times New Roman"/>
                <w:color w:val="auto"/>
                <w:sz w:val="24"/>
                <w:szCs w:val="24"/>
              </w:rPr>
            </w:pPr>
            <w:r>
              <w:rPr>
                <w:rFonts w:hint="eastAsia" w:ascii="Times New Roman" w:hAnsi="Times New Roman" w:cs="Times New Roman"/>
                <w:color w:val="auto"/>
                <w:sz w:val="24"/>
                <w:szCs w:val="24"/>
                <w:lang w:val="en-US"/>
              </w:rPr>
              <w:t>磋商时间和地点</w:t>
            </w:r>
          </w:p>
        </w:tc>
        <w:tc>
          <w:tcPr>
            <w:tcW w:w="6926" w:type="dxa"/>
            <w:tcBorders>
              <w:top w:val="single" w:color="auto" w:sz="4" w:space="0"/>
              <w:left w:val="single" w:color="auto" w:sz="4" w:space="0"/>
              <w:bottom w:val="single" w:color="auto" w:sz="4" w:space="0"/>
              <w:right w:val="single" w:color="auto" w:sz="4" w:space="0"/>
            </w:tcBorders>
            <w:vAlign w:val="center"/>
          </w:tcPr>
          <w:p w14:paraId="2A7E2C89">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eastAsia="宋体" w:cs="Times New Roman"/>
                <w:b/>
                <w:bCs/>
                <w:color w:val="auto"/>
                <w:kern w:val="0"/>
                <w:sz w:val="24"/>
                <w:szCs w:val="24"/>
                <w:lang w:eastAsia="zh-CN"/>
              </w:rPr>
            </w:pPr>
            <w:r>
              <w:rPr>
                <w:rFonts w:hint="eastAsia" w:ascii="Times New Roman" w:hAnsi="Times New Roman" w:eastAsia="宋体" w:cs="Times New Roman"/>
                <w:b/>
                <w:bCs/>
                <w:color w:val="auto"/>
                <w:kern w:val="0"/>
                <w:sz w:val="24"/>
                <w:szCs w:val="24"/>
              </w:rPr>
              <w:t>磋商时间：</w:t>
            </w:r>
            <w:r>
              <w:rPr>
                <w:rFonts w:hint="eastAsia" w:ascii="宋体" w:hAnsi="宋体" w:eastAsia="宋体" w:cs="宋体"/>
                <w:color w:val="auto"/>
                <w:sz w:val="24"/>
                <w:szCs w:val="24"/>
                <w:lang w:val="en-US" w:eastAsia="zh-CN"/>
              </w:rPr>
              <w:t>详见竞争性磋商公告</w:t>
            </w:r>
            <w:r>
              <w:rPr>
                <w:rFonts w:hint="eastAsia" w:ascii="Times New Roman" w:hAnsi="Times New Roman" w:eastAsia="宋体" w:cs="Times New Roman"/>
                <w:b/>
                <w:bCs/>
                <w:color w:val="0000FF"/>
                <w:kern w:val="0"/>
                <w:sz w:val="24"/>
                <w:szCs w:val="24"/>
                <w:lang w:val="en-US" w:eastAsia="zh-CN"/>
              </w:rPr>
              <w:t>。</w:t>
            </w:r>
          </w:p>
          <w:p w14:paraId="109A190D">
            <w:pPr>
              <w:rPr>
                <w:rFonts w:hint="eastAsia" w:ascii="Times New Roman" w:hAnsi="Times New Roman" w:eastAsia="宋体" w:cs="Times New Roman"/>
                <w:color w:val="auto"/>
                <w:kern w:val="0"/>
                <w:sz w:val="24"/>
                <w:szCs w:val="24"/>
                <w:lang w:val="en-US"/>
              </w:rPr>
            </w:pPr>
            <w:r>
              <w:rPr>
                <w:rFonts w:hint="eastAsia" w:ascii="Times New Roman" w:hAnsi="Times New Roman" w:eastAsia="宋体" w:cs="Times New Roman"/>
                <w:color w:val="auto"/>
                <w:kern w:val="0"/>
                <w:sz w:val="24"/>
                <w:szCs w:val="24"/>
              </w:rPr>
              <w:t>供应商法人或授权代表应携带随州</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rPr>
              <w:t>政府电子采购平台具有电子签章功能的CA锁，于递交响应文件截止时间前，到磋商现场或线上解密响应文件，参加磋商过程。为了确保视频磋商效果，建议供应商携带安装湖北省政府采购电子平台相关软件，且调试完好的计算机参加磋商。</w:t>
            </w:r>
          </w:p>
        </w:tc>
      </w:tr>
      <w:tr w14:paraId="2978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816" w:type="dxa"/>
            <w:tcBorders>
              <w:top w:val="single" w:color="auto" w:sz="4" w:space="0"/>
              <w:left w:val="single" w:color="auto" w:sz="4" w:space="0"/>
              <w:bottom w:val="single" w:color="auto" w:sz="4" w:space="0"/>
              <w:right w:val="single" w:color="auto" w:sz="4" w:space="0"/>
            </w:tcBorders>
            <w:vAlign w:val="center"/>
          </w:tcPr>
          <w:p w14:paraId="6F9E9EDB">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17</w:t>
            </w:r>
          </w:p>
        </w:tc>
        <w:tc>
          <w:tcPr>
            <w:tcW w:w="1241" w:type="dxa"/>
            <w:tcBorders>
              <w:top w:val="single" w:color="auto" w:sz="4" w:space="0"/>
              <w:left w:val="single" w:color="auto" w:sz="4" w:space="0"/>
              <w:bottom w:val="single" w:color="auto" w:sz="4" w:space="0"/>
              <w:right w:val="single" w:color="auto" w:sz="4" w:space="0"/>
            </w:tcBorders>
            <w:vAlign w:val="center"/>
          </w:tcPr>
          <w:p w14:paraId="28318242">
            <w:pPr>
              <w:pStyle w:val="88"/>
              <w:jc w:val="both"/>
              <w:rPr>
                <w:rFonts w:ascii="Times New Roman" w:hAnsi="Times New Roman" w:cs="Times New Roman"/>
                <w:color w:val="auto"/>
                <w:sz w:val="24"/>
                <w:szCs w:val="24"/>
                <w:lang w:val="en-US"/>
              </w:rPr>
            </w:pPr>
            <w:r>
              <w:rPr>
                <w:rFonts w:ascii="Times New Roman" w:hAnsi="Times New Roman" w:cs="Times New Roman"/>
                <w:bCs/>
                <w:color w:val="auto"/>
                <w:sz w:val="24"/>
              </w:rPr>
              <w:t>落实政府采购政策</w:t>
            </w:r>
          </w:p>
        </w:tc>
        <w:tc>
          <w:tcPr>
            <w:tcW w:w="6926" w:type="dxa"/>
            <w:tcBorders>
              <w:top w:val="single" w:color="auto" w:sz="4" w:space="0"/>
              <w:left w:val="single" w:color="auto" w:sz="4" w:space="0"/>
              <w:bottom w:val="single" w:color="auto" w:sz="4" w:space="0"/>
              <w:right w:val="single" w:color="auto" w:sz="4" w:space="0"/>
            </w:tcBorders>
            <w:vAlign w:val="center"/>
          </w:tcPr>
          <w:p w14:paraId="5755040B">
            <w:pPr>
              <w:pStyle w:val="88"/>
              <w:numPr>
                <w:ilvl w:val="0"/>
                <w:numId w:val="8"/>
              </w:numPr>
              <w:ind w:left="600" w:hanging="602" w:hangingChars="250"/>
              <w:jc w:val="both"/>
              <w:rPr>
                <w:rFonts w:hint="eastAsia" w:asciiTheme="minorHAnsi" w:hAnsiTheme="minorHAnsi" w:eastAsiaTheme="minorEastAsia" w:cstheme="minorBidi"/>
                <w:b/>
                <w:bCs w:val="0"/>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本项目非专门面向中小企业</w:t>
            </w:r>
          </w:p>
          <w:p w14:paraId="3FD8703C">
            <w:pPr>
              <w:pStyle w:val="88"/>
              <w:numPr>
                <w:ilvl w:val="0"/>
                <w:numId w:val="8"/>
              </w:numPr>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监狱企业、残疾人福利性单位视同小型、微型企业。</w:t>
            </w:r>
          </w:p>
          <w:p w14:paraId="73F4F3A3">
            <w:pPr>
              <w:pStyle w:val="88"/>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）小微企业、监狱企业、残疾人福利性单位报价评审办法按</w:t>
            </w:r>
            <w:r>
              <w:rPr>
                <w:rFonts w:ascii="Times New Roman" w:hAnsi="Times New Roman" w:cs="Times New Roman"/>
                <w:color w:val="auto"/>
                <w:sz w:val="24"/>
                <w:szCs w:val="24"/>
              </w:rPr>
              <w:t>6%</w:t>
            </w:r>
            <w:r>
              <w:rPr>
                <w:rFonts w:hint="eastAsia" w:ascii="Times New Roman" w:hAnsi="Times New Roman" w:cs="Times New Roman"/>
                <w:color w:val="auto"/>
                <w:sz w:val="24"/>
                <w:szCs w:val="24"/>
              </w:rPr>
              <w:t>的价格扣除。</w:t>
            </w:r>
          </w:p>
          <w:p w14:paraId="6A3B403C">
            <w:pPr>
              <w:pStyle w:val="88"/>
              <w:ind w:left="600" w:hanging="600" w:hangingChars="250"/>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以上的，价格扣除比例为</w:t>
            </w:r>
            <w:r>
              <w:rPr>
                <w:rFonts w:ascii="Times New Roman" w:hAnsi="Times New Roman" w:cs="Times New Roman"/>
                <w:color w:val="auto"/>
                <w:sz w:val="24"/>
                <w:szCs w:val="24"/>
              </w:rPr>
              <w:t>3%</w:t>
            </w:r>
            <w:r>
              <w:rPr>
                <w:rFonts w:hint="eastAsia" w:ascii="Times New Roman" w:hAnsi="Times New Roman" w:cs="Times New Roman"/>
                <w:color w:val="auto"/>
                <w:sz w:val="24"/>
                <w:szCs w:val="24"/>
              </w:rPr>
              <w:t>。</w:t>
            </w:r>
          </w:p>
        </w:tc>
      </w:tr>
      <w:tr w14:paraId="307F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5C3E380F">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18</w:t>
            </w:r>
          </w:p>
        </w:tc>
        <w:tc>
          <w:tcPr>
            <w:tcW w:w="1241" w:type="dxa"/>
            <w:tcBorders>
              <w:top w:val="single" w:color="auto" w:sz="4" w:space="0"/>
              <w:left w:val="single" w:color="auto" w:sz="4" w:space="0"/>
              <w:bottom w:val="single" w:color="auto" w:sz="4" w:space="0"/>
              <w:right w:val="single" w:color="auto" w:sz="4" w:space="0"/>
            </w:tcBorders>
            <w:vAlign w:val="center"/>
          </w:tcPr>
          <w:p w14:paraId="365929ED">
            <w:pPr>
              <w:pStyle w:val="88"/>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确定成交供应商办法</w:t>
            </w:r>
          </w:p>
        </w:tc>
        <w:tc>
          <w:tcPr>
            <w:tcW w:w="6926" w:type="dxa"/>
            <w:tcBorders>
              <w:top w:val="single" w:color="auto" w:sz="4" w:space="0"/>
              <w:left w:val="single" w:color="auto" w:sz="4" w:space="0"/>
              <w:bottom w:val="single" w:color="auto" w:sz="4" w:space="0"/>
              <w:right w:val="single" w:color="auto" w:sz="4" w:space="0"/>
            </w:tcBorders>
            <w:vAlign w:val="center"/>
          </w:tcPr>
          <w:p w14:paraId="09D697BB">
            <w:pPr>
              <w:pStyle w:val="88"/>
              <w:ind w:left="107"/>
              <w:jc w:val="both"/>
              <w:rPr>
                <w:rFonts w:ascii="Times New Roman" w:hAnsi="Times New Roman" w:cs="Times New Roman"/>
                <w:color w:val="auto"/>
                <w:sz w:val="24"/>
                <w:szCs w:val="24"/>
                <w:lang w:val="en-US"/>
              </w:rPr>
            </w:pPr>
            <w:r>
              <w:rPr>
                <w:rFonts w:hint="eastAsia" w:ascii="Times New Roman" w:hAnsi="Times New Roman" w:cs="Times New Roman"/>
                <w:bCs/>
                <w:color w:val="auto"/>
                <w:sz w:val="24"/>
                <w:szCs w:val="24"/>
              </w:rPr>
              <w:t>磋商小组根据综合评分情况，按照评审得分由高到低顺序推荐</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名以上成交候选供应商，并编写评审报告。评审得分相同的，按照最终报价由低到高的顺序推荐。评审得分且最后报价相同的，按照技术指标优劣顺序推荐</w:t>
            </w:r>
            <w:r>
              <w:rPr>
                <w:rFonts w:hint="eastAsia" w:ascii="Times New Roman" w:hAnsi="Times New Roman" w:cs="Times New Roman"/>
                <w:color w:val="auto"/>
                <w:sz w:val="24"/>
                <w:szCs w:val="24"/>
              </w:rPr>
              <w:t>。</w:t>
            </w:r>
          </w:p>
        </w:tc>
      </w:tr>
      <w:tr w14:paraId="44C5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134A7307">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19</w:t>
            </w:r>
          </w:p>
        </w:tc>
        <w:tc>
          <w:tcPr>
            <w:tcW w:w="1241" w:type="dxa"/>
            <w:tcBorders>
              <w:top w:val="single" w:color="auto" w:sz="4" w:space="0"/>
              <w:left w:val="single" w:color="auto" w:sz="4" w:space="0"/>
              <w:bottom w:val="single" w:color="auto" w:sz="4" w:space="0"/>
              <w:right w:val="single" w:color="auto" w:sz="4" w:space="0"/>
            </w:tcBorders>
            <w:vAlign w:val="center"/>
          </w:tcPr>
          <w:p w14:paraId="7E3805CB">
            <w:pPr>
              <w:pStyle w:val="88"/>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公告媒体</w:t>
            </w:r>
          </w:p>
        </w:tc>
        <w:tc>
          <w:tcPr>
            <w:tcW w:w="6926" w:type="dxa"/>
            <w:tcBorders>
              <w:top w:val="single" w:color="auto" w:sz="4" w:space="0"/>
              <w:left w:val="single" w:color="auto" w:sz="4" w:space="0"/>
              <w:bottom w:val="single" w:color="auto" w:sz="4" w:space="0"/>
              <w:right w:val="single" w:color="auto" w:sz="4" w:space="0"/>
            </w:tcBorders>
            <w:vAlign w:val="center"/>
          </w:tcPr>
          <w:p w14:paraId="45430C29">
            <w:pPr>
              <w:pStyle w:val="88"/>
              <w:ind w:left="107"/>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湖北省政府采购网</w:t>
            </w:r>
            <w:r>
              <w:rPr>
                <w:rFonts w:hint="eastAsia" w:ascii="Times New Roman" w:hAnsi="Times New Roman" w:cs="Times New Roman"/>
                <w:color w:val="auto"/>
                <w:sz w:val="24"/>
                <w:szCs w:val="24"/>
                <w:lang w:val="en-US" w:eastAsia="zh-CN"/>
              </w:rPr>
              <w:t>。供应商应在随州市随县政府电子采购平台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p>
        </w:tc>
      </w:tr>
      <w:tr w14:paraId="66F6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2BF4565C">
            <w:pPr>
              <w:jc w:val="center"/>
              <w:rPr>
                <w:rFonts w:hint="eastAsia"/>
                <w:color w:val="auto"/>
                <w:lang w:val="en-US" w:eastAsia="zh-CN"/>
              </w:rPr>
            </w:pPr>
          </w:p>
          <w:p w14:paraId="33863038">
            <w:pPr>
              <w:jc w:val="center"/>
              <w:rPr>
                <w:rFonts w:hint="default" w:eastAsiaTheme="minorEastAsia"/>
                <w:color w:val="auto"/>
                <w:lang w:val="en-US" w:eastAsia="zh-CN"/>
              </w:rPr>
            </w:pPr>
            <w:r>
              <w:rPr>
                <w:rFonts w:hint="eastAsia"/>
                <w:color w:val="auto"/>
                <w:lang w:val="en-US" w:eastAsia="zh-CN"/>
              </w:rPr>
              <w:t>20</w:t>
            </w:r>
          </w:p>
        </w:tc>
        <w:tc>
          <w:tcPr>
            <w:tcW w:w="1241" w:type="dxa"/>
            <w:tcBorders>
              <w:top w:val="single" w:color="auto" w:sz="4" w:space="0"/>
              <w:left w:val="single" w:color="auto" w:sz="4" w:space="0"/>
              <w:bottom w:val="single" w:color="auto" w:sz="4" w:space="0"/>
              <w:right w:val="single" w:color="auto" w:sz="4" w:space="0"/>
            </w:tcBorders>
            <w:vAlign w:val="center"/>
          </w:tcPr>
          <w:p w14:paraId="6C9C2DB8">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质疑及回复</w:t>
            </w:r>
          </w:p>
        </w:tc>
        <w:tc>
          <w:tcPr>
            <w:tcW w:w="6926" w:type="dxa"/>
            <w:tcBorders>
              <w:top w:val="single" w:color="auto" w:sz="4" w:space="0"/>
              <w:left w:val="single" w:color="auto" w:sz="4" w:space="0"/>
              <w:bottom w:val="single" w:color="auto" w:sz="4" w:space="0"/>
              <w:right w:val="single" w:color="auto" w:sz="4" w:space="0"/>
            </w:tcBorders>
            <w:vAlign w:val="center"/>
          </w:tcPr>
          <w:p w14:paraId="6FCB44E2">
            <w:pPr>
              <w:pStyle w:val="88"/>
              <w:numPr>
                <w:ilvl w:val="0"/>
                <w:numId w:val="0"/>
              </w:numPr>
              <w:ind w:leftChars="0"/>
              <w:jc w:val="both"/>
              <w:rPr>
                <w:rFonts w:hint="eastAsia"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供应商对采购过程、成交结果有询问或质疑的，可在公告期届满之日起七个工作日内，依据政府采购相关规定，向集中采购机构提出询问或质疑，集中采购机构将按政府采购询问或质疑程序处理。</w:t>
            </w:r>
          </w:p>
        </w:tc>
      </w:tr>
      <w:tr w14:paraId="16A7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6" w:type="dxa"/>
            <w:tcBorders>
              <w:top w:val="single" w:color="auto" w:sz="4" w:space="0"/>
              <w:left w:val="single" w:color="auto" w:sz="4" w:space="0"/>
              <w:bottom w:val="single" w:color="auto" w:sz="4" w:space="0"/>
              <w:right w:val="single" w:color="auto" w:sz="4" w:space="0"/>
            </w:tcBorders>
            <w:vAlign w:val="center"/>
          </w:tcPr>
          <w:p w14:paraId="475FB63A">
            <w:pPr>
              <w:rPr>
                <w:rFonts w:hint="eastAsia" w:asciiTheme="minorHAnsi" w:hAnsiTheme="minorHAnsi" w:eastAsiaTheme="minorEastAsia" w:cstheme="minorBidi"/>
                <w:color w:val="auto"/>
                <w:kern w:val="0"/>
                <w:sz w:val="24"/>
                <w:szCs w:val="22"/>
                <w:lang w:val="en-US" w:eastAsia="zh-CN" w:bidi="ar-SA"/>
              </w:rPr>
            </w:pPr>
            <w:r>
              <w:rPr>
                <w:rFonts w:hint="eastAsia"/>
                <w:color w:val="auto"/>
                <w:kern w:val="0"/>
                <w:sz w:val="24"/>
              </w:rPr>
              <w:t>其他</w:t>
            </w:r>
          </w:p>
        </w:tc>
        <w:tc>
          <w:tcPr>
            <w:tcW w:w="1241" w:type="dxa"/>
            <w:tcBorders>
              <w:top w:val="single" w:color="auto" w:sz="4" w:space="0"/>
              <w:left w:val="single" w:color="auto" w:sz="4" w:space="0"/>
              <w:bottom w:val="single" w:color="auto" w:sz="4" w:space="0"/>
              <w:right w:val="single" w:color="auto" w:sz="4" w:space="0"/>
            </w:tcBorders>
            <w:vAlign w:val="center"/>
          </w:tcPr>
          <w:p w14:paraId="0DABF72E">
            <w:pPr>
              <w:rPr>
                <w:rFonts w:hint="eastAsia" w:asciiTheme="minorHAnsi" w:hAnsiTheme="minorHAnsi" w:eastAsiaTheme="minorEastAsia" w:cstheme="minorBidi"/>
                <w:color w:val="auto"/>
                <w:kern w:val="0"/>
                <w:sz w:val="24"/>
                <w:szCs w:val="22"/>
                <w:lang w:val="en-US" w:eastAsia="zh-CN" w:bidi="ar-SA"/>
              </w:rPr>
            </w:pPr>
            <w:r>
              <w:rPr>
                <w:color w:val="auto"/>
                <w:kern w:val="0"/>
                <w:sz w:val="24"/>
              </w:rPr>
              <w:t>电子</w:t>
            </w:r>
            <w:r>
              <w:rPr>
                <w:rFonts w:hint="eastAsia"/>
                <w:color w:val="auto"/>
                <w:kern w:val="0"/>
                <w:sz w:val="24"/>
              </w:rPr>
              <w:t>化流程</w:t>
            </w:r>
            <w:r>
              <w:rPr>
                <w:color w:val="auto"/>
                <w:kern w:val="0"/>
                <w:sz w:val="24"/>
              </w:rPr>
              <w:t>特别提示</w:t>
            </w:r>
          </w:p>
        </w:tc>
        <w:tc>
          <w:tcPr>
            <w:tcW w:w="6926" w:type="dxa"/>
            <w:tcBorders>
              <w:top w:val="single" w:color="auto" w:sz="4" w:space="0"/>
              <w:left w:val="single" w:color="auto" w:sz="4" w:space="0"/>
              <w:bottom w:val="single" w:color="auto" w:sz="4" w:space="0"/>
              <w:right w:val="single" w:color="auto" w:sz="4" w:space="0"/>
            </w:tcBorders>
            <w:vAlign w:val="center"/>
          </w:tcPr>
          <w:p w14:paraId="7E6185EC">
            <w:pPr>
              <w:ind w:left="278" w:hanging="278" w:hangingChars="116"/>
              <w:rPr>
                <w:color w:val="auto"/>
                <w:sz w:val="24"/>
              </w:rPr>
            </w:pPr>
            <w:r>
              <w:rPr>
                <w:color w:val="auto"/>
                <w:sz w:val="24"/>
              </w:rPr>
              <w:t>（1）本项目采用网上</w:t>
            </w:r>
            <w:r>
              <w:rPr>
                <w:rFonts w:hint="eastAsia"/>
                <w:color w:val="auto"/>
                <w:sz w:val="24"/>
              </w:rPr>
              <w:t>操作</w:t>
            </w:r>
            <w:r>
              <w:rPr>
                <w:color w:val="auto"/>
                <w:sz w:val="24"/>
              </w:rPr>
              <w:t>，参与本项目</w:t>
            </w:r>
            <w:r>
              <w:rPr>
                <w:rFonts w:hint="eastAsia"/>
                <w:color w:val="auto"/>
                <w:sz w:val="24"/>
              </w:rPr>
              <w:t>供应商</w:t>
            </w:r>
            <w:r>
              <w:rPr>
                <w:color w:val="auto"/>
                <w:sz w:val="24"/>
              </w:rPr>
              <w:t>应获得湖北省政府电子采购平台安全证书（CA锁）及电子签章，且安全证书（CA锁）在有效期内。</w:t>
            </w:r>
          </w:p>
          <w:p w14:paraId="2E82DFC4">
            <w:pPr>
              <w:ind w:left="278" w:hanging="278" w:hangingChars="116"/>
              <w:rPr>
                <w:color w:val="auto"/>
                <w:sz w:val="24"/>
              </w:rPr>
            </w:pPr>
            <w:r>
              <w:rPr>
                <w:color w:val="auto"/>
                <w:sz w:val="24"/>
              </w:rPr>
              <w:t>（2）电子</w:t>
            </w:r>
            <w:r>
              <w:rPr>
                <w:rFonts w:hint="eastAsia"/>
                <w:color w:val="auto"/>
                <w:sz w:val="24"/>
              </w:rPr>
              <w:t>响应</w:t>
            </w:r>
            <w:r>
              <w:rPr>
                <w:color w:val="auto"/>
                <w:sz w:val="24"/>
              </w:rPr>
              <w:t>文件制作及递交等有关操作见湖北省政府电子采购平台</w:t>
            </w:r>
            <w:r>
              <w:rPr>
                <w:rFonts w:hint="eastAsia"/>
                <w:color w:val="auto"/>
                <w:sz w:val="24"/>
                <w:lang w:eastAsia="zh-CN"/>
              </w:rPr>
              <w:t>《</w:t>
            </w:r>
            <w:r>
              <w:rPr>
                <w:rFonts w:hint="eastAsia"/>
                <w:color w:val="auto"/>
                <w:sz w:val="24"/>
                <w:lang w:val="en-US" w:eastAsia="zh-CN"/>
              </w:rPr>
              <w:t>供应商</w:t>
            </w:r>
            <w:r>
              <w:rPr>
                <w:color w:val="auto"/>
                <w:sz w:val="24"/>
              </w:rPr>
              <w:t>操作手册》</w:t>
            </w:r>
            <w:r>
              <w:rPr>
                <w:rFonts w:hint="eastAsia"/>
                <w:color w:val="auto"/>
                <w:sz w:val="24"/>
                <w:lang w:eastAsia="zh-CN"/>
              </w:rPr>
              <w:t>（</w:t>
            </w:r>
            <w:r>
              <w:rPr>
                <w:rFonts w:hint="eastAsia"/>
                <w:color w:val="auto"/>
                <w:sz w:val="24"/>
                <w:lang w:val="en-US" w:eastAsia="zh-CN"/>
              </w:rPr>
              <w:t>请自行下载</w:t>
            </w:r>
            <w:r>
              <w:rPr>
                <w:color w:val="auto"/>
                <w:sz w:val="24"/>
              </w:rPr>
              <w:t>网址：</w:t>
            </w:r>
            <w:r>
              <w:rPr>
                <w:rFonts w:hint="eastAsia"/>
                <w:color w:val="auto"/>
                <w:sz w:val="24"/>
              </w:rPr>
              <w:fldChar w:fldCharType="begin"/>
            </w:r>
            <w:r>
              <w:rPr>
                <w:rFonts w:hint="eastAsia"/>
                <w:color w:val="auto"/>
                <w:sz w:val="24"/>
              </w:rPr>
              <w:instrText xml:space="preserve"> HYPERLINK "https://dzcg.hubeigp.gov.cn/assets/special/100/hbenterpoint.html）及辜负" </w:instrText>
            </w:r>
            <w:r>
              <w:rPr>
                <w:rFonts w:hint="eastAsia"/>
                <w:color w:val="auto"/>
                <w:sz w:val="24"/>
              </w:rPr>
              <w:fldChar w:fldCharType="separate"/>
            </w:r>
            <w:r>
              <w:rPr>
                <w:rStyle w:val="47"/>
                <w:rFonts w:hint="eastAsia"/>
                <w:color w:val="auto"/>
                <w:sz w:val="24"/>
              </w:rPr>
              <w:t>https://dzcg.hubeigp.gov.cn/assets/special/100/hbenterpoint.html</w:t>
            </w:r>
            <w:r>
              <w:rPr>
                <w:rStyle w:val="47"/>
                <w:rFonts w:hint="eastAsia"/>
                <w:color w:val="auto"/>
                <w:sz w:val="24"/>
                <w:lang w:eastAsia="zh-CN"/>
              </w:rPr>
              <w:t>）</w:t>
            </w:r>
            <w:r>
              <w:rPr>
                <w:rStyle w:val="47"/>
                <w:rFonts w:hint="eastAsia"/>
                <w:color w:val="auto"/>
                <w:sz w:val="24"/>
                <w:lang w:val="en-US" w:eastAsia="zh-CN"/>
              </w:rPr>
              <w:t>及</w:t>
            </w:r>
            <w:r>
              <w:rPr>
                <w:rFonts w:hint="eastAsia"/>
                <w:color w:val="auto"/>
                <w:sz w:val="24"/>
                <w:lang w:val="en-US" w:eastAsia="zh-CN"/>
              </w:rPr>
              <w:t>磋</w:t>
            </w:r>
            <w:r>
              <w:rPr>
                <w:rFonts w:hint="eastAsia"/>
                <w:color w:val="auto"/>
                <w:sz w:val="24"/>
              </w:rPr>
              <w:fldChar w:fldCharType="end"/>
            </w:r>
            <w:r>
              <w:rPr>
                <w:rFonts w:hint="eastAsia"/>
                <w:color w:val="auto"/>
                <w:sz w:val="24"/>
                <w:lang w:val="en-US" w:eastAsia="zh-CN"/>
              </w:rPr>
              <w:t>商文件</w:t>
            </w:r>
            <w:r>
              <w:rPr>
                <w:color w:val="auto"/>
                <w:sz w:val="24"/>
              </w:rPr>
              <w:t>；另集中采购机构提供电子采购平台供应商咨询服务，QQ群：</w:t>
            </w:r>
            <w:r>
              <w:rPr>
                <w:rFonts w:hint="eastAsia"/>
                <w:color w:val="auto"/>
                <w:sz w:val="24"/>
                <w:lang w:val="en-US" w:eastAsia="zh-CN"/>
              </w:rPr>
              <w:t>463671735/966545752</w:t>
            </w:r>
            <w:r>
              <w:rPr>
                <w:color w:val="auto"/>
                <w:sz w:val="24"/>
              </w:rPr>
              <w:t>，联系电话：</w:t>
            </w:r>
            <w:r>
              <w:rPr>
                <w:rFonts w:hint="eastAsia"/>
                <w:color w:val="auto"/>
                <w:sz w:val="24"/>
                <w:lang w:val="en-US" w:eastAsia="zh-CN"/>
              </w:rPr>
              <w:t xml:space="preserve">4009913966/ </w:t>
            </w:r>
            <w:r>
              <w:rPr>
                <w:rFonts w:hint="eastAsia"/>
                <w:color w:val="auto"/>
                <w:sz w:val="24"/>
              </w:rPr>
              <w:t>027-86620931</w:t>
            </w:r>
            <w:r>
              <w:rPr>
                <w:color w:val="auto"/>
                <w:sz w:val="24"/>
              </w:rPr>
              <w:t>。</w:t>
            </w:r>
          </w:p>
          <w:p w14:paraId="568C42D5">
            <w:pPr>
              <w:ind w:left="278" w:hanging="278" w:hangingChars="116"/>
              <w:rPr>
                <w:color w:val="auto"/>
                <w:sz w:val="24"/>
              </w:rPr>
            </w:pPr>
            <w:r>
              <w:rPr>
                <w:color w:val="auto"/>
                <w:sz w:val="24"/>
              </w:rPr>
              <w:t>（3）交易平台环境要求：</w:t>
            </w:r>
          </w:p>
          <w:p w14:paraId="18CC1926">
            <w:pPr>
              <w:ind w:left="214" w:leftChars="85" w:hanging="36" w:hangingChars="15"/>
              <w:rPr>
                <w:color w:val="auto"/>
                <w:sz w:val="24"/>
              </w:rPr>
            </w:pPr>
            <w:r>
              <w:rPr>
                <w:color w:val="auto"/>
                <w:sz w:val="24"/>
              </w:rPr>
              <w:t>①操作系统：Windows 7及以上版本；</w:t>
            </w:r>
          </w:p>
          <w:p w14:paraId="757C19B6">
            <w:pPr>
              <w:ind w:left="214" w:leftChars="85" w:hanging="36" w:hangingChars="15"/>
              <w:rPr>
                <w:color w:val="auto"/>
                <w:sz w:val="24"/>
              </w:rPr>
            </w:pPr>
            <w:r>
              <w:rPr>
                <w:color w:val="auto"/>
                <w:sz w:val="24"/>
              </w:rPr>
              <w:t>②浏览器：360浏览器、Internet Explorer 11、10；</w:t>
            </w:r>
          </w:p>
          <w:p w14:paraId="5AF8FA3E">
            <w:pPr>
              <w:ind w:left="214" w:leftChars="85" w:hanging="36" w:hangingChars="15"/>
              <w:rPr>
                <w:color w:val="auto"/>
                <w:sz w:val="24"/>
              </w:rPr>
            </w:pPr>
            <w:r>
              <w:rPr>
                <w:color w:val="auto"/>
                <w:sz w:val="24"/>
              </w:rPr>
              <w:t>③办公软件：Microsoft Office 2007-2016完整版、WPS Office 2019个人版、WPS Office 企业版；</w:t>
            </w:r>
          </w:p>
          <w:p w14:paraId="184D2FC3">
            <w:pPr>
              <w:ind w:left="214" w:leftChars="85" w:hanging="36" w:hangingChars="15"/>
              <w:rPr>
                <w:color w:val="auto"/>
                <w:sz w:val="24"/>
              </w:rPr>
            </w:pPr>
            <w:r>
              <w:rPr>
                <w:color w:val="auto"/>
                <w:sz w:val="24"/>
              </w:rPr>
              <w:t>非以上环境可能出现错误影响其</w:t>
            </w:r>
            <w:r>
              <w:rPr>
                <w:rFonts w:hint="eastAsia"/>
                <w:color w:val="auto"/>
                <w:sz w:val="24"/>
                <w:lang w:val="en-US" w:eastAsia="zh-CN"/>
              </w:rPr>
              <w:t>磋商</w:t>
            </w:r>
            <w:r>
              <w:rPr>
                <w:color w:val="auto"/>
                <w:sz w:val="24"/>
              </w:rPr>
              <w:t>，登录交易平台时如提示更新插件则必须更新，否则将影响其电子</w:t>
            </w:r>
            <w:r>
              <w:rPr>
                <w:rFonts w:hint="eastAsia"/>
                <w:color w:val="auto"/>
                <w:sz w:val="24"/>
              </w:rPr>
              <w:t>化操作</w:t>
            </w:r>
            <w:r>
              <w:rPr>
                <w:color w:val="auto"/>
                <w:sz w:val="24"/>
              </w:rPr>
              <w:t>。</w:t>
            </w:r>
          </w:p>
          <w:p w14:paraId="17E9B024">
            <w:pPr>
              <w:ind w:left="278" w:hanging="278" w:hangingChars="116"/>
              <w:rPr>
                <w:color w:val="auto"/>
                <w:sz w:val="24"/>
              </w:rPr>
            </w:pPr>
            <w:r>
              <w:rPr>
                <w:color w:val="auto"/>
                <w:sz w:val="24"/>
              </w:rPr>
              <w:t>（4）供应商在点击项目参与后，应测试以模拟数据填写</w:t>
            </w:r>
            <w:r>
              <w:rPr>
                <w:rFonts w:hint="eastAsia"/>
                <w:color w:val="auto"/>
                <w:sz w:val="24"/>
              </w:rPr>
              <w:t>响应</w:t>
            </w:r>
            <w:r>
              <w:rPr>
                <w:color w:val="auto"/>
                <w:sz w:val="24"/>
              </w:rPr>
              <w:t>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w:t>
            </w:r>
            <w:r>
              <w:rPr>
                <w:rFonts w:hint="eastAsia"/>
                <w:color w:val="auto"/>
                <w:sz w:val="24"/>
              </w:rPr>
              <w:t>提交响应文件</w:t>
            </w:r>
            <w:r>
              <w:rPr>
                <w:color w:val="auto"/>
                <w:sz w:val="24"/>
              </w:rPr>
              <w:t>截止前解决其问题</w:t>
            </w:r>
            <w:r>
              <w:rPr>
                <w:rFonts w:hint="eastAsia"/>
                <w:color w:val="auto"/>
                <w:sz w:val="24"/>
              </w:rPr>
              <w:t>的</w:t>
            </w:r>
            <w:r>
              <w:rPr>
                <w:color w:val="auto"/>
                <w:sz w:val="24"/>
              </w:rPr>
              <w:t>，</w:t>
            </w:r>
            <w:r>
              <w:rPr>
                <w:rFonts w:hint="eastAsia"/>
                <w:color w:val="auto"/>
                <w:sz w:val="24"/>
              </w:rPr>
              <w:t>供应商</w:t>
            </w:r>
            <w:r>
              <w:rPr>
                <w:color w:val="auto"/>
                <w:sz w:val="24"/>
              </w:rPr>
              <w:t>自行承担相应责任。</w:t>
            </w:r>
          </w:p>
          <w:p w14:paraId="23B0D6FE">
            <w:pPr>
              <w:ind w:left="278" w:hanging="278" w:hangingChars="116"/>
              <w:rPr>
                <w:color w:val="auto"/>
                <w:sz w:val="24"/>
              </w:rPr>
            </w:pPr>
            <w:r>
              <w:rPr>
                <w:color w:val="auto"/>
                <w:sz w:val="24"/>
              </w:rPr>
              <w:t>（5）</w:t>
            </w:r>
            <w:r>
              <w:rPr>
                <w:rFonts w:hint="eastAsia"/>
                <w:color w:val="auto"/>
                <w:sz w:val="24"/>
              </w:rPr>
              <w:t>响应</w:t>
            </w:r>
            <w:r>
              <w:rPr>
                <w:color w:val="auto"/>
                <w:sz w:val="24"/>
              </w:rPr>
              <w:t>文件中的相关扫描件应保证清晰度，无法辨认的评审时受到影响的，由</w:t>
            </w:r>
            <w:r>
              <w:rPr>
                <w:rFonts w:hint="eastAsia"/>
                <w:color w:val="auto"/>
                <w:sz w:val="24"/>
              </w:rPr>
              <w:t>供应商</w:t>
            </w:r>
            <w:r>
              <w:rPr>
                <w:color w:val="auto"/>
                <w:sz w:val="24"/>
              </w:rPr>
              <w:t>自行承担相应责任</w:t>
            </w:r>
          </w:p>
          <w:p w14:paraId="4E6977E9">
            <w:pPr>
              <w:ind w:left="278" w:hanging="278" w:hangingChars="116"/>
              <w:rPr>
                <w:color w:val="auto"/>
                <w:sz w:val="24"/>
              </w:rPr>
            </w:pPr>
            <w:r>
              <w:rPr>
                <w:color w:val="auto"/>
                <w:sz w:val="24"/>
              </w:rPr>
              <w:t>（6）</w:t>
            </w:r>
            <w:r>
              <w:rPr>
                <w:rFonts w:hint="eastAsia"/>
                <w:color w:val="auto"/>
                <w:sz w:val="24"/>
              </w:rPr>
              <w:t>供应商若</w:t>
            </w:r>
            <w:r>
              <w:rPr>
                <w:color w:val="auto"/>
                <w:sz w:val="24"/>
              </w:rPr>
              <w:t>现场参加</w:t>
            </w:r>
            <w:r>
              <w:rPr>
                <w:rFonts w:hint="eastAsia"/>
                <w:color w:val="auto"/>
                <w:sz w:val="24"/>
              </w:rPr>
              <w:t>谈判</w:t>
            </w:r>
            <w:r>
              <w:rPr>
                <w:color w:val="auto"/>
                <w:sz w:val="24"/>
              </w:rPr>
              <w:t>，</w:t>
            </w:r>
            <w:r>
              <w:rPr>
                <w:rFonts w:hint="eastAsia"/>
                <w:color w:val="auto"/>
                <w:sz w:val="24"/>
              </w:rPr>
              <w:t>需</w:t>
            </w:r>
            <w:r>
              <w:rPr>
                <w:color w:val="auto"/>
                <w:sz w:val="24"/>
              </w:rPr>
              <w:t>携带CA锁和笔记本电脑（操作系统：Windows 7及以上版本），以便线上进行</w:t>
            </w:r>
            <w:r>
              <w:rPr>
                <w:rFonts w:hint="eastAsia"/>
                <w:color w:val="auto"/>
                <w:sz w:val="24"/>
              </w:rPr>
              <w:t>谈判</w:t>
            </w:r>
            <w:r>
              <w:rPr>
                <w:color w:val="auto"/>
                <w:sz w:val="24"/>
              </w:rPr>
              <w:t>操作。</w:t>
            </w:r>
          </w:p>
          <w:p w14:paraId="3469D81B">
            <w:pPr>
              <w:ind w:left="278" w:hanging="278" w:hangingChars="116"/>
              <w:rPr>
                <w:color w:val="auto"/>
                <w:sz w:val="24"/>
              </w:rPr>
            </w:pPr>
            <w:r>
              <w:rPr>
                <w:color w:val="auto"/>
                <w:sz w:val="24"/>
              </w:rPr>
              <w:t>（7）</w:t>
            </w:r>
            <w:r>
              <w:rPr>
                <w:rFonts w:hint="eastAsia"/>
                <w:color w:val="auto"/>
                <w:sz w:val="24"/>
              </w:rPr>
              <w:t>供应商</w:t>
            </w:r>
            <w:r>
              <w:rPr>
                <w:color w:val="auto"/>
                <w:sz w:val="24"/>
              </w:rPr>
              <w:t>应牢记加密密码，该密码将用于</w:t>
            </w:r>
            <w:r>
              <w:rPr>
                <w:rFonts w:hint="eastAsia"/>
                <w:color w:val="auto"/>
                <w:sz w:val="24"/>
              </w:rPr>
              <w:t>报价</w:t>
            </w:r>
            <w:r>
              <w:rPr>
                <w:color w:val="auto"/>
                <w:sz w:val="24"/>
              </w:rPr>
              <w:t>时解密其电子</w:t>
            </w:r>
            <w:r>
              <w:rPr>
                <w:rFonts w:hint="eastAsia"/>
                <w:color w:val="auto"/>
                <w:sz w:val="24"/>
              </w:rPr>
              <w:t>响应</w:t>
            </w:r>
            <w:r>
              <w:rPr>
                <w:color w:val="auto"/>
                <w:sz w:val="24"/>
              </w:rPr>
              <w:t>文件，如忘记密码或输入错误密码超过5次，其递交的电子</w:t>
            </w:r>
            <w:r>
              <w:rPr>
                <w:rFonts w:hint="eastAsia"/>
                <w:color w:val="auto"/>
                <w:sz w:val="24"/>
              </w:rPr>
              <w:t>响应</w:t>
            </w:r>
            <w:r>
              <w:rPr>
                <w:color w:val="auto"/>
                <w:sz w:val="24"/>
              </w:rPr>
              <w:t>文件将无法解密，导致无法提取数据和供他人阅读文件，致使其</w:t>
            </w:r>
            <w:r>
              <w:rPr>
                <w:rFonts w:hint="eastAsia"/>
                <w:color w:val="auto"/>
                <w:sz w:val="24"/>
              </w:rPr>
              <w:t>谈判</w:t>
            </w:r>
            <w:r>
              <w:rPr>
                <w:color w:val="auto"/>
                <w:sz w:val="24"/>
              </w:rPr>
              <w:t>失败。</w:t>
            </w:r>
          </w:p>
          <w:p w14:paraId="02C1B6DC">
            <w:pPr>
              <w:ind w:left="278" w:leftChars="0" w:hanging="278" w:hangingChars="116"/>
              <w:rPr>
                <w:rFonts w:hint="eastAsia" w:asciiTheme="minorHAnsi" w:hAnsiTheme="minorHAnsi" w:eastAsiaTheme="minorEastAsia" w:cstheme="minorBidi"/>
                <w:color w:val="auto"/>
                <w:kern w:val="2"/>
                <w:sz w:val="24"/>
                <w:szCs w:val="22"/>
                <w:lang w:val="en-US" w:eastAsia="zh-CN" w:bidi="ar-SA"/>
              </w:rPr>
            </w:pPr>
            <w:r>
              <w:rPr>
                <w:color w:val="auto"/>
                <w:sz w:val="24"/>
              </w:rPr>
              <w:t>（8）</w:t>
            </w:r>
            <w:r>
              <w:rPr>
                <w:rFonts w:hint="eastAsia"/>
                <w:color w:val="auto"/>
                <w:sz w:val="24"/>
              </w:rPr>
              <w:t>供应商</w:t>
            </w:r>
            <w:r>
              <w:rPr>
                <w:color w:val="auto"/>
                <w:sz w:val="24"/>
              </w:rPr>
              <w:t>应充分考虑到网上</w:t>
            </w:r>
            <w:r>
              <w:rPr>
                <w:rFonts w:hint="eastAsia"/>
                <w:color w:val="auto"/>
                <w:sz w:val="24"/>
              </w:rPr>
              <w:t>递交文件</w:t>
            </w:r>
            <w:r>
              <w:rPr>
                <w:color w:val="auto"/>
                <w:sz w:val="24"/>
              </w:rPr>
              <w:t>会发生的故障风险。对发生的任何故障和风险造成</w:t>
            </w:r>
            <w:r>
              <w:rPr>
                <w:rFonts w:hint="eastAsia"/>
                <w:color w:val="auto"/>
                <w:sz w:val="24"/>
              </w:rPr>
              <w:t>供应商响应</w:t>
            </w:r>
            <w:r>
              <w:rPr>
                <w:color w:val="auto"/>
                <w:sz w:val="24"/>
              </w:rPr>
              <w:t>内容不一致或利益受损或</w:t>
            </w:r>
            <w:r>
              <w:rPr>
                <w:rFonts w:hint="eastAsia"/>
                <w:color w:val="auto"/>
                <w:sz w:val="24"/>
              </w:rPr>
              <w:t>报价</w:t>
            </w:r>
            <w:r>
              <w:rPr>
                <w:color w:val="auto"/>
                <w:sz w:val="24"/>
              </w:rPr>
              <w:t>失败的，集中采购机构和采购人不承担任何责任。</w:t>
            </w:r>
          </w:p>
        </w:tc>
      </w:tr>
    </w:tbl>
    <w:p w14:paraId="0F957F43">
      <w:pPr>
        <w:spacing w:line="440" w:lineRule="exact"/>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br w:type="page"/>
      </w:r>
    </w:p>
    <w:p w14:paraId="560A5E22">
      <w:pPr>
        <w:spacing w:line="500" w:lineRule="exact"/>
        <w:jc w:val="center"/>
        <w:rPr>
          <w:rFonts w:ascii="Times New Roman" w:hAnsi="Times New Roman" w:eastAsia="黑体" w:cs="Times New Roman"/>
          <w:bCs/>
          <w:color w:val="auto"/>
          <w:sz w:val="24"/>
          <w:szCs w:val="24"/>
        </w:rPr>
      </w:pPr>
      <w:r>
        <w:rPr>
          <w:rFonts w:hint="eastAsia" w:ascii="Times New Roman" w:hAnsi="Times New Roman" w:cs="Times New Roman"/>
          <w:b/>
          <w:color w:val="auto"/>
          <w:sz w:val="24"/>
          <w:szCs w:val="24"/>
          <w:lang w:val="hr-HR" w:bidi="ar-EG"/>
        </w:rPr>
        <w:t>二、供应商须知</w:t>
      </w:r>
    </w:p>
    <w:p w14:paraId="6CA24F80">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一、总　则</w:t>
      </w:r>
    </w:p>
    <w:p w14:paraId="4D2FB340">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适用范围</w:t>
      </w:r>
    </w:p>
    <w:p w14:paraId="63181F0A">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本文件仅适用于本文件中所叙述的货物、服务类政府采购项目</w:t>
      </w:r>
      <w:r>
        <w:rPr>
          <w:rFonts w:hint="eastAsia" w:ascii="Times New Roman" w:hAnsi="Times New Roman" w:cs="Times New Roman"/>
          <w:color w:val="auto"/>
          <w:sz w:val="24"/>
          <w:szCs w:val="24"/>
        </w:rPr>
        <w:t>，具体内容见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14:paraId="1C65B11B">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b w:val="0"/>
          <w:bCs/>
          <w:color w:val="auto"/>
        </w:rPr>
      </w:pPr>
      <w:r>
        <w:rPr>
          <w:rFonts w:hint="eastAsia"/>
          <w:bCs/>
          <w:color w:val="auto"/>
          <w:sz w:val="24"/>
        </w:rPr>
        <w:t>1.2按</w:t>
      </w:r>
      <w:r>
        <w:rPr>
          <w:rFonts w:hint="eastAsia" w:cs="宋体"/>
          <w:b/>
          <w:bCs/>
          <w:color w:val="auto"/>
          <w:sz w:val="24"/>
        </w:rPr>
        <w:t>《供应商须知前附表》</w:t>
      </w:r>
      <w:r>
        <w:rPr>
          <w:rFonts w:hint="eastAsia" w:cs="宋体"/>
          <w:bCs/>
          <w:color w:val="auto"/>
          <w:sz w:val="24"/>
        </w:rPr>
        <w:t>规定，</w:t>
      </w:r>
      <w:r>
        <w:rPr>
          <w:bCs/>
          <w:color w:val="auto"/>
          <w:sz w:val="24"/>
        </w:rPr>
        <w:t>在</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政府电子采购平台全流程电子化操作运行期间，本项目实行全流程电子化操作，</w:t>
      </w:r>
      <w:r>
        <w:rPr>
          <w:bCs/>
          <w:color w:val="auto"/>
          <w:sz w:val="24"/>
        </w:rPr>
        <w:t>供应商应按照</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政府电子采购平台要求，熟悉并完成网上所有操作流程。</w:t>
      </w:r>
    </w:p>
    <w:p w14:paraId="2B285EB9">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2. </w:t>
      </w:r>
      <w:r>
        <w:rPr>
          <w:rFonts w:hint="eastAsia" w:ascii="Times New Roman" w:hAnsi="Times New Roman" w:cs="Times New Roman"/>
          <w:bCs/>
          <w:color w:val="auto"/>
          <w:sz w:val="24"/>
          <w:szCs w:val="24"/>
        </w:rPr>
        <w:t>定义</w:t>
      </w:r>
    </w:p>
    <w:p w14:paraId="463AC604">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2.1“</w:t>
      </w:r>
      <w:r>
        <w:rPr>
          <w:rFonts w:hint="eastAsia" w:ascii="Times New Roman" w:hAnsi="Times New Roman" w:cs="Times New Roman"/>
          <w:bCs/>
          <w:color w:val="auto"/>
          <w:sz w:val="24"/>
          <w:szCs w:val="24"/>
        </w:rPr>
        <w:t>监管</w:t>
      </w:r>
      <w:r>
        <w:rPr>
          <w:rFonts w:hint="eastAsia" w:ascii="Times New Roman" w:hAnsi="Times New Roman" w:cs="Times New Roman"/>
          <w:bCs/>
          <w:color w:val="auto"/>
          <w:sz w:val="24"/>
          <w:szCs w:val="24"/>
          <w:lang w:val="en-US" w:eastAsia="zh-CN"/>
        </w:rPr>
        <w:t>部门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14:paraId="7354D456">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2.2“</w:t>
      </w:r>
      <w:r>
        <w:rPr>
          <w:rFonts w:hint="eastAsia" w:ascii="Times New Roman" w:hAnsi="Times New Roman" w:cs="Times New Roman"/>
          <w:bCs/>
          <w:color w:val="auto"/>
          <w:sz w:val="24"/>
          <w:szCs w:val="24"/>
        </w:rPr>
        <w:t>采购人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14:paraId="533D5402">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2.3“</w:t>
      </w:r>
      <w:r>
        <w:rPr>
          <w:rFonts w:hint="eastAsia" w:ascii="Times New Roman" w:hAnsi="Times New Roman" w:cs="Times New Roman"/>
          <w:bCs/>
          <w:color w:val="auto"/>
          <w:sz w:val="24"/>
          <w:szCs w:val="24"/>
        </w:rPr>
        <w:t>集中采购机构</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14:paraId="3942BB18">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2.4“</w:t>
      </w:r>
      <w:r>
        <w:rPr>
          <w:rFonts w:hint="eastAsia" w:ascii="Times New Roman" w:hAnsi="Times New Roman" w:cs="Times New Roman"/>
          <w:bCs/>
          <w:color w:val="auto"/>
          <w:sz w:val="24"/>
          <w:szCs w:val="24"/>
        </w:rPr>
        <w:t>磋商文件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是指：竞争性磋商文件。</w:t>
      </w:r>
    </w:p>
    <w:p w14:paraId="30967463">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2.5“</w:t>
      </w:r>
      <w:r>
        <w:rPr>
          <w:rFonts w:hint="eastAsia" w:ascii="Times New Roman" w:hAnsi="Times New Roman" w:cs="Times New Roman"/>
          <w:bCs/>
          <w:color w:val="auto"/>
          <w:sz w:val="24"/>
          <w:szCs w:val="24"/>
        </w:rPr>
        <w:t>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是指：获得该项目磋商小组确定参加磋商的法人、其他组织或者自然人，</w:t>
      </w:r>
      <w:r>
        <w:rPr>
          <w:rFonts w:hint="eastAsia" w:ascii="Times New Roman" w:hAnsi="Times New Roman" w:cs="Times New Roman"/>
          <w:color w:val="auto"/>
          <w:sz w:val="24"/>
          <w:szCs w:val="24"/>
        </w:rPr>
        <w:t>确定办法见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。如果该供应商在本次磋商中成交，即成为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成交供应商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14:paraId="12B53DFD">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2.6“</w:t>
      </w:r>
      <w:r>
        <w:rPr>
          <w:rFonts w:hint="eastAsia" w:ascii="Times New Roman" w:hAnsi="Times New Roman" w:cs="Times New Roman"/>
          <w:bCs/>
          <w:color w:val="auto"/>
          <w:sz w:val="24"/>
          <w:szCs w:val="24"/>
        </w:rPr>
        <w:t>货物</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是指：是指成交供应商按本文件规定，向采购人提供的一切货物及其相关服务。根据《政府采购法》的相关规定均应是本国货物，另有规定的除外。</w:t>
      </w:r>
    </w:p>
    <w:p w14:paraId="1F3AAEF9">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2.7“</w:t>
      </w:r>
      <w:r>
        <w:rPr>
          <w:rFonts w:hint="eastAsia" w:ascii="Times New Roman" w:hAnsi="Times New Roman" w:cs="Times New Roman"/>
          <w:bCs/>
          <w:color w:val="auto"/>
          <w:sz w:val="24"/>
          <w:szCs w:val="24"/>
        </w:rPr>
        <w:t>服务</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是指：成交供应商按本文件规定向采购人提供的所有服务。</w:t>
      </w:r>
    </w:p>
    <w:p w14:paraId="45B77047">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2.8“</w:t>
      </w:r>
      <w:r>
        <w:rPr>
          <w:rFonts w:hint="eastAsia" w:ascii="Times New Roman" w:hAnsi="Times New Roman" w:cs="Times New Roman"/>
          <w:bCs/>
          <w:color w:val="auto"/>
          <w:sz w:val="24"/>
          <w:szCs w:val="24"/>
        </w:rPr>
        <w:t>响应文件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是指：供应商根据本文件要求编制包含价格、技术、服务和合同草案条款等所有内容的文件。</w:t>
      </w:r>
    </w:p>
    <w:p w14:paraId="647FC46F">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3. </w:t>
      </w:r>
      <w:r>
        <w:rPr>
          <w:rFonts w:hint="eastAsia" w:ascii="Times New Roman" w:hAnsi="Times New Roman" w:cs="Times New Roman"/>
          <w:bCs/>
          <w:color w:val="auto"/>
          <w:sz w:val="24"/>
          <w:szCs w:val="24"/>
        </w:rPr>
        <w:t>磋商文件的获取：详见《供应商须知前附表》。</w:t>
      </w:r>
    </w:p>
    <w:p w14:paraId="30679D94">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hint="eastAsia" w:ascii="Times New Roman" w:hAnsi="Times New Roman" w:cs="Times New Roman"/>
          <w:bCs/>
          <w:color w:val="auto"/>
          <w:sz w:val="24"/>
          <w:szCs w:val="24"/>
        </w:rPr>
      </w:pPr>
      <w:r>
        <w:rPr>
          <w:rFonts w:hint="eastAsia"/>
          <w:color w:val="auto"/>
          <w:sz w:val="24"/>
          <w:lang w:val="en-US" w:eastAsia="zh-CN"/>
        </w:rPr>
        <w:t>4</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rPr>
        <w:t>供应商应具备</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中所列资格条件</w:t>
      </w:r>
      <w:r>
        <w:rPr>
          <w:rFonts w:ascii="Times New Roman" w:hAnsi="Times New Roman" w:cs="Times New Roman"/>
          <w:color w:val="auto"/>
          <w:sz w:val="24"/>
          <w:szCs w:val="24"/>
        </w:rPr>
        <w:t>,</w:t>
      </w:r>
      <w:r>
        <w:rPr>
          <w:rFonts w:hint="eastAsia" w:ascii="Times New Roman" w:hAnsi="Times New Roman" w:cs="Times New Roman"/>
          <w:color w:val="auto"/>
          <w:sz w:val="24"/>
          <w:szCs w:val="24"/>
        </w:rPr>
        <w:t>并提供相关证明材料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对于未提供或提供的材料不符合本文件要求的，</w:t>
      </w:r>
      <w:r>
        <w:rPr>
          <w:rFonts w:hint="eastAsia"/>
          <w:color w:val="auto"/>
          <w:sz w:val="24"/>
        </w:rPr>
        <w:t>其</w:t>
      </w:r>
      <w:r>
        <w:rPr>
          <w:rFonts w:hint="eastAsia"/>
          <w:b/>
          <w:color w:val="auto"/>
          <w:sz w:val="24"/>
        </w:rPr>
        <w:t>响应文件无效</w:t>
      </w:r>
      <w:r>
        <w:rPr>
          <w:rFonts w:hint="eastAsia"/>
          <w:b/>
          <w:color w:val="auto"/>
          <w:sz w:val="24"/>
          <w:lang w:eastAsia="zh-CN"/>
        </w:rPr>
        <w:t>，</w:t>
      </w:r>
      <w:r>
        <w:rPr>
          <w:rFonts w:hint="eastAsia" w:ascii="Times New Roman" w:hAnsi="Times New Roman" w:cs="Times New Roman"/>
          <w:color w:val="auto"/>
          <w:sz w:val="24"/>
          <w:szCs w:val="24"/>
        </w:rPr>
        <w:t>磋商小组</w:t>
      </w:r>
      <w:r>
        <w:rPr>
          <w:rFonts w:hint="eastAsia" w:ascii="Times New Roman" w:hAnsi="Times New Roman" w:cs="Times New Roman"/>
          <w:color w:val="auto"/>
          <w:sz w:val="24"/>
          <w:szCs w:val="24"/>
          <w:lang w:val="en-US" w:eastAsia="zh-CN"/>
        </w:rPr>
        <w:t>有权</w:t>
      </w:r>
      <w:r>
        <w:rPr>
          <w:rFonts w:hint="eastAsia" w:ascii="Times New Roman" w:hAnsi="Times New Roman" w:cs="Times New Roman"/>
          <w:color w:val="auto"/>
          <w:sz w:val="24"/>
          <w:szCs w:val="24"/>
        </w:rPr>
        <w:t>拒绝其参加磋商。资格证明文件</w:t>
      </w:r>
      <w:r>
        <w:rPr>
          <w:rFonts w:hint="eastAsia" w:ascii="Times New Roman" w:hAnsi="Times New Roman" w:cs="Times New Roman"/>
          <w:color w:val="auto"/>
          <w:sz w:val="24"/>
          <w:szCs w:val="24"/>
          <w:lang w:val="en-US" w:eastAsia="zh-CN"/>
        </w:rPr>
        <w:t>必须</w:t>
      </w:r>
      <w:r>
        <w:rPr>
          <w:rFonts w:hint="eastAsia" w:ascii="Times New Roman" w:hAnsi="Times New Roman" w:cs="Times New Roman"/>
          <w:color w:val="auto"/>
          <w:sz w:val="24"/>
          <w:szCs w:val="24"/>
        </w:rPr>
        <w:t>真实可靠、不得伪造。响应文件正本中提交的资格证明文件为复印件的，应加盖公章</w:t>
      </w:r>
      <w:r>
        <w:rPr>
          <w:rFonts w:hint="eastAsia" w:ascii="Times New Roman" w:hAnsi="Times New Roman" w:cs="Times New Roman"/>
          <w:bCs/>
          <w:color w:val="auto"/>
          <w:sz w:val="24"/>
          <w:szCs w:val="24"/>
        </w:rPr>
        <w:t>。</w:t>
      </w:r>
    </w:p>
    <w:p w14:paraId="4D910B69">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w:t>
      </w:r>
      <w:r>
        <w:rPr>
          <w:rFonts w:hint="eastAsia"/>
          <w:color w:val="auto"/>
          <w:sz w:val="24"/>
        </w:rPr>
        <w:t>.1法人或者其他组织的营业执照等证明文件，如供应商是自然人的提供身份证明材料</w:t>
      </w:r>
      <w:r>
        <w:rPr>
          <w:rFonts w:hint="eastAsia" w:cs="宋体"/>
          <w:color w:val="auto"/>
          <w:sz w:val="24"/>
        </w:rPr>
        <w:t>。</w:t>
      </w:r>
    </w:p>
    <w:p w14:paraId="7920856C">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4.2</w:t>
      </w:r>
      <w:r>
        <w:rPr>
          <w:rFonts w:hint="eastAsia"/>
          <w:color w:val="auto"/>
          <w:sz w:val="24"/>
        </w:rPr>
        <w:t>符合国家相关规定的财务状况报告书面承诺书；依法缴纳税收和社会保障金的书面承诺书。</w:t>
      </w:r>
    </w:p>
    <w:p w14:paraId="35030481">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4.3具备履行合同所必需的设备和专业技术能力的书面承诺书。</w:t>
      </w:r>
    </w:p>
    <w:p w14:paraId="13DDF17C">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4.4参加政府采购活动前3年内在经营活动中没有重大违法记录的书面声明。</w:t>
      </w:r>
    </w:p>
    <w:p w14:paraId="4A55E934">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4.5未被列入“信用中国”网站(www.creditchina. gov.cn)失信被执行人、重大税收违法案件当事人名单、政府采购严重违法失信行为记录名单的书面声明。</w:t>
      </w:r>
    </w:p>
    <w:p w14:paraId="165009D9">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4.6如经营、开发或承担本采购项目的货物、服务国家有相关资质要求、或强制性规范、或行业标准的，应已经取得并提供相应的资质证书。</w:t>
      </w:r>
    </w:p>
    <w:p w14:paraId="32997D56">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rPr>
      </w:pPr>
      <w:r>
        <w:rPr>
          <w:rFonts w:hint="eastAsia" w:ascii="Times New Roman" w:hAnsi="Times New Roman" w:cs="Times New Roman"/>
          <w:color w:val="auto"/>
          <w:sz w:val="24"/>
          <w:szCs w:val="24"/>
          <w:lang w:val="en-US" w:eastAsia="zh-CN"/>
        </w:rPr>
        <w:t>4.7</w:t>
      </w:r>
      <w:r>
        <w:rPr>
          <w:rFonts w:hint="eastAsia"/>
          <w:color w:val="auto"/>
          <w:sz w:val="24"/>
        </w:rPr>
        <w:t>采购文件《供应商须知前附表》中要求提供的其他证明材料。</w:t>
      </w:r>
    </w:p>
    <w:p w14:paraId="1FABA074">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8</w:t>
      </w:r>
      <w:r>
        <w:rPr>
          <w:rFonts w:hint="eastAsia" w:ascii="Times New Roman" w:hAnsi="Times New Roman" w:cs="Times New Roman"/>
          <w:color w:val="auto"/>
          <w:sz w:val="24"/>
          <w:szCs w:val="24"/>
        </w:rPr>
        <w:t>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中接受联合体参加磋商的，联合体应符合下列条件：</w:t>
      </w:r>
    </w:p>
    <w:p w14:paraId="1E9C52EE">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）两个以上供应商可以组成一个联合体，以一个供应商的身份共同参加磋商；</w:t>
      </w:r>
    </w:p>
    <w:p w14:paraId="2AC2A639">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）组成联合体参加本项目磋商的，供应商须在报名时向集中采购机构提交相关书面说明，否则响应无效；</w:t>
      </w:r>
    </w:p>
    <w:p w14:paraId="261C3678">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14:paraId="21E5E85C">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体各方之间须签订联合协议，明确约定联合体各方承担的工作和相应的责任，在联合协议中指定本项目主办人，并将联合协议作为响应文件组成的一部分；本项目的主体、关键性工作须由主办人完成，并在联合协议中进行说明；</w:t>
      </w:r>
    </w:p>
    <w:p w14:paraId="16DDE947">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Times New Roman"/>
          <w:color w:val="auto"/>
          <w:sz w:val="24"/>
          <w:szCs w:val="24"/>
        </w:rPr>
        <w:t>）联合体各方签订联合协议后，不得再以自己名义单独在本项目中参加磋商，也不得组成新的联合体参加本项目磋商；</w:t>
      </w:r>
    </w:p>
    <w:p w14:paraId="3473806A">
      <w:pPr>
        <w:keepNext w:val="0"/>
        <w:keepLines w:val="0"/>
        <w:pageBreakBefore w:val="0"/>
        <w:widowControl w:val="0"/>
        <w:kinsoku/>
        <w:wordWrap/>
        <w:overflowPunct/>
        <w:topLinePunct w:val="0"/>
        <w:autoSpaceDE/>
        <w:autoSpaceDN/>
        <w:bidi w:val="0"/>
        <w:adjustRightInd/>
        <w:spacing w:line="400" w:lineRule="exact"/>
        <w:ind w:left="360" w:right="0" w:rightChars="0" w:hanging="360" w:hangingChars="150"/>
        <w:textAlignment w:val="auto"/>
        <w:rPr>
          <w:rFonts w:ascii="Times New Roman" w:hAnsi="Times New Roman" w:cs="Times New Roman"/>
          <w:color w:val="auto"/>
          <w:sz w:val="24"/>
          <w:szCs w:val="24"/>
          <w:lang w:val="hr-HR"/>
        </w:rPr>
      </w:pPr>
      <w:r>
        <w:rPr>
          <w:rFonts w:ascii="Times New Roman" w:hAnsi="Times New Roman" w:cs="Times New Roman"/>
          <w:color w:val="auto"/>
          <w:sz w:val="24"/>
          <w:szCs w:val="24"/>
        </w:rPr>
        <w:t>6</w:t>
      </w:r>
      <w:r>
        <w:rPr>
          <w:rFonts w:hint="eastAsia" w:ascii="Times New Roman" w:hAnsi="Times New Roman" w:cs="Times New Roman"/>
          <w:color w:val="auto"/>
          <w:sz w:val="24"/>
          <w:szCs w:val="24"/>
        </w:rPr>
        <w:t>）联合体各方共同与采购人签订采购合同，就采购合同约定的事项对采购人承担连带责任</w:t>
      </w:r>
      <w:r>
        <w:rPr>
          <w:rFonts w:hint="eastAsia" w:ascii="Times New Roman" w:hAnsi="Times New Roman" w:cs="Times New Roman"/>
          <w:color w:val="auto"/>
          <w:sz w:val="24"/>
          <w:szCs w:val="24"/>
          <w:lang w:val="hr-HR"/>
        </w:rPr>
        <w:t>。</w:t>
      </w:r>
    </w:p>
    <w:p w14:paraId="25EB08E7">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 xml:space="preserve">. </w:t>
      </w:r>
      <w:r>
        <w:rPr>
          <w:rFonts w:hint="eastAsia" w:ascii="Times New Roman" w:hAnsi="Times New Roman" w:cs="Times New Roman"/>
          <w:bCs/>
          <w:color w:val="auto"/>
          <w:sz w:val="24"/>
          <w:szCs w:val="24"/>
        </w:rPr>
        <w:t>费用</w:t>
      </w:r>
    </w:p>
    <w:p w14:paraId="61828A7A">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供应商应自行承担所有与编写和提交响应文件有关的费用，不论磋商结果如何，采购人和集中采购机构在任何情况下无义务和责任承担此类费用。</w:t>
      </w:r>
    </w:p>
    <w:p w14:paraId="797BBCDA">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集中采购机构不向成交供应商收取服务费。</w:t>
      </w:r>
    </w:p>
    <w:p w14:paraId="2AC4DF36">
      <w:pPr>
        <w:keepNext w:val="0"/>
        <w:keepLines w:val="0"/>
        <w:pageBreakBefore w:val="0"/>
        <w:widowControl w:val="0"/>
        <w:numPr>
          <w:ilvl w:val="0"/>
          <w:numId w:val="0"/>
        </w:numPr>
        <w:kinsoku/>
        <w:wordWrap/>
        <w:overflowPunct/>
        <w:topLinePunct w:val="0"/>
        <w:autoSpaceDE/>
        <w:autoSpaceDN/>
        <w:bidi w:val="0"/>
        <w:adjustRightInd/>
        <w:spacing w:line="440" w:lineRule="exact"/>
        <w:ind w:left="240" w:leftChars="0" w:right="0" w:rightChars="0" w:hanging="240" w:hangingChars="1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参与磋商活动的各方应对竞争性磋商文件和响应文件中的商业和技术等秘密保密，违者应对此造成的后果承担法律责任。</w:t>
      </w:r>
    </w:p>
    <w:p w14:paraId="44CA4CAD">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计量单位</w:t>
      </w:r>
    </w:p>
    <w:p w14:paraId="4551787B">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6.1</w:t>
      </w:r>
      <w:r>
        <w:rPr>
          <w:rFonts w:hint="eastAsia" w:ascii="Times New Roman" w:hAnsi="Times New Roman" w:cs="Times New Roman"/>
          <w:color w:val="auto"/>
          <w:sz w:val="24"/>
          <w:szCs w:val="24"/>
          <w:lang w:val="en-US" w:eastAsia="zh-CN"/>
        </w:rPr>
        <w:t>除技术要求中另有规定外，</w:t>
      </w:r>
      <w:r>
        <w:rPr>
          <w:rFonts w:hint="eastAsia" w:ascii="Times New Roman" w:hAnsi="Times New Roman" w:cs="Times New Roman"/>
          <w:color w:val="auto"/>
          <w:sz w:val="24"/>
          <w:szCs w:val="24"/>
        </w:rPr>
        <w:t>所有计量均采用中华人民共和国法定计量单位。</w:t>
      </w:r>
    </w:p>
    <w:p w14:paraId="7CBF4552">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踏勘现场</w:t>
      </w:r>
    </w:p>
    <w:p w14:paraId="7D344FEC">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规定的时间、地点组织供应商踏勘项目现场。</w:t>
      </w:r>
    </w:p>
    <w:p w14:paraId="0C30367B">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供应商踏勘现场发生的费用自理。</w:t>
      </w:r>
    </w:p>
    <w:p w14:paraId="0EFDAC1C">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.3</w:t>
      </w:r>
      <w:r>
        <w:rPr>
          <w:rFonts w:hint="eastAsia" w:ascii="Times New Roman" w:hAnsi="Times New Roman" w:cs="Times New Roman"/>
          <w:color w:val="auto"/>
          <w:sz w:val="24"/>
          <w:szCs w:val="24"/>
        </w:rPr>
        <w:t>除采购人的原因外，供应商自行负责在踏勘现场中所发生的人员伤亡和财产损失。</w:t>
      </w:r>
    </w:p>
    <w:p w14:paraId="533D507D">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.4</w:t>
      </w:r>
      <w:r>
        <w:rPr>
          <w:rFonts w:hint="eastAsia" w:ascii="Times New Roman" w:hAnsi="Times New Roman" w:cs="Times New Roman"/>
          <w:color w:val="auto"/>
          <w:sz w:val="24"/>
          <w:szCs w:val="24"/>
        </w:rPr>
        <w:t>采购人在踏勘现场中介绍的场地和相关的周边环境情况，仅</w:t>
      </w:r>
      <w:r>
        <w:rPr>
          <w:rFonts w:hint="eastAsia" w:ascii="Times New Roman" w:hAnsi="Times New Roman" w:cs="Times New Roman"/>
          <w:color w:val="auto"/>
          <w:sz w:val="24"/>
          <w:szCs w:val="24"/>
          <w:lang w:val="en-US" w:eastAsia="zh-CN"/>
        </w:rPr>
        <w:t>供</w:t>
      </w:r>
      <w:r>
        <w:rPr>
          <w:rFonts w:hint="eastAsia" w:ascii="Times New Roman" w:hAnsi="Times New Roman" w:cs="Times New Roman"/>
          <w:color w:val="auto"/>
          <w:sz w:val="24"/>
          <w:szCs w:val="24"/>
        </w:rPr>
        <w:t>供应商在编制响应文件时</w:t>
      </w:r>
      <w:r>
        <w:rPr>
          <w:rFonts w:hint="eastAsia" w:ascii="Times New Roman" w:hAnsi="Times New Roman" w:cs="Times New Roman"/>
          <w:color w:val="auto"/>
          <w:sz w:val="24"/>
          <w:szCs w:val="24"/>
          <w:lang w:val="en-US" w:eastAsia="zh-CN"/>
        </w:rPr>
        <w:t>作</w:t>
      </w:r>
      <w:r>
        <w:rPr>
          <w:rFonts w:hint="eastAsia" w:ascii="Times New Roman" w:hAnsi="Times New Roman" w:cs="Times New Roman"/>
          <w:color w:val="auto"/>
          <w:sz w:val="24"/>
          <w:szCs w:val="24"/>
        </w:rPr>
        <w:t>参考，采购人不对供应商据此作出的判断和决策负责。</w:t>
      </w:r>
    </w:p>
    <w:p w14:paraId="4BC27C78">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问询和答疑</w:t>
      </w:r>
    </w:p>
    <w:p w14:paraId="4CF3F89A">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规定的时间和地点召开答疑会，澄清供应商提出的问题。供应商如认为采购文件表述不清晰、前后矛盾等内容的，应当在响应文件递交截止日</w:t>
      </w:r>
      <w:r>
        <w:rPr>
          <w:rFonts w:hint="eastAsia" w:ascii="Times New Roman" w:hAnsi="Times New Roman" w:cs="Times New Roman"/>
          <w:b/>
          <w:bCs/>
          <w:color w:val="auto"/>
          <w:sz w:val="24"/>
          <w:szCs w:val="24"/>
        </w:rPr>
        <w:t>两天</w:t>
      </w:r>
      <w:r>
        <w:rPr>
          <w:rFonts w:hint="eastAsia" w:ascii="Times New Roman" w:hAnsi="Times New Roman" w:cs="Times New Roman"/>
          <w:color w:val="auto"/>
          <w:sz w:val="24"/>
          <w:szCs w:val="24"/>
        </w:rPr>
        <w:t>前以书面形式要求采购单位作出书面澄清。对于在此时间之后递交的询问或质疑，不予受理。</w:t>
      </w:r>
    </w:p>
    <w:p w14:paraId="794131D5">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供应商应在答疑会时间的前一天，以书面形式将提出的问题送达采购人或集中采购机构，以便采购人在会议期间澄清。</w:t>
      </w:r>
    </w:p>
    <w:p w14:paraId="20B0B2C6">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答疑会后，采购人或集中采购机构对供应商所提问题进行澄清答复。</w:t>
      </w:r>
    </w:p>
    <w:p w14:paraId="204AA3E5">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分包</w:t>
      </w:r>
    </w:p>
    <w:p w14:paraId="35BAA1D3">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规定允许分包的，供应商应在响应文件载明分包的具体情况，应符合采购人在供应商须知前附表规定的分包内容、分包金额和接受分包的第三人资质要求等限制条件。</w:t>
      </w:r>
    </w:p>
    <w:p w14:paraId="7C51A696">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备选方案</w:t>
      </w:r>
    </w:p>
    <w:p w14:paraId="72CFF8AF">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cs="宋体"/>
          <w:color w:val="auto"/>
          <w:sz w:val="24"/>
        </w:rPr>
        <w:t>规定允许提交备选方案的，供应商可按要求提交备选方案，否则</w:t>
      </w:r>
      <w:r>
        <w:rPr>
          <w:rFonts w:hint="eastAsia" w:cs="宋体"/>
          <w:color w:val="auto"/>
          <w:sz w:val="24"/>
          <w:lang w:eastAsia="zh-CN"/>
        </w:rPr>
        <w:t>，</w:t>
      </w:r>
      <w:r>
        <w:rPr>
          <w:rFonts w:hint="eastAsia" w:cs="宋体"/>
          <w:color w:val="auto"/>
          <w:sz w:val="24"/>
          <w:lang w:val="en-US" w:eastAsia="zh-CN"/>
        </w:rPr>
        <w:t>供应商如提交备选方案</w:t>
      </w:r>
      <w:r>
        <w:rPr>
          <w:rFonts w:hint="eastAsia" w:cs="宋体"/>
          <w:b/>
          <w:color w:val="auto"/>
          <w:sz w:val="24"/>
        </w:rPr>
        <w:t>响应文件</w:t>
      </w:r>
      <w:r>
        <w:rPr>
          <w:rFonts w:hint="eastAsia" w:cs="宋体"/>
          <w:b/>
          <w:color w:val="auto"/>
          <w:sz w:val="24"/>
          <w:lang w:val="en-US" w:eastAsia="zh-CN"/>
        </w:rPr>
        <w:t>将被判定</w:t>
      </w:r>
      <w:r>
        <w:rPr>
          <w:rFonts w:hint="eastAsia" w:cs="宋体"/>
          <w:b/>
          <w:color w:val="auto"/>
          <w:sz w:val="24"/>
        </w:rPr>
        <w:t>无效</w:t>
      </w:r>
      <w:r>
        <w:rPr>
          <w:rFonts w:hint="eastAsia" w:cs="宋体"/>
          <w:color w:val="auto"/>
          <w:sz w:val="24"/>
        </w:rPr>
        <w:t>。</w:t>
      </w:r>
    </w:p>
    <w:p w14:paraId="0ECFA873">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其他</w:t>
      </w:r>
    </w:p>
    <w:p w14:paraId="07EDDA6C">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响应文件应完</w:t>
      </w:r>
      <w:r>
        <w:rPr>
          <w:rFonts w:hint="eastAsia" w:ascii="Times New Roman" w:hAnsi="Times New Roman" w:cs="Times New Roman"/>
          <w:color w:val="auto"/>
          <w:sz w:val="24"/>
          <w:szCs w:val="24"/>
          <w:lang w:val="en-US" w:eastAsia="zh-CN"/>
        </w:rPr>
        <w:t>全满足</w:t>
      </w:r>
      <w:r>
        <w:rPr>
          <w:rFonts w:hint="eastAsia" w:ascii="Times New Roman" w:hAnsi="Times New Roman" w:cs="Times New Roman"/>
          <w:color w:val="auto"/>
          <w:sz w:val="24"/>
          <w:szCs w:val="24"/>
        </w:rPr>
        <w:t>磋商文件规定的实质性内容和条件。</w:t>
      </w:r>
    </w:p>
    <w:p w14:paraId="30CC0E85">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磋商文件中如有描述歧义或前后不一致的地方，磋商小组有权按公平、合理的原则进行评判，但对同一条款的评判</w:t>
      </w:r>
      <w:r>
        <w:rPr>
          <w:rFonts w:hint="eastAsia" w:ascii="Times New Roman" w:hAnsi="Times New Roman" w:cs="Times New Roman"/>
          <w:color w:val="auto"/>
          <w:sz w:val="24"/>
          <w:szCs w:val="24"/>
          <w:lang w:val="en-US" w:eastAsia="zh-CN"/>
        </w:rPr>
        <w:t>标准</w:t>
      </w:r>
      <w:r>
        <w:rPr>
          <w:rFonts w:hint="eastAsia" w:ascii="Times New Roman" w:hAnsi="Times New Roman" w:cs="Times New Roman"/>
          <w:color w:val="auto"/>
          <w:sz w:val="24"/>
          <w:szCs w:val="24"/>
        </w:rPr>
        <w:t>适用于每个供应商。</w:t>
      </w:r>
    </w:p>
    <w:p w14:paraId="54E59B36">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响应文件的响应内容应当真实、明确、准确。否则，磋商小组</w:t>
      </w:r>
      <w:r>
        <w:rPr>
          <w:rFonts w:hint="eastAsia" w:ascii="Times New Roman" w:hAnsi="Times New Roman" w:cs="Times New Roman"/>
          <w:color w:val="auto"/>
          <w:sz w:val="24"/>
          <w:szCs w:val="24"/>
          <w:lang w:val="en-US" w:eastAsia="zh-CN"/>
        </w:rPr>
        <w:t>可能</w:t>
      </w:r>
      <w:r>
        <w:rPr>
          <w:rFonts w:hint="eastAsia" w:ascii="Times New Roman" w:hAnsi="Times New Roman" w:cs="Times New Roman"/>
          <w:color w:val="auto"/>
          <w:sz w:val="24"/>
          <w:szCs w:val="24"/>
        </w:rPr>
        <w:t>将对其作出不利的评审。</w:t>
      </w:r>
    </w:p>
    <w:p w14:paraId="3E6034D8">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eastAsia="黑体" w:cs="Times New Roman"/>
          <w:bCs/>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.4</w:t>
      </w:r>
      <w:r>
        <w:rPr>
          <w:rFonts w:hint="eastAsia" w:ascii="Times New Roman" w:hAnsi="Times New Roman" w:cs="Times New Roman"/>
          <w:color w:val="auto"/>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42107640">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二、响应文件的编制</w:t>
      </w:r>
    </w:p>
    <w:p w14:paraId="25F42ACE">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响应文件编制基本要求</w:t>
      </w:r>
    </w:p>
    <w:p w14:paraId="7170B4C4">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以及与集中采购机构和采购人就有关磋商的所有来往函电均应使用简体中文。供应商提交的支持文件或者印刷的文献可以使用另一种语言，但相应内容应附有中文翻译本，在解释响应文件时以中文翻译本为准。</w:t>
      </w:r>
    </w:p>
    <w:p w14:paraId="331BEF35">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供应商应认真阅读、并充分理解本文件的全部内容（包括所有的补充、修改内容），承诺并履行本文件中各项条款规定及要求。</w:t>
      </w:r>
    </w:p>
    <w:p w14:paraId="7DDD1635">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供应商应按照客户端的要求上传相应的响应内容，合成响应文件，并通过CA上传</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响应文件。供应商未按照客户端规定要求上传响应内容，其后果及责任由供应商自行承担</w:t>
      </w:r>
      <w:r>
        <w:rPr>
          <w:rFonts w:hint="eastAsia" w:ascii="Times New Roman" w:hAnsi="Times New Roman" w:cs="Times New Roman"/>
          <w:color w:val="auto"/>
          <w:sz w:val="24"/>
          <w:szCs w:val="24"/>
          <w:lang w:val="en-US" w:eastAsia="zh-CN"/>
        </w:rPr>
        <w:t>；</w:t>
      </w:r>
      <w:r>
        <w:rPr>
          <w:rFonts w:ascii="仿宋" w:hAnsi="仿宋" w:cs="仿宋"/>
          <w:color w:val="auto"/>
          <w:spacing w:val="0"/>
          <w:sz w:val="24"/>
        </w:rPr>
        <w:t>未按要求提供规定格式响应文件的，将作无效响应处理</w:t>
      </w:r>
      <w:r>
        <w:rPr>
          <w:rFonts w:hint="eastAsia" w:ascii="仿宋" w:hAnsi="仿宋" w:cs="仿宋"/>
          <w:color w:val="auto"/>
          <w:spacing w:val="0"/>
          <w:sz w:val="24"/>
          <w:lang w:eastAsia="zh-CN"/>
        </w:rPr>
        <w:t>。</w:t>
      </w:r>
    </w:p>
    <w:p w14:paraId="3C047056">
      <w:pPr>
        <w:pStyle w:val="2"/>
        <w:keepNext w:val="0"/>
        <w:keepLines w:val="0"/>
        <w:pageBreakBefore w:val="0"/>
        <w:widowControl w:val="0"/>
        <w:kinsoku/>
        <w:wordWrap/>
        <w:overflowPunct/>
        <w:topLinePunct w:val="0"/>
        <w:autoSpaceDE/>
        <w:autoSpaceDN/>
        <w:bidi w:val="0"/>
        <w:adjustRightInd/>
        <w:snapToGrid/>
        <w:spacing w:line="360" w:lineRule="auto"/>
        <w:ind w:left="420" w:leftChars="0" w:right="0" w:rightChars="0" w:hanging="420" w:hangingChars="175"/>
        <w:textAlignment w:val="auto"/>
        <w:rPr>
          <w:rFonts w:hint="eastAsia" w:ascii="Times New Roman" w:hAnsi="Times New Roman" w:cs="Times New Roman" w:eastAsiaTheme="minorEastAsia"/>
          <w:b/>
          <w:bCs w:val="0"/>
          <w:i w:val="0"/>
          <w:iCs w:val="0"/>
          <w:color w:val="auto"/>
          <w:kern w:val="2"/>
          <w:sz w:val="24"/>
          <w:szCs w:val="24"/>
          <w:lang w:val="en-US" w:eastAsia="zh-CN" w:bidi="ar-SA"/>
        </w:rPr>
      </w:pPr>
      <w:r>
        <w:rPr>
          <w:rFonts w:hint="eastAsia" w:ascii="Times New Roman" w:hAnsi="Times New Roman" w:cs="Times New Roman" w:eastAsiaTheme="minorEastAsia"/>
          <w:bCs/>
          <w:i w:val="0"/>
          <w:iCs w:val="0"/>
          <w:color w:val="auto"/>
          <w:kern w:val="2"/>
          <w:sz w:val="24"/>
          <w:szCs w:val="24"/>
          <w:lang w:val="en-US" w:eastAsia="zh-CN" w:bidi="ar-SA"/>
        </w:rPr>
        <w:t>12.4</w:t>
      </w:r>
      <w:r>
        <w:rPr>
          <w:rFonts w:hint="eastAsia" w:ascii="Times New Roman" w:hAnsi="Times New Roman" w:cs="Times New Roman" w:eastAsiaTheme="minorEastAsia"/>
          <w:b/>
          <w:bCs w:val="0"/>
          <w:i w:val="0"/>
          <w:iCs w:val="0"/>
          <w:color w:val="auto"/>
          <w:kern w:val="2"/>
          <w:sz w:val="24"/>
          <w:szCs w:val="24"/>
          <w:lang w:val="en-US" w:eastAsia="zh-CN" w:bidi="ar-SA"/>
        </w:rPr>
        <w:t>响应文件格式文件要求“盖单位章”的地方，供应商应使用CA 数字证书加盖供应商的单位电子印章；要求“签字”的地方，供应商应由法定代表人或授权委托人签字或使用CA 数字证书加盖法定代表人的个人电子印章或电子签名章。联合体参与本项目的，响应文件由联合体牵头人按上述规定在要求“盖单位章”的地方加盖联合体牵头人单位电子印章；在要求“签字”的地方由联合体牵头人法定代表人或授权委托人签字或加盖个人电子印章或电子签名章。磋商文件有特别说明的除外，否则按照无效响应处理。</w:t>
      </w:r>
    </w:p>
    <w:p w14:paraId="589F9D6B">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val="en-US" w:eastAsia="zh-CN"/>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5</w:t>
      </w:r>
      <w:r>
        <w:rPr>
          <w:rFonts w:hint="eastAsia" w:ascii="Times New Roman" w:hAnsi="Times New Roman" w:cs="Times New Roman"/>
          <w:b/>
          <w:bCs/>
          <w:color w:val="auto"/>
          <w:sz w:val="24"/>
          <w:szCs w:val="24"/>
        </w:rPr>
        <w:t>供应商应当在首次响应文件提交截止时间前，</w:t>
      </w:r>
      <w:r>
        <w:rPr>
          <w:rFonts w:hint="eastAsia" w:ascii="Times New Roman" w:hAnsi="Times New Roman" w:cs="Times New Roman"/>
          <w:b/>
          <w:bCs/>
          <w:color w:val="auto"/>
          <w:sz w:val="24"/>
          <w:szCs w:val="24"/>
          <w:lang w:val="en-US" w:eastAsia="zh-CN"/>
        </w:rPr>
        <w:t>进入</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eastAsia="zh-CN"/>
        </w:rPr>
        <w:t>随州市随县政府电子采购平台</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eastAsia="zh-CN"/>
        </w:rPr>
        <w:t>（https://dzcg.hubeigp.gov.cn/assets/special/100/hbenterpoint.html）</w:t>
      </w:r>
      <w:r>
        <w:rPr>
          <w:rFonts w:hint="eastAsia" w:ascii="Times New Roman" w:hAnsi="Times New Roman" w:cs="Times New Roman"/>
          <w:b/>
          <w:bCs/>
          <w:color w:val="auto"/>
          <w:sz w:val="24"/>
          <w:szCs w:val="24"/>
        </w:rPr>
        <w:t>，并使用CA数字证书登录，选择所投包号进行响应。响应文件应按本文件的全部内容，包括所有的补充通知及附件进行编制</w:t>
      </w:r>
      <w:r>
        <w:rPr>
          <w:rFonts w:hint="eastAsia" w:ascii="Times New Roman" w:hAnsi="Times New Roman" w:cs="Times New Roman"/>
          <w:b/>
          <w:bCs/>
          <w:color w:val="auto"/>
          <w:sz w:val="24"/>
          <w:szCs w:val="24"/>
          <w:lang w:eastAsia="zh-CN"/>
        </w:rPr>
        <w:t>。</w:t>
      </w:r>
    </w:p>
    <w:p w14:paraId="1C72081D">
      <w:pPr>
        <w:keepNext w:val="0"/>
        <w:keepLines w:val="0"/>
        <w:pageBreakBefore w:val="0"/>
        <w:widowControl w:val="0"/>
        <w:kinsoku/>
        <w:wordWrap/>
        <w:overflowPunct/>
        <w:topLinePunct w:val="0"/>
        <w:autoSpaceDE/>
        <w:autoSpaceDN/>
        <w:bidi w:val="0"/>
        <w:adjustRightInd/>
        <w:spacing w:line="360" w:lineRule="auto"/>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6</w:t>
      </w:r>
      <w:r>
        <w:rPr>
          <w:rFonts w:hint="eastAsia" w:ascii="Times New Roman" w:hAnsi="Times New Roman" w:cs="Times New Roman"/>
          <w:bCs/>
          <w:color w:val="auto"/>
          <w:sz w:val="24"/>
          <w:szCs w:val="24"/>
        </w:rPr>
        <w:t>响应文件的组成</w:t>
      </w:r>
    </w:p>
    <w:p w14:paraId="4BAF6A6E">
      <w:pPr>
        <w:keepNext w:val="0"/>
        <w:keepLines w:val="0"/>
        <w:pageBreakBefore w:val="0"/>
        <w:widowControl w:val="0"/>
        <w:kinsoku/>
        <w:wordWrap/>
        <w:overflowPunct/>
        <w:topLinePunct w:val="0"/>
        <w:autoSpaceDE/>
        <w:autoSpaceDN/>
        <w:bidi w:val="0"/>
        <w:adjustRightInd/>
        <w:spacing w:line="440" w:lineRule="exact"/>
        <w:ind w:left="273" w:leftChars="130"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不限于以下内容，如未提供，磋商小组有权拒绝</w:t>
      </w:r>
      <w:r>
        <w:rPr>
          <w:rFonts w:hint="eastAsia" w:ascii="Times New Roman" w:hAnsi="Times New Roman" w:cs="Times New Roman"/>
          <w:bCs/>
          <w:color w:val="auto"/>
          <w:sz w:val="24"/>
          <w:szCs w:val="24"/>
          <w:lang w:eastAsia="zh-CN"/>
        </w:rPr>
        <w:t>，</w:t>
      </w:r>
      <w:r>
        <w:rPr>
          <w:rFonts w:hint="eastAsia"/>
          <w:bCs/>
          <w:color w:val="auto"/>
          <w:sz w:val="24"/>
        </w:rPr>
        <w:t>其</w:t>
      </w:r>
      <w:r>
        <w:rPr>
          <w:rFonts w:hint="eastAsia"/>
          <w:b/>
          <w:bCs/>
          <w:color w:val="auto"/>
          <w:sz w:val="24"/>
        </w:rPr>
        <w:t>响应文件无效</w:t>
      </w:r>
      <w:r>
        <w:rPr>
          <w:rFonts w:hint="eastAsia"/>
          <w:bCs/>
          <w:color w:val="auto"/>
          <w:sz w:val="24"/>
        </w:rPr>
        <w:t>：</w:t>
      </w:r>
    </w:p>
    <w:p w14:paraId="08F35063">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）磋商书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p>
    <w:p w14:paraId="69418037">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）报价组成情况表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w:t>
      </w:r>
    </w:p>
    <w:p w14:paraId="551B1376">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）货物（服务）清单</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w:t>
      </w:r>
    </w:p>
    <w:p w14:paraId="646F5870">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）资格性符合性检查对照表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w:t>
      </w:r>
    </w:p>
    <w:p w14:paraId="7D8F1B8B">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）技术响应、偏离情况说明表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w:t>
      </w:r>
    </w:p>
    <w:p w14:paraId="1AF87742">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r>
        <w:rPr>
          <w:rFonts w:hint="eastAsia" w:ascii="Times New Roman" w:hAnsi="Times New Roman" w:cs="Times New Roman"/>
          <w:color w:val="auto"/>
          <w:sz w:val="24"/>
          <w:szCs w:val="24"/>
        </w:rPr>
        <w:t>商务</w:t>
      </w:r>
      <w:r>
        <w:rPr>
          <w:rFonts w:hint="eastAsia" w:ascii="Times New Roman" w:hAnsi="Times New Roman" w:cs="Times New Roman"/>
          <w:color w:val="auto"/>
          <w:sz w:val="24"/>
          <w:szCs w:val="24"/>
          <w:lang w:val="en-US" w:eastAsia="zh-CN"/>
        </w:rPr>
        <w:t>和</w:t>
      </w:r>
      <w:r>
        <w:rPr>
          <w:rFonts w:hint="eastAsia" w:ascii="Times New Roman" w:hAnsi="Times New Roman" w:cs="Times New Roman"/>
          <w:color w:val="auto"/>
          <w:sz w:val="24"/>
          <w:szCs w:val="24"/>
        </w:rPr>
        <w:t>合同草案条款</w:t>
      </w:r>
      <w:r>
        <w:rPr>
          <w:rFonts w:hint="eastAsia" w:ascii="Times New Roman" w:hAnsi="Times New Roman" w:cs="Times New Roman"/>
          <w:bCs/>
          <w:color w:val="auto"/>
          <w:sz w:val="24"/>
          <w:szCs w:val="24"/>
        </w:rPr>
        <w:t>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p>
    <w:p w14:paraId="6D5A36BA">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r>
        <w:rPr>
          <w:rFonts w:hint="eastAsia" w:ascii="Times New Roman" w:hAnsi="Times New Roman" w:cs="Times New Roman"/>
          <w:bCs/>
          <w:color w:val="auto"/>
          <w:sz w:val="24"/>
          <w:szCs w:val="24"/>
        </w:rPr>
        <w:t>）法人（负责人）代表授权书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7)</w:t>
      </w:r>
      <w:r>
        <w:rPr>
          <w:rFonts w:hint="eastAsia" w:ascii="Times New Roman" w:hAnsi="Times New Roman" w:cs="Times New Roman"/>
          <w:bCs/>
          <w:color w:val="auto"/>
          <w:sz w:val="24"/>
          <w:szCs w:val="24"/>
        </w:rPr>
        <w:t>；</w:t>
      </w:r>
    </w:p>
    <w:p w14:paraId="3CAD6F95">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r>
        <w:rPr>
          <w:rFonts w:hint="eastAsia" w:ascii="Times New Roman" w:hAnsi="Times New Roman" w:cs="Times New Roman"/>
          <w:bCs/>
          <w:color w:val="auto"/>
          <w:sz w:val="24"/>
          <w:szCs w:val="24"/>
        </w:rPr>
        <w:t>）法人或者其他组织的营业执照等证明文件，自然人的身份证明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8)</w:t>
      </w:r>
      <w:r>
        <w:rPr>
          <w:rFonts w:hint="eastAsia" w:ascii="Times New Roman" w:hAnsi="Times New Roman" w:cs="Times New Roman"/>
          <w:bCs/>
          <w:color w:val="auto"/>
          <w:sz w:val="24"/>
          <w:szCs w:val="24"/>
        </w:rPr>
        <w:t>；</w:t>
      </w:r>
    </w:p>
    <w:p w14:paraId="126F8EED">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9</w:t>
      </w:r>
      <w:r>
        <w:rPr>
          <w:rFonts w:hint="eastAsia" w:ascii="Times New Roman" w:hAnsi="Times New Roman" w:cs="Times New Roman"/>
          <w:bCs/>
          <w:color w:val="auto"/>
          <w:sz w:val="24"/>
          <w:szCs w:val="24"/>
        </w:rPr>
        <w:t>）财务状况报告，依法缴纳税收和社会保障资金的相关材料</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9)</w:t>
      </w:r>
      <w:r>
        <w:rPr>
          <w:rFonts w:hint="eastAsia" w:ascii="Times New Roman" w:hAnsi="Times New Roman" w:cs="Times New Roman"/>
          <w:bCs/>
          <w:color w:val="auto"/>
          <w:sz w:val="24"/>
          <w:szCs w:val="24"/>
        </w:rPr>
        <w:t>；</w:t>
      </w:r>
    </w:p>
    <w:p w14:paraId="3E44E058">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rPr>
        <w:t>）具备履行合同所必需的设备和专业技术能力的证明材料</w:t>
      </w:r>
      <w:r>
        <w:rPr>
          <w:rFonts w:hint="eastAsia" w:ascii="Times New Roman" w:hAnsi="Times New Roman" w:cs="Times New Roman"/>
          <w:b/>
          <w:bCs w:val="0"/>
          <w:color w:val="auto"/>
          <w:sz w:val="24"/>
          <w:szCs w:val="24"/>
          <w:lang w:val="en-US" w:eastAsia="zh-CN"/>
        </w:rPr>
        <w:t>或承诺书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rPr>
        <w:t>；</w:t>
      </w:r>
    </w:p>
    <w:p w14:paraId="3B35976D">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年内在经营活动中没有重大违法记录的</w:t>
      </w:r>
      <w:r>
        <w:rPr>
          <w:rFonts w:hint="eastAsia" w:ascii="Times New Roman" w:hAnsi="Times New Roman" w:cs="Times New Roman"/>
          <w:bCs/>
          <w:color w:val="auto"/>
          <w:sz w:val="24"/>
          <w:szCs w:val="24"/>
          <w:lang w:val="en-US" w:eastAsia="zh-CN"/>
        </w:rPr>
        <w:t>书面</w:t>
      </w:r>
      <w:r>
        <w:rPr>
          <w:rFonts w:hint="eastAsia" w:ascii="Times New Roman" w:hAnsi="Times New Roman" w:cs="Times New Roman"/>
          <w:b/>
          <w:bCs w:val="0"/>
          <w:color w:val="auto"/>
          <w:sz w:val="24"/>
          <w:szCs w:val="24"/>
        </w:rPr>
        <w:t>声明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w:t>
      </w:r>
    </w:p>
    <w:p w14:paraId="776AD100">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12</w:t>
      </w: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失信被执行人、重大税收违法案件当事人名单、政府采购严重违法失信行为记录名单的网页打印件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12)</w:t>
      </w:r>
      <w:r>
        <w:rPr>
          <w:rFonts w:hint="eastAsia" w:ascii="Times New Roman" w:hAnsi="Times New Roman" w:cs="Times New Roman"/>
          <w:bCs/>
          <w:color w:val="auto"/>
          <w:sz w:val="24"/>
          <w:szCs w:val="24"/>
        </w:rPr>
        <w:t>。</w:t>
      </w:r>
    </w:p>
    <w:p w14:paraId="7F2121D0">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color w:val="auto"/>
          <w:sz w:val="24"/>
          <w:szCs w:val="24"/>
        </w:rPr>
        <w:t>13</w:t>
      </w:r>
      <w:r>
        <w:rPr>
          <w:rFonts w:hint="eastAsia" w:ascii="Times New Roman" w:hAnsi="Times New Roman" w:cs="Times New Roman"/>
          <w:color w:val="auto"/>
          <w:sz w:val="24"/>
          <w:szCs w:val="24"/>
        </w:rPr>
        <w:t>）政府采购政策情况表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r>
        <w:rPr>
          <w:rFonts w:hint="eastAsia" w:ascii="Times New Roman" w:hAnsi="Times New Roman" w:cs="Times New Roman"/>
          <w:color w:val="auto"/>
          <w:sz w:val="24"/>
          <w:szCs w:val="24"/>
        </w:rPr>
        <w:t>；</w:t>
      </w:r>
    </w:p>
    <w:p w14:paraId="10280571">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14</w:t>
      </w:r>
      <w:r>
        <w:rPr>
          <w:rFonts w:hint="eastAsia" w:ascii="Times New Roman" w:hAnsi="Times New Roman" w:cs="Times New Roman"/>
          <w:bCs/>
          <w:color w:val="auto"/>
          <w:sz w:val="24"/>
          <w:szCs w:val="24"/>
        </w:rPr>
        <w:t>）《中小企业声明函》、《残疾人福利性单位声明函》、属于监狱企业的证明文件等（如果有的话）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14)</w:t>
      </w:r>
      <w:r>
        <w:rPr>
          <w:rFonts w:hint="eastAsia" w:ascii="Times New Roman" w:hAnsi="Times New Roman" w:cs="Times New Roman"/>
          <w:bCs/>
          <w:color w:val="auto"/>
          <w:sz w:val="24"/>
          <w:szCs w:val="24"/>
        </w:rPr>
        <w:t>。</w:t>
      </w:r>
    </w:p>
    <w:p w14:paraId="73AB13A2">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15</w:t>
      </w:r>
      <w:r>
        <w:rPr>
          <w:rFonts w:hint="eastAsia" w:ascii="Times New Roman" w:hAnsi="Times New Roman" w:cs="Times New Roman"/>
          <w:bCs/>
          <w:color w:val="auto"/>
          <w:sz w:val="24"/>
          <w:szCs w:val="24"/>
        </w:rPr>
        <w:t>）供应商认为需要提供的其他资格证明文件及资料。</w:t>
      </w:r>
    </w:p>
    <w:p w14:paraId="6974E5E6">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7</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规定需要</w:t>
      </w:r>
      <w:r>
        <w:rPr>
          <w:rFonts w:hint="eastAsia" w:ascii="Times New Roman" w:hAnsi="Times New Roman" w:cs="Times New Roman"/>
          <w:bCs/>
          <w:color w:val="auto"/>
          <w:sz w:val="24"/>
          <w:szCs w:val="24"/>
        </w:rPr>
        <w:t>提供的其他资格证明文件及资料。</w:t>
      </w:r>
    </w:p>
    <w:p w14:paraId="26F4FCF2">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三、响应文件有效期</w:t>
      </w:r>
    </w:p>
    <w:p w14:paraId="0E8FB599">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3</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本项目磋商有效期按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规定的期间内保持有效，在此期间响应文件有效。磋商结束后，在有效期内磋商供应商不得改变最后报价、服务期及承诺的全部义务。响应文件有效期比本文件规定短的，</w:t>
      </w:r>
      <w:r>
        <w:rPr>
          <w:rFonts w:hint="eastAsia" w:ascii="Times New Roman" w:hAnsi="Times New Roman" w:cs="Times New Roman"/>
          <w:b/>
          <w:bCs/>
          <w:color w:val="auto"/>
          <w:sz w:val="24"/>
          <w:szCs w:val="24"/>
        </w:rPr>
        <w:t>响应文件无效</w:t>
      </w:r>
      <w:r>
        <w:rPr>
          <w:rFonts w:hint="eastAsia" w:ascii="Times New Roman" w:hAnsi="Times New Roman" w:cs="Times New Roman"/>
          <w:color w:val="auto"/>
          <w:sz w:val="24"/>
          <w:szCs w:val="24"/>
        </w:rPr>
        <w:t>。</w:t>
      </w:r>
    </w:p>
    <w:p w14:paraId="61D89339">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eastAsia="黑体"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在特殊情况下，在原磋商有效期满之前，集中采购机构可向磋商供应商提出延长磋商有效期的要求。这种要求与答复均应采用书面形式。磋商供应商可以拒绝集中采购机构的要求。同意延长磋商有效期的供应商不允许修改其响应文件。</w:t>
      </w:r>
    </w:p>
    <w:p w14:paraId="2D060AFD">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0"/>
        <w:rPr>
          <w:rFonts w:ascii="Times New Roman" w:hAnsi="Times New Roman" w:eastAsia="黑体" w:cs="Times New Roman"/>
          <w:color w:val="auto"/>
          <w:sz w:val="24"/>
          <w:szCs w:val="24"/>
        </w:rPr>
      </w:pPr>
      <w:bookmarkStart w:id="32" w:name="_Toc9068"/>
      <w:bookmarkStart w:id="33" w:name="_Toc3291"/>
      <w:r>
        <w:rPr>
          <w:rFonts w:hint="eastAsia" w:ascii="Times New Roman" w:hAnsi="Times New Roman" w:eastAsia="黑体" w:cs="Times New Roman"/>
          <w:color w:val="auto"/>
          <w:sz w:val="24"/>
          <w:szCs w:val="24"/>
        </w:rPr>
        <w:t>四、报价要求</w:t>
      </w:r>
      <w:bookmarkEnd w:id="32"/>
      <w:bookmarkEnd w:id="33"/>
    </w:p>
    <w:p w14:paraId="4256EE38">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报价以人民币报价。</w:t>
      </w:r>
    </w:p>
    <w:p w14:paraId="552CA4F0">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w:t>
      </w:r>
      <w:r>
        <w:rPr>
          <w:rFonts w:hint="eastAsia" w:ascii="Times New Roman" w:hAnsi="Times New Roman" w:cs="Times New Roman"/>
          <w:color w:val="auto"/>
          <w:sz w:val="24"/>
          <w:szCs w:val="24"/>
        </w:rPr>
        <w:t>对于本文件中未列明，供应商认为必需的费用也需列入总报价。在合同实施时，采购人将不予支付成交供应商没有列入的项目费用，并认为此项目的费用已包括在总报价中。</w:t>
      </w:r>
    </w:p>
    <w:p w14:paraId="6218BE8B">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报价方式见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14:paraId="1FC5D7C4">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五、响应文件的</w:t>
      </w:r>
      <w:r>
        <w:rPr>
          <w:rFonts w:hint="eastAsia" w:ascii="Times New Roman" w:hAnsi="Times New Roman" w:eastAsia="黑体" w:cs="Times New Roman"/>
          <w:bCs/>
          <w:color w:val="auto"/>
          <w:sz w:val="24"/>
          <w:szCs w:val="24"/>
          <w:lang w:val="en-US" w:eastAsia="zh-CN"/>
        </w:rPr>
        <w:t>提</w:t>
      </w:r>
      <w:r>
        <w:rPr>
          <w:rFonts w:hint="eastAsia" w:ascii="Times New Roman" w:hAnsi="Times New Roman" w:eastAsia="黑体" w:cs="Times New Roman"/>
          <w:bCs/>
          <w:color w:val="auto"/>
          <w:sz w:val="24"/>
          <w:szCs w:val="24"/>
        </w:rPr>
        <w:t>交</w:t>
      </w:r>
      <w:r>
        <w:rPr>
          <w:rFonts w:hint="eastAsia" w:ascii="Times New Roman" w:hAnsi="Times New Roman" w:eastAsia="黑体" w:cs="Times New Roman"/>
          <w:bCs/>
          <w:color w:val="auto"/>
          <w:sz w:val="24"/>
          <w:szCs w:val="24"/>
          <w:lang w:val="en-US" w:eastAsia="zh-CN"/>
        </w:rPr>
        <w:t>及签署</w:t>
      </w:r>
    </w:p>
    <w:p w14:paraId="3D22D1E0">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color w:val="auto"/>
          <w:sz w:val="24"/>
        </w:rPr>
        <w:t>电子响应文件的签章、加密与递交：</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14:paraId="1F202EDE">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1</w:t>
      </w:r>
      <w:r>
        <w:rPr>
          <w:rFonts w:hint="eastAsia"/>
          <w:color w:val="auto"/>
          <w:sz w:val="24"/>
        </w:rPr>
        <w:t>递交响应文件截止时间即为磋商时间</w:t>
      </w:r>
      <w:r>
        <w:rPr>
          <w:rFonts w:hint="eastAsia"/>
          <w:color w:val="auto"/>
          <w:sz w:val="24"/>
          <w:lang w:eastAsia="zh-CN"/>
        </w:rPr>
        <w:t>，</w:t>
      </w:r>
      <w:r>
        <w:rPr>
          <w:rFonts w:hint="eastAsia"/>
          <w:color w:val="auto"/>
          <w:sz w:val="24"/>
        </w:rPr>
        <w:t>供应商应充分评估网络影响，尽量避开上传响应文件高峰时间。系统以收到供应商发出的递交指令的时间作为其递交时间，</w:t>
      </w:r>
      <w:r>
        <w:rPr>
          <w:rFonts w:hint="eastAsia"/>
          <w:b/>
          <w:bCs/>
          <w:color w:val="auto"/>
          <w:sz w:val="24"/>
        </w:rPr>
        <w:t>如该时间超过截止时间，其响应文件将会被判定为无效</w:t>
      </w:r>
      <w:r>
        <w:rPr>
          <w:rFonts w:hint="eastAsia"/>
          <w:color w:val="auto"/>
          <w:sz w:val="24"/>
        </w:rPr>
        <w:t>。</w:t>
      </w:r>
    </w:p>
    <w:p w14:paraId="7E44D1DD">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2</w:t>
      </w:r>
      <w:r>
        <w:rPr>
          <w:rFonts w:hint="eastAsia"/>
          <w:color w:val="auto"/>
          <w:sz w:val="24"/>
          <w:highlight w:val="none"/>
        </w:rPr>
        <w:t>当</w:t>
      </w:r>
      <w:r>
        <w:rPr>
          <w:rFonts w:hint="eastAsia" w:cs="宋体"/>
          <w:color w:val="auto"/>
          <w:sz w:val="24"/>
          <w:highlight w:val="none"/>
        </w:rPr>
        <w:t>湖北省政府电子采购平台</w:t>
      </w:r>
      <w:r>
        <w:rPr>
          <w:rFonts w:hint="eastAsia"/>
          <w:color w:val="auto"/>
          <w:sz w:val="24"/>
          <w:highlight w:val="none"/>
        </w:rPr>
        <w:t>系统出现不可抗力时，磋商小组可考虑是否启动应急程序。供应商可将网上递交的已盖章未加密的数据文件和响应文件谨慎保存</w:t>
      </w:r>
      <w:r>
        <w:rPr>
          <w:rFonts w:hint="eastAsia"/>
          <w:color w:val="auto"/>
          <w:sz w:val="24"/>
          <w:highlight w:val="none"/>
          <w:lang w:val="en-US" w:eastAsia="zh-CN"/>
        </w:rPr>
        <w:t>,</w:t>
      </w:r>
      <w:r>
        <w:rPr>
          <w:rFonts w:hint="eastAsia"/>
          <w:color w:val="auto"/>
          <w:sz w:val="24"/>
          <w:highlight w:val="none"/>
        </w:rPr>
        <w:t>以便启动应急程序时使用。</w:t>
      </w:r>
    </w:p>
    <w:p w14:paraId="62DA7C98">
      <w:pPr>
        <w:keepNext w:val="0"/>
        <w:keepLines w:val="0"/>
        <w:pageBreakBefore w:val="0"/>
        <w:widowControl w:val="0"/>
        <w:kinsoku/>
        <w:wordWrap/>
        <w:overflowPunct/>
        <w:topLinePunct w:val="0"/>
        <w:autoSpaceDE/>
        <w:autoSpaceDN/>
        <w:bidi w:val="0"/>
        <w:adjustRightInd/>
        <w:spacing w:line="440" w:lineRule="exact"/>
        <w:ind w:left="398" w:leftChars="-1" w:right="0" w:rightChars="0" w:hanging="400" w:hangingChars="167"/>
        <w:textAlignment w:val="auto"/>
        <w:rPr>
          <w:color w:val="auto"/>
        </w:rPr>
      </w:pPr>
      <w:r>
        <w:rPr>
          <w:rFonts w:hint="eastAsia" w:ascii="Times New Roman" w:hAnsi="Times New Roman" w:cs="Times New Roman"/>
          <w:b w:val="0"/>
          <w:bCs w:val="0"/>
          <w:color w:val="auto"/>
          <w:sz w:val="24"/>
          <w:szCs w:val="24"/>
          <w:lang w:val="en-US" w:eastAsia="zh-CN"/>
        </w:rPr>
        <w:t>19</w:t>
      </w:r>
      <w:r>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w:t>
      </w:r>
      <w:r>
        <w:rPr>
          <w:rFonts w:hint="eastAsia" w:asciiTheme="minorHAnsi" w:hAnsiTheme="minorHAnsi" w:eastAsiaTheme="minorEastAsia" w:cstheme="minorBidi"/>
          <w:i w:val="0"/>
          <w:iCs w:val="0"/>
          <w:color w:val="auto"/>
          <w:kern w:val="2"/>
          <w:sz w:val="24"/>
          <w:szCs w:val="22"/>
          <w:lang w:val="en-US" w:eastAsia="zh-CN" w:bidi="ar-SA"/>
        </w:rPr>
        <w:t>供应商完成响应文件上传后，“随州市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即时向供应商发出电子签收凭证，递交时间以电子签收凭证载明的传输完成时间为准。供应商应充分考虑上传文件时的不可预见因素，响应文件未在提交响应文件截止时间前完成上传的，视为逾期送达，采购人和采购代理机构（“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政府电子采购平台”）将拒收。</w:t>
      </w:r>
    </w:p>
    <w:p w14:paraId="784A60CA">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六、磋商小组的组成</w:t>
      </w:r>
    </w:p>
    <w:p w14:paraId="79A1586B">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本次磋商由集中采购机构依法组建的磋商小组进行，磋商小组负责制定磋商文件、确定磋商供应商名单、响应文件的评审、磋商、根据磋商情况编写评审报告，协助处理质疑等工作。</w:t>
      </w:r>
    </w:p>
    <w:p w14:paraId="1D5350A9">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磋商小组组成见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14:paraId="0EA27FB2">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七、磋商的步骤</w:t>
      </w:r>
    </w:p>
    <w:p w14:paraId="7BA877DA">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磋商供应商授权代表及其商务技术人员按</w:t>
      </w:r>
      <w:r>
        <w:rPr>
          <w:rFonts w:hint="eastAsia" w:cs="宋体"/>
          <w:b/>
          <w:bCs/>
          <w:color w:val="auto"/>
          <w:sz w:val="24"/>
        </w:rPr>
        <w:t>《供应商须知前附表》</w:t>
      </w:r>
      <w:r>
        <w:rPr>
          <w:rFonts w:hint="eastAsia" w:cs="宋体"/>
          <w:bCs/>
          <w:color w:val="auto"/>
          <w:sz w:val="24"/>
        </w:rPr>
        <w:t>规定的磋商</w:t>
      </w:r>
      <w:r>
        <w:rPr>
          <w:rFonts w:hint="eastAsia" w:cs="宋体"/>
          <w:color w:val="auto"/>
          <w:sz w:val="24"/>
        </w:rPr>
        <w:t>时间和地点参加</w:t>
      </w:r>
      <w:r>
        <w:rPr>
          <w:rFonts w:hint="eastAsia" w:ascii="Times New Roman" w:hAnsi="Times New Roman" w:cs="Times New Roman"/>
          <w:color w:val="auto"/>
          <w:sz w:val="24"/>
          <w:szCs w:val="24"/>
        </w:rPr>
        <w:t>本项目磋商。</w:t>
      </w:r>
    </w:p>
    <w:p w14:paraId="0B748957">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cs="宋体"/>
          <w:color w:val="auto"/>
          <w:sz w:val="24"/>
        </w:rPr>
      </w:pPr>
      <w:r>
        <w:rPr>
          <w:rFonts w:hint="eastAsia" w:cs="宋体"/>
          <w:color w:val="auto"/>
          <w:sz w:val="24"/>
        </w:rPr>
        <w:t>2</w:t>
      </w:r>
      <w:r>
        <w:rPr>
          <w:rFonts w:hint="eastAsia" w:cs="宋体"/>
          <w:color w:val="auto"/>
          <w:sz w:val="24"/>
          <w:lang w:val="en-US" w:eastAsia="zh-CN"/>
        </w:rPr>
        <w:t>3</w:t>
      </w:r>
      <w:r>
        <w:rPr>
          <w:rFonts w:hint="eastAsia" w:cs="宋体"/>
          <w:color w:val="auto"/>
          <w:sz w:val="24"/>
        </w:rPr>
        <w:t>. 本项目实行全流程电子化操作，</w:t>
      </w:r>
      <w:r>
        <w:rPr>
          <w:rFonts w:hint="eastAsia" w:cs="宋体"/>
          <w:bCs/>
          <w:color w:val="auto"/>
          <w:sz w:val="24"/>
        </w:rPr>
        <w:t>供应商应按照</w:t>
      </w:r>
      <w:r>
        <w:rPr>
          <w:rFonts w:hint="eastAsia" w:cs="宋体"/>
          <w:color w:val="auto"/>
          <w:sz w:val="24"/>
        </w:rPr>
        <w:t>湖北省政府电子采购平台要求，熟悉并完成网上所有操作流程，否则，</w:t>
      </w:r>
      <w:r>
        <w:rPr>
          <w:rFonts w:hint="eastAsia" w:cs="宋体"/>
          <w:b/>
          <w:bCs/>
          <w:color w:val="auto"/>
          <w:sz w:val="24"/>
        </w:rPr>
        <w:t>响应文件无效</w:t>
      </w:r>
      <w:r>
        <w:rPr>
          <w:rFonts w:hint="eastAsia" w:cs="宋体"/>
          <w:color w:val="auto"/>
          <w:sz w:val="24"/>
        </w:rPr>
        <w:t>。</w:t>
      </w:r>
    </w:p>
    <w:p w14:paraId="5EA870A4">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2</w:t>
      </w:r>
      <w:r>
        <w:rPr>
          <w:rFonts w:hint="eastAsia"/>
          <w:color w:val="auto"/>
          <w:sz w:val="24"/>
          <w:lang w:val="en-US" w:eastAsia="zh-CN"/>
        </w:rPr>
        <w:t>3</w:t>
      </w:r>
      <w:r>
        <w:rPr>
          <w:rFonts w:hint="eastAsia"/>
          <w:color w:val="auto"/>
          <w:sz w:val="24"/>
        </w:rPr>
        <w:t>.1投标人可远程参加磋商或到集中采购机构现场参加开标。现场参加磋商的供应商</w:t>
      </w:r>
      <w:r>
        <w:rPr>
          <w:rFonts w:hint="eastAsia" w:cs="宋体"/>
          <w:color w:val="auto"/>
          <w:sz w:val="24"/>
        </w:rPr>
        <w:t>应携带</w:t>
      </w:r>
      <w:r>
        <w:rPr>
          <w:rFonts w:hint="eastAsia" w:cs="宋体"/>
          <w:color w:val="auto"/>
          <w:sz w:val="24"/>
          <w:lang w:val="en-US" w:eastAsia="zh-CN"/>
        </w:rPr>
        <w:t>随州</w:t>
      </w:r>
      <w:r>
        <w:rPr>
          <w:rFonts w:hint="eastAsia" w:cs="宋体"/>
          <w:color w:val="auto"/>
          <w:sz w:val="24"/>
          <w:lang w:eastAsia="zh-CN"/>
        </w:rPr>
        <w:t>市随县</w:t>
      </w:r>
      <w:r>
        <w:rPr>
          <w:rFonts w:hint="eastAsia" w:cs="宋体"/>
          <w:color w:val="auto"/>
          <w:sz w:val="24"/>
        </w:rPr>
        <w:t>政府电子采购平台具有电子签章功能的CA锁到磋商现场解密响应文件，并参加磋商过程。为了确保视频磋商效果，建议供应商携带安装</w:t>
      </w:r>
      <w:r>
        <w:rPr>
          <w:rFonts w:hint="eastAsia" w:cs="宋体"/>
          <w:color w:val="auto"/>
          <w:sz w:val="24"/>
          <w:lang w:eastAsia="zh-CN"/>
        </w:rPr>
        <w:t>随县</w:t>
      </w:r>
      <w:r>
        <w:rPr>
          <w:rFonts w:hint="eastAsia" w:cs="宋体"/>
          <w:color w:val="auto"/>
          <w:sz w:val="24"/>
        </w:rPr>
        <w:t>政府电子采购平台相关软件，且调试完好的计算机参加磋商。</w:t>
      </w:r>
    </w:p>
    <w:p w14:paraId="3ED48DA6">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p>
    <w:p w14:paraId="6AC8271C">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磋商小组验证各供应商法人（负责人）或委托授权人、或自然人的身份。供应商法人（负责人）或委托授权人、或自然人身份与响应文件不符的、响应文件未按要求加盖</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印章和</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签</w:t>
      </w:r>
      <w:r>
        <w:rPr>
          <w:rFonts w:hint="eastAsia" w:ascii="Times New Roman" w:hAnsi="Times New Roman" w:cs="Times New Roman"/>
          <w:color w:val="auto"/>
          <w:sz w:val="24"/>
          <w:szCs w:val="24"/>
          <w:lang w:eastAsia="zh-CN"/>
        </w:rPr>
        <w:t>章</w:t>
      </w:r>
      <w:r>
        <w:rPr>
          <w:rFonts w:hint="eastAsia" w:ascii="Times New Roman" w:hAnsi="Times New Roman" w:cs="Times New Roman"/>
          <w:color w:val="auto"/>
          <w:sz w:val="24"/>
          <w:szCs w:val="24"/>
        </w:rPr>
        <w:t>的，磋商小组将拒绝该供应商参加磋商。</w:t>
      </w:r>
    </w:p>
    <w:p w14:paraId="4C8F6307">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磋商小组根据磋商文件规定的供应商资格条件、评定成交的标准等事项对供应商提交的响应文件进行评审，资格性检查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r>
        <w:rPr>
          <w:rFonts w:hint="eastAsia" w:ascii="Times New Roman" w:hAnsi="Times New Roman" w:cs="Times New Roman"/>
          <w:color w:val="auto"/>
          <w:sz w:val="24"/>
          <w:szCs w:val="24"/>
        </w:rPr>
        <w:t>不符合磋商文件要求的响应文件</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按无效文件处理，不进入磋商，并告知有关供应商。</w:t>
      </w:r>
    </w:p>
    <w:p w14:paraId="7454CD53">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第一轮磋商</w:t>
      </w:r>
    </w:p>
    <w:p w14:paraId="14FE4BA4">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磋商小组将按照随机抽签的顺序决定磋商供应商的磋商顺序，并与单一磋商供应商分别进行</w:t>
      </w:r>
      <w:r>
        <w:rPr>
          <w:rFonts w:hint="eastAsia" w:cs="宋体"/>
          <w:color w:val="auto"/>
          <w:sz w:val="24"/>
        </w:rPr>
        <w:t>视频</w:t>
      </w:r>
      <w:r>
        <w:rPr>
          <w:rFonts w:hint="eastAsia" w:ascii="Times New Roman" w:hAnsi="Times New Roman" w:cs="Times New Roman"/>
          <w:color w:val="auto"/>
          <w:sz w:val="24"/>
          <w:szCs w:val="24"/>
        </w:rPr>
        <w:t>磋商。</w:t>
      </w:r>
    </w:p>
    <w:p w14:paraId="681D2D63">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照磋商文件与供应商的响应文件分别就采购需求、质量和服务，以及合同草案条款等进行磋商，并了解其报价组成情况。磋商中，磋商的任何一方不得透露与磋商有关的其他供应商的技术资料、价格和其他信息。</w:t>
      </w:r>
    </w:p>
    <w:p w14:paraId="7B191EE5">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响应文件的澄清和说明</w:t>
      </w:r>
    </w:p>
    <w:p w14:paraId="73D28140">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54C898D4">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）磋商小组要求供应商澄清、说明或者更正响应文件应</w:t>
      </w:r>
      <w:r>
        <w:rPr>
          <w:rFonts w:hint="eastAsia" w:cs="宋体"/>
          <w:color w:val="auto"/>
          <w:sz w:val="24"/>
        </w:rPr>
        <w:t>在系统平台上</w:t>
      </w:r>
      <w:r>
        <w:rPr>
          <w:rFonts w:hint="eastAsia" w:ascii="Times New Roman" w:hAnsi="Times New Roman" w:cs="Times New Roman"/>
          <w:color w:val="auto"/>
          <w:sz w:val="24"/>
          <w:szCs w:val="24"/>
        </w:rPr>
        <w:t>以</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形式作出。供应商的澄清、说明或者更正应</w:t>
      </w:r>
      <w:r>
        <w:rPr>
          <w:rFonts w:hint="eastAsia" w:ascii="Times New Roman" w:hAnsi="Times New Roman" w:cs="Times New Roman"/>
          <w:color w:val="auto"/>
          <w:sz w:val="24"/>
          <w:szCs w:val="24"/>
          <w:lang w:eastAsia="zh-CN"/>
        </w:rPr>
        <w:t>采用</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lang w:eastAsia="zh-CN"/>
        </w:rPr>
        <w:t>在系统平台上加盖电子印章（</w:t>
      </w:r>
      <w:r>
        <w:rPr>
          <w:rFonts w:hint="eastAsia" w:ascii="Times New Roman" w:hAnsi="Times New Roman" w:cs="Times New Roman"/>
          <w:color w:val="auto"/>
          <w:sz w:val="24"/>
          <w:szCs w:val="24"/>
        </w:rPr>
        <w:t>自然人</w:t>
      </w:r>
      <w:r>
        <w:rPr>
          <w:rFonts w:hint="eastAsia" w:ascii="Times New Roman" w:hAnsi="Times New Roman" w:cs="Times New Roman"/>
          <w:color w:val="auto"/>
          <w:sz w:val="24"/>
          <w:szCs w:val="24"/>
          <w:lang w:eastAsia="zh-CN"/>
        </w:rPr>
        <w:t>电子签章），并提交</w:t>
      </w:r>
      <w:r>
        <w:rPr>
          <w:rFonts w:hint="eastAsia" w:ascii="Times New Roman" w:hAnsi="Times New Roman" w:cs="Times New Roman"/>
          <w:color w:val="auto"/>
          <w:sz w:val="24"/>
          <w:szCs w:val="24"/>
        </w:rPr>
        <w:t>。</w:t>
      </w:r>
    </w:p>
    <w:p w14:paraId="4AA759BD">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）供应商可以对参加磋商项目的采购需求提出优化建议，并</w:t>
      </w:r>
      <w:r>
        <w:rPr>
          <w:rFonts w:hint="eastAsia" w:ascii="Times New Roman" w:hAnsi="Times New Roman" w:cs="Times New Roman"/>
          <w:color w:val="auto"/>
          <w:sz w:val="24"/>
          <w:szCs w:val="24"/>
          <w:lang w:val="en-US" w:eastAsia="zh-CN"/>
        </w:rPr>
        <w:t>以电子形式</w:t>
      </w:r>
      <w:r>
        <w:rPr>
          <w:rFonts w:hint="eastAsia" w:ascii="Times New Roman" w:hAnsi="Times New Roman" w:cs="Times New Roman"/>
          <w:color w:val="auto"/>
          <w:sz w:val="24"/>
          <w:szCs w:val="24"/>
          <w:lang w:eastAsia="zh-CN"/>
        </w:rPr>
        <w:t>通过随县政府电子采购平台</w:t>
      </w:r>
      <w:r>
        <w:rPr>
          <w:rFonts w:hint="eastAsia" w:ascii="Times New Roman" w:hAnsi="Times New Roman" w:cs="Times New Roman"/>
          <w:color w:val="auto"/>
          <w:sz w:val="24"/>
          <w:szCs w:val="24"/>
        </w:rPr>
        <w:t>提交磋商小组。</w:t>
      </w:r>
    </w:p>
    <w:p w14:paraId="0179E4DB">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.4</w:t>
      </w:r>
      <w:r>
        <w:rPr>
          <w:rFonts w:hint="eastAsia" w:ascii="Times New Roman" w:hAnsi="Times New Roman" w:cs="Times New Roman"/>
          <w:color w:val="auto"/>
          <w:sz w:val="24"/>
          <w:szCs w:val="24"/>
        </w:rPr>
        <w:t>磋商小组按磋商文件设定的方法和标准确定供应商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符合磋商文件要求的，该供应商即为合格的供应商。</w:t>
      </w:r>
    </w:p>
    <w:p w14:paraId="085763AF">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s="宋体"/>
          <w:color w:val="auto"/>
          <w:sz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.5</w:t>
      </w:r>
      <w:r>
        <w:rPr>
          <w:rFonts w:hint="eastAsia" w:ascii="Times New Roman" w:hAnsi="Times New Roman" w:cs="Times New Roman"/>
          <w:color w:val="auto"/>
          <w:sz w:val="24"/>
          <w:szCs w:val="24"/>
        </w:rPr>
        <w:t>第一轮磋商后，</w:t>
      </w:r>
      <w:r>
        <w:rPr>
          <w:rFonts w:hint="eastAsia" w:cs="宋体"/>
          <w:color w:val="auto"/>
          <w:sz w:val="24"/>
        </w:rPr>
        <w:t>磋商小组可根据采购项目的特点、采购人的实际需求及与各供应商的磋商情况对磋商文件作出实质性变动，并进行下一轮磋商，或直接进入最后报价。变动后的磋商文件至少有</w:t>
      </w:r>
      <w:r>
        <w:rPr>
          <w:color w:val="auto"/>
          <w:sz w:val="24"/>
        </w:rPr>
        <w:t>3</w:t>
      </w:r>
      <w:r>
        <w:rPr>
          <w:rFonts w:hint="eastAsia" w:cs="宋体"/>
          <w:color w:val="auto"/>
          <w:sz w:val="24"/>
        </w:rPr>
        <w:t>家供应商满足</w:t>
      </w:r>
      <w:r>
        <w:rPr>
          <w:rFonts w:hint="eastAsia" w:cs="宋体"/>
          <w:color w:val="auto"/>
          <w:sz w:val="24"/>
          <w:lang w:eastAsia="zh-CN"/>
        </w:rPr>
        <w:t>磋商文件要求。</w:t>
      </w:r>
    </w:p>
    <w:p w14:paraId="48399A1A">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cs="宋体"/>
          <w:color w:val="auto"/>
          <w:sz w:val="24"/>
          <w:lang w:val="en-US" w:eastAsia="zh-CN"/>
        </w:rPr>
        <w:t>25.6</w:t>
      </w:r>
      <w:r>
        <w:rPr>
          <w:rFonts w:hint="eastAsia" w:ascii="Times New Roman" w:hAnsi="Times New Roman" w:cs="Times New Roman"/>
          <w:color w:val="auto"/>
          <w:sz w:val="24"/>
          <w:szCs w:val="24"/>
        </w:rPr>
        <w:t>合格的供应商不足</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家的，磋商小组、采购人在调整采购需求中的技术、服务要求以及合同草案条款后进行下一轮磋商。否则，本次磋商终止。</w:t>
      </w:r>
    </w:p>
    <w:p w14:paraId="6C464171">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磋商文件修正</w:t>
      </w:r>
    </w:p>
    <w:p w14:paraId="7366605C">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磋商小组可根据磋商文件和磋商情况实质性变动采购需求中的技术、服务要求以及合同草案条款，但不得变动磋商文件中的其他内容。对磋商文件作出的实质性变动是磋商文件的有效组成部分。</w:t>
      </w:r>
    </w:p>
    <w:p w14:paraId="71D34865">
      <w:pPr>
        <w:keepNext w:val="0"/>
        <w:keepLines w:val="0"/>
        <w:pageBreakBefore w:val="0"/>
        <w:widowControl w:val="0"/>
        <w:kinsoku/>
        <w:wordWrap/>
        <w:overflowPunct/>
        <w:topLinePunct w:val="0"/>
        <w:autoSpaceDE/>
        <w:autoSpaceDN/>
        <w:bidi w:val="0"/>
        <w:adjustRightInd/>
        <w:spacing w:line="440" w:lineRule="exact"/>
        <w:ind w:left="420" w:leftChars="0" w:right="0" w:rightChars="0" w:hanging="420" w:hangingChars="175"/>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磋商小组将磋商文件的修改结果</w:t>
      </w:r>
      <w:r>
        <w:rPr>
          <w:rFonts w:hint="eastAsia" w:ascii="Times New Roman" w:hAnsi="Times New Roman" w:cs="Times New Roman"/>
          <w:color w:val="auto"/>
          <w:sz w:val="24"/>
          <w:szCs w:val="24"/>
          <w:lang w:val="en-US" w:eastAsia="zh-CN"/>
        </w:rPr>
        <w:t>在随州市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通知参加</w:t>
      </w:r>
      <w:r>
        <w:rPr>
          <w:rFonts w:hint="eastAsia" w:ascii="Times New Roman" w:hAnsi="Times New Roman" w:cs="Times New Roman"/>
          <w:color w:val="auto"/>
          <w:sz w:val="24"/>
          <w:szCs w:val="24"/>
          <w:lang w:val="en-US" w:eastAsia="zh-CN"/>
        </w:rPr>
        <w:t>磋</w:t>
      </w:r>
      <w:r>
        <w:rPr>
          <w:rFonts w:hint="eastAsia" w:ascii="Times New Roman" w:hAnsi="Times New Roman" w:cs="Times New Roman"/>
          <w:color w:val="auto"/>
          <w:sz w:val="24"/>
          <w:szCs w:val="24"/>
        </w:rPr>
        <w:t>商的供应商。</w:t>
      </w:r>
    </w:p>
    <w:p w14:paraId="2EED96C2">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磋商供应商根据第一轮磋商情况和磋商文件修改书面通知，对原响应文件进行修正，并将修正文件</w:t>
      </w:r>
      <w:r>
        <w:rPr>
          <w:rFonts w:hint="eastAsia" w:cs="宋体"/>
          <w:color w:val="auto"/>
          <w:sz w:val="24"/>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rPr>
        <w:t>盖章后</w:t>
      </w:r>
      <w:r>
        <w:rPr>
          <w:rFonts w:hint="eastAsia" w:ascii="Times New Roman" w:hAnsi="Times New Roman" w:cs="Times New Roman"/>
          <w:color w:val="auto"/>
          <w:sz w:val="24"/>
          <w:szCs w:val="24"/>
          <w:lang w:eastAsia="zh-CN"/>
        </w:rPr>
        <w:t>递</w:t>
      </w:r>
      <w:r>
        <w:rPr>
          <w:rFonts w:hint="eastAsia" w:ascii="Times New Roman" w:hAnsi="Times New Roman" w:cs="Times New Roman"/>
          <w:color w:val="auto"/>
          <w:sz w:val="24"/>
          <w:szCs w:val="24"/>
        </w:rPr>
        <w:t>交磋商小组。逾时不交的，视同放弃磋商。修正文件与响应文件同具法律效应。</w:t>
      </w:r>
    </w:p>
    <w:p w14:paraId="20345C98">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.4</w:t>
      </w:r>
      <w:r>
        <w:rPr>
          <w:rFonts w:hint="eastAsia" w:ascii="Times New Roman" w:hAnsi="Times New Roman" w:cs="Times New Roman"/>
          <w:color w:val="auto"/>
          <w:sz w:val="24"/>
          <w:szCs w:val="24"/>
        </w:rPr>
        <w:t>对无法详细描述需求，需要供应商提供设计或者解决方案的项目，磋商小组可以根据采购人对需求确认情况，进行多轮磋商，直至采购人代表最终确认采购需求为止。</w:t>
      </w:r>
    </w:p>
    <w:p w14:paraId="7CF35EA5">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第二轮磋商</w:t>
      </w:r>
    </w:p>
    <w:p w14:paraId="39CA83A5">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磋商小组就修正后的磋商文件与磋商供应商分别进行磋商，并按上一轮磋商程序办理，以此类推。</w:t>
      </w:r>
    </w:p>
    <w:p w14:paraId="0263A016">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最后报价</w:t>
      </w:r>
    </w:p>
    <w:p w14:paraId="0EF7127B">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磋商小组对磋商文件中能够详细列明采购标的的技术、服务要求的，在磋商结束后，所有继续参加磋商合格的供应商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应在规定时间内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提交最后报价。</w:t>
      </w:r>
    </w:p>
    <w:p w14:paraId="29A3C218">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磋商小组对磋商文件中不能详细描述和列明采购标的的技术、服务要求，需通过磋商由供应商提供最终设计方案或解决方案的，在磋商结束后，磋商小组按照少数服从多数的原则投票推荐</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家以上合格供应商的设计方案或者解决方案，并要求其在规定时间内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w:t>
      </w:r>
      <w:r>
        <w:rPr>
          <w:rFonts w:hint="eastAsia" w:ascii="Times New Roman" w:hAnsi="Times New Roman" w:cs="Times New Roman"/>
          <w:b w:val="0"/>
          <w:bCs w:val="0"/>
          <w:color w:val="auto"/>
          <w:sz w:val="24"/>
          <w:szCs w:val="24"/>
          <w:lang w:val="en-US" w:eastAsia="zh-CN"/>
        </w:rPr>
        <w:t>市</w:t>
      </w:r>
      <w:r>
        <w:rPr>
          <w:rFonts w:hint="eastAsia" w:ascii="Times New Roman" w:hAnsi="Times New Roman" w:cs="Times New Roman"/>
          <w:b w:val="0"/>
          <w:bCs w:val="0"/>
          <w:color w:val="auto"/>
          <w:sz w:val="24"/>
          <w:szCs w:val="24"/>
          <w:lang w:eastAsia="zh-CN"/>
        </w:rPr>
        <w:t>随县政府电子采购平台</w:t>
      </w:r>
      <w:r>
        <w:rPr>
          <w:rFonts w:hint="eastAsia" w:ascii="Times New Roman" w:hAnsi="Times New Roman" w:cs="Times New Roman"/>
          <w:color w:val="auto"/>
          <w:sz w:val="24"/>
          <w:szCs w:val="24"/>
        </w:rPr>
        <w:t>提交最后报价。</w:t>
      </w:r>
    </w:p>
    <w:p w14:paraId="6AFDEC33">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最后报价未超过采购预算的供应商不足三家的，采购活动终止。</w:t>
      </w:r>
    </w:p>
    <w:p w14:paraId="24D8A93A">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.4</w:t>
      </w:r>
      <w:r>
        <w:rPr>
          <w:rFonts w:hint="eastAsia" w:ascii="Times New Roman" w:hAnsi="Times New Roman" w:cs="Times New Roman"/>
          <w:color w:val="auto"/>
          <w:sz w:val="24"/>
          <w:szCs w:val="24"/>
        </w:rPr>
        <w:t>最后报价是供应商响应文件的有效组成部分。</w:t>
      </w:r>
    </w:p>
    <w:p w14:paraId="0F7F4701">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28</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在提交最后报价之前，供应商可以根据磋商情况退出磋商。</w:t>
      </w:r>
    </w:p>
    <w:p w14:paraId="768E416A">
      <w:pPr>
        <w:keepNext w:val="0"/>
        <w:keepLines w:val="0"/>
        <w:pageBreakBefore w:val="0"/>
        <w:widowControl w:val="0"/>
        <w:numPr>
          <w:ilvl w:val="0"/>
          <w:numId w:val="0"/>
        </w:numPr>
        <w:kinsoku/>
        <w:wordWrap/>
        <w:overflowPunct/>
        <w:topLinePunct w:val="0"/>
        <w:autoSpaceDE/>
        <w:autoSpaceDN/>
        <w:bidi w:val="0"/>
        <w:adjustRightInd/>
        <w:spacing w:line="440" w:lineRule="exact"/>
        <w:ind w:left="-315" w:leftChars="-150" w:right="0" w:rightChars="0" w:firstLine="314" w:firstLineChars="131"/>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hint="eastAsia" w:ascii="Times New Roman" w:hAnsi="Times New Roman" w:cs="Times New Roman"/>
          <w:bCs/>
          <w:color w:val="auto"/>
          <w:sz w:val="24"/>
          <w:szCs w:val="24"/>
        </w:rPr>
        <w:t>综合评议</w:t>
      </w:r>
    </w:p>
    <w:p w14:paraId="0056DD56">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磋商小组将按照磋商文件确定的评审办法</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对</w:t>
      </w:r>
      <w:r>
        <w:rPr>
          <w:rFonts w:hint="eastAsia" w:ascii="Times New Roman" w:hAnsi="Times New Roman" w:cs="Times New Roman"/>
          <w:bCs/>
          <w:color w:val="auto"/>
          <w:sz w:val="24"/>
          <w:szCs w:val="24"/>
          <w:lang w:eastAsia="zh-CN"/>
        </w:rPr>
        <w:t>合格</w:t>
      </w:r>
      <w:r>
        <w:rPr>
          <w:rFonts w:hint="eastAsia" w:ascii="Times New Roman" w:hAnsi="Times New Roman" w:cs="Times New Roman"/>
          <w:bCs/>
          <w:color w:val="auto"/>
          <w:sz w:val="24"/>
          <w:szCs w:val="24"/>
        </w:rPr>
        <w:t>供应商的响应文件进行商务服务评议、技术</w:t>
      </w:r>
      <w:r>
        <w:rPr>
          <w:rFonts w:hint="eastAsia" w:ascii="Times New Roman" w:hAnsi="Times New Roman" w:cs="Times New Roman"/>
          <w:bCs/>
          <w:color w:val="auto"/>
          <w:sz w:val="24"/>
          <w:szCs w:val="24"/>
          <w:lang w:eastAsia="zh-CN"/>
        </w:rPr>
        <w:t>服务</w:t>
      </w:r>
      <w:r>
        <w:rPr>
          <w:rFonts w:hint="eastAsia" w:ascii="Times New Roman" w:hAnsi="Times New Roman" w:cs="Times New Roman"/>
          <w:bCs/>
          <w:color w:val="auto"/>
          <w:sz w:val="24"/>
          <w:szCs w:val="24"/>
        </w:rPr>
        <w:t>和价格评议。</w:t>
      </w:r>
    </w:p>
    <w:p w14:paraId="169B5ED8">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评审采用综合评分法，具体见</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第四章评审办法及评审标准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14:paraId="33A8DC78">
      <w:pPr>
        <w:keepNext w:val="0"/>
        <w:keepLines w:val="0"/>
        <w:pageBreakBefore w:val="0"/>
        <w:widowControl w:val="0"/>
        <w:numPr>
          <w:ilvl w:val="0"/>
          <w:numId w:val="0"/>
        </w:numPr>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bCs/>
          <w:color w:val="auto"/>
          <w:sz w:val="24"/>
          <w:szCs w:val="24"/>
          <w:lang w:val="en-US" w:eastAsia="zh-CN"/>
        </w:rPr>
        <w:t>30.</w:t>
      </w:r>
      <w:r>
        <w:rPr>
          <w:rFonts w:hint="eastAsia" w:ascii="Times New Roman" w:hAnsi="Times New Roman" w:cs="Times New Roman"/>
          <w:bCs/>
          <w:color w:val="auto"/>
          <w:sz w:val="24"/>
          <w:szCs w:val="24"/>
          <w:lang w:eastAsia="zh-CN"/>
        </w:rPr>
        <w:t>落实政府采购政策</w:t>
      </w:r>
    </w:p>
    <w:p w14:paraId="5CA1893E">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olor w:val="auto"/>
          <w:lang w:eastAsia="zh-CN"/>
        </w:rPr>
      </w:pPr>
      <w:r>
        <w:rPr>
          <w:rFonts w:hint="eastAsia" w:ascii="Times New Roman" w:hAnsi="Times New Roman" w:cs="Times New Roman"/>
          <w:bCs/>
          <w:color w:val="auto"/>
          <w:sz w:val="24"/>
          <w:szCs w:val="24"/>
          <w:lang w:val="en-US" w:eastAsia="zh-CN"/>
        </w:rPr>
        <w:t>30.1</w:t>
      </w:r>
      <w:r>
        <w:rPr>
          <w:rFonts w:hint="eastAsia"/>
          <w:bCs/>
          <w:color w:val="auto"/>
          <w:sz w:val="24"/>
        </w:rPr>
        <w:t>本项目是否专门面向中小企业</w:t>
      </w:r>
      <w:r>
        <w:rPr>
          <w:color w:val="auto"/>
          <w:sz w:val="24"/>
        </w:rPr>
        <w:t>、监狱企业、残疾人福利性单位</w:t>
      </w:r>
      <w:r>
        <w:rPr>
          <w:rFonts w:hint="eastAsia"/>
          <w:bCs/>
          <w:color w:val="auto"/>
          <w:sz w:val="24"/>
        </w:rPr>
        <w:t>，见</w:t>
      </w:r>
      <w:r>
        <w:rPr>
          <w:rFonts w:hint="eastAsia" w:cs="宋体"/>
          <w:b/>
          <w:bCs/>
          <w:color w:val="auto"/>
          <w:sz w:val="24"/>
        </w:rPr>
        <w:t>《供应商须知前附表》</w:t>
      </w:r>
      <w:r>
        <w:rPr>
          <w:rFonts w:hint="eastAsia"/>
          <w:bCs/>
          <w:color w:val="auto"/>
          <w:sz w:val="24"/>
        </w:rPr>
        <w:t>。</w:t>
      </w:r>
    </w:p>
    <w:p w14:paraId="2C3E014C">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30.2</w:t>
      </w:r>
      <w:r>
        <w:rPr>
          <w:rFonts w:hint="eastAsia" w:ascii="Times New Roman" w:hAnsi="Times New Roman" w:cs="Times New Roman"/>
          <w:color w:val="auto"/>
          <w:sz w:val="24"/>
          <w:szCs w:val="24"/>
        </w:rPr>
        <w:t>非专门面向中小企业、监狱企业或残疾人福利性单位采购项目价格评议</w:t>
      </w:r>
    </w:p>
    <w:p w14:paraId="5389F1D4">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磋商的，给予</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确定比例进行价格扣除，用扣除后的价格参与评审。本项所称产品不包括使用大型企业注册商标的产品、使用非残疾人福利性单位注册商标的货物或非监狱企业生产的货物。</w:t>
      </w:r>
    </w:p>
    <w:p w14:paraId="0314B33C">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14:paraId="7BFE8849">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对小型、微型企业与大中型企业和其他自然人、法人或者其他组织组成联合体共同参加非专门面向中小企业的政府采购活动，联合协议中小型、微型企业的协议合同金额占协议合同总金额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以上的，给予联合体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确定比例进行价格扣除。联合体各方均为小型、微型企业的，给予联合体按比例进行价格扣除</w:t>
      </w:r>
      <w:r>
        <w:rPr>
          <w:rFonts w:hint="eastAsia" w:ascii="Times New Roman" w:hAnsi="Times New Roman" w:cs="Times New Roman"/>
          <w:color w:val="auto"/>
          <w:sz w:val="24"/>
          <w:szCs w:val="24"/>
          <w:lang w:eastAsia="zh-CN"/>
        </w:rPr>
        <w:t>，</w:t>
      </w:r>
      <w:r>
        <w:rPr>
          <w:rFonts w:ascii="仿宋" w:hAnsi="仿宋" w:cs="仿宋"/>
          <w:color w:val="auto"/>
          <w:spacing w:val="0"/>
          <w:sz w:val="24"/>
        </w:rPr>
        <w:t>不重复享受政策</w:t>
      </w:r>
      <w:r>
        <w:rPr>
          <w:rFonts w:hint="eastAsia" w:ascii="仿宋" w:hAnsi="仿宋" w:cs="仿宋"/>
          <w:color w:val="auto"/>
          <w:spacing w:val="0"/>
          <w:sz w:val="24"/>
          <w:lang w:eastAsia="zh-CN"/>
        </w:rPr>
        <w:t>。</w:t>
      </w:r>
    </w:p>
    <w:p w14:paraId="14D8E92D">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14:paraId="309A6882">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default" w:ascii="Times New Roman" w:hAnsi="Times New Roman" w:cs="Times New Roman" w:eastAsiaTheme="minorEastAsia"/>
          <w:i w:val="0"/>
          <w:iCs w:val="0"/>
          <w:color w:val="auto"/>
          <w:kern w:val="2"/>
          <w:sz w:val="24"/>
          <w:szCs w:val="24"/>
          <w:lang w:val="en-US" w:eastAsia="zh-CN" w:bidi="ar-SA"/>
        </w:rPr>
      </w:pPr>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rPr>
        <w:t>供应商提供的货物既有中小企业制造货物，也有大型企业制造货物的，不享受价格扣除。</w:t>
      </w:r>
    </w:p>
    <w:p w14:paraId="32A50F3A">
      <w:pPr>
        <w:keepNext w:val="0"/>
        <w:keepLines w:val="0"/>
        <w:pageBreakBefore w:val="0"/>
        <w:widowControl w:val="0"/>
        <w:numPr>
          <w:ilvl w:val="0"/>
          <w:numId w:val="0"/>
        </w:numPr>
        <w:kinsoku/>
        <w:wordWrap/>
        <w:overflowPunct/>
        <w:topLinePunct w:val="0"/>
        <w:autoSpaceDE/>
        <w:autoSpaceDN/>
        <w:bidi w:val="0"/>
        <w:adjustRightInd/>
        <w:spacing w:line="440" w:lineRule="exact"/>
        <w:ind w:left="403" w:leftChars="0" w:right="0" w:rightChars="0" w:hanging="403" w:hangingChars="168"/>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1</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价格分采用低价优先法计算，即满足磋商文件要求且最后报价最低的供应商的价格为磋商基准价，其价格分为满分。其他供应商的价格分计算公式：磋商报价得分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（磋商基准价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最后磋商报价）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价格权</w:t>
      </w:r>
      <w:r>
        <w:rPr>
          <w:rFonts w:hint="eastAsia" w:ascii="Times New Roman" w:hAnsi="Times New Roman" w:cs="Times New Roman"/>
          <w:bCs/>
          <w:color w:val="auto"/>
          <w:sz w:val="24"/>
          <w:szCs w:val="24"/>
          <w:lang w:eastAsia="zh-CN"/>
        </w:rPr>
        <w:t>重</w:t>
      </w:r>
      <w:r>
        <w:rPr>
          <w:rFonts w:ascii="Times New Roman" w:hAnsi="Times New Roman" w:cs="Times New Roman"/>
          <w:bCs/>
          <w:color w:val="auto"/>
          <w:sz w:val="24"/>
          <w:szCs w:val="24"/>
        </w:rPr>
        <w:t>×100</w:t>
      </w:r>
      <w:r>
        <w:rPr>
          <w:rFonts w:hint="eastAsia" w:ascii="Times New Roman" w:hAnsi="Times New Roman" w:cs="Times New Roman"/>
          <w:bCs/>
          <w:color w:val="auto"/>
          <w:sz w:val="24"/>
          <w:szCs w:val="24"/>
        </w:rPr>
        <w:t>。</w:t>
      </w:r>
    </w:p>
    <w:p w14:paraId="7262A68D">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2.</w:t>
      </w:r>
      <w:r>
        <w:rPr>
          <w:rFonts w:hint="eastAsia" w:ascii="Times New Roman" w:hAnsi="Times New Roman" w:cs="Times New Roman"/>
          <w:bCs/>
          <w:color w:val="auto"/>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196A84EC">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3</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磋商小组决定响应文件的响应性只根据响应文件本身的真实无误的内容，而不依据外部的证据，但响应文件有不真实不正确的内容时除外。</w:t>
      </w:r>
    </w:p>
    <w:p w14:paraId="316B56A9">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八、确定成交供应商</w:t>
      </w:r>
    </w:p>
    <w:p w14:paraId="7228D50B">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磋商小组根据综合评分情况，按照评审得分由高到低顺序推荐</w:t>
      </w:r>
      <w:r>
        <w:rPr>
          <w:rFonts w:hint="eastAsia" w:ascii="Times New Roman" w:hAnsi="Times New Roman" w:cs="Times New Roman"/>
          <w:bCs/>
          <w:color w:val="auto"/>
          <w:sz w:val="24"/>
          <w:szCs w:val="24"/>
          <w:lang w:eastAsia="zh-CN"/>
        </w:rPr>
        <w:t>得分前三</w:t>
      </w:r>
      <w:r>
        <w:rPr>
          <w:rFonts w:hint="eastAsia" w:ascii="Times New Roman" w:hAnsi="Times New Roman" w:cs="Times New Roman"/>
          <w:bCs/>
          <w:color w:val="auto"/>
          <w:sz w:val="24"/>
          <w:szCs w:val="24"/>
        </w:rPr>
        <w:t>名以上成交候选供应商</w:t>
      </w:r>
      <w:r>
        <w:rPr>
          <w:rFonts w:hint="eastAsia" w:ascii="Times New Roman" w:hAnsi="Times New Roman" w:cs="Times New Roman"/>
          <w:bCs/>
          <w:color w:val="auto"/>
          <w:sz w:val="24"/>
          <w:szCs w:val="24"/>
          <w:lang w:eastAsia="zh-CN"/>
        </w:rPr>
        <w:t>名单</w:t>
      </w:r>
      <w:r>
        <w:rPr>
          <w:rFonts w:hint="eastAsia" w:ascii="Times New Roman" w:hAnsi="Times New Roman" w:cs="Times New Roman"/>
          <w:bCs/>
          <w:color w:val="auto"/>
          <w:sz w:val="24"/>
          <w:szCs w:val="24"/>
        </w:rPr>
        <w:t>，</w:t>
      </w:r>
      <w:r>
        <w:rPr>
          <w:rFonts w:hint="eastAsia" w:ascii="Times New Roman" w:hAnsi="Times New Roman" w:cs="Times New Roman"/>
          <w:bCs/>
          <w:color w:val="auto"/>
          <w:sz w:val="24"/>
          <w:szCs w:val="24"/>
          <w:lang w:eastAsia="zh-CN"/>
        </w:rPr>
        <w:t>并形成评审报告</w:t>
      </w:r>
      <w:r>
        <w:rPr>
          <w:rFonts w:hint="eastAsia" w:ascii="Times New Roman" w:hAnsi="Times New Roman" w:cs="Times New Roman"/>
          <w:bCs/>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14:paraId="2A981E53">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1</w:t>
      </w:r>
      <w:r>
        <w:rPr>
          <w:rFonts w:hint="eastAsia" w:ascii="Times New Roman" w:hAnsi="Times New Roman" w:cs="Times New Roman"/>
          <w:bCs/>
          <w:color w:val="auto"/>
          <w:sz w:val="24"/>
          <w:szCs w:val="24"/>
        </w:rPr>
        <w:t>采购人从评审报告提出的成交候选供应商中，按照排序由高到低的原则确定成交供应商。</w:t>
      </w:r>
    </w:p>
    <w:p w14:paraId="7E674917">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val="en-US" w:eastAsia="zh-CN"/>
        </w:rPr>
        <w:t>4.2</w:t>
      </w:r>
      <w:r>
        <w:rPr>
          <w:rFonts w:hint="eastAsia" w:ascii="Times New Roman" w:hAnsi="Times New Roman" w:cs="Times New Roman"/>
          <w:color w:val="auto"/>
          <w:sz w:val="24"/>
          <w:szCs w:val="24"/>
        </w:rPr>
        <w:t>成交候选供应商因特殊原因放弃或因不可抗力提出不能履行合同，才可依据磋商小组评审结果次序依次递补。</w:t>
      </w:r>
    </w:p>
    <w:p w14:paraId="3F12B5E1">
      <w:pPr>
        <w:pStyle w:val="50"/>
      </w:pPr>
    </w:p>
    <w:p w14:paraId="48FDC195">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九、成交公告和质疑</w:t>
      </w:r>
    </w:p>
    <w:p w14:paraId="02C3DB6F">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35</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 xml:space="preserve"> </w:t>
      </w:r>
      <w:r>
        <w:rPr>
          <w:rFonts w:hint="eastAsia" w:ascii="Times New Roman" w:hAnsi="Times New Roman" w:cs="Times New Roman"/>
          <w:color w:val="auto"/>
          <w:sz w:val="24"/>
          <w:szCs w:val="24"/>
        </w:rPr>
        <w:t>公告媒体</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采购人确定成交供应商后，集中采购机构按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规定的媒体上公告成交结果，公告期为一个工作日</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供应商应在随州市随县政府电子采购平台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r>
        <w:rPr>
          <w:rFonts w:hint="eastAsia" w:ascii="Times New Roman" w:hAnsi="Times New Roman" w:cs="Times New Roman"/>
          <w:color w:val="auto"/>
          <w:sz w:val="24"/>
          <w:szCs w:val="24"/>
        </w:rPr>
        <w:t>。</w:t>
      </w:r>
    </w:p>
    <w:p w14:paraId="06B91F07">
      <w:pPr>
        <w:keepNext w:val="0"/>
        <w:keepLines w:val="0"/>
        <w:pageBreakBefore w:val="0"/>
        <w:widowControl w:val="0"/>
        <w:kinsoku/>
        <w:wordWrap/>
        <w:overflowPunct/>
        <w:topLinePunct w:val="0"/>
        <w:autoSpaceDE/>
        <w:autoSpaceDN/>
        <w:bidi w:val="0"/>
        <w:adjustRightInd/>
        <w:spacing w:line="360" w:lineRule="auto"/>
        <w:ind w:right="0" w:rightChars="0"/>
        <w:textAlignment w:val="auto"/>
        <w:rPr>
          <w:rFonts w:ascii="Times New Roman" w:hAnsi="Times New Roman" w:eastAsia="黑体" w:cs="Times New Roman"/>
          <w:bCs/>
          <w:color w:val="auto"/>
          <w:sz w:val="24"/>
          <w:szCs w:val="24"/>
        </w:rPr>
      </w:pPr>
      <w:r>
        <w:rPr>
          <w:rFonts w:hint="eastAsia" w:ascii="Times New Roman" w:hAnsi="Times New Roman" w:cs="Times New Roman"/>
          <w:bCs/>
          <w:color w:val="auto"/>
          <w:sz w:val="24"/>
          <w:szCs w:val="24"/>
          <w:lang w:val="en-US" w:eastAsia="zh-CN"/>
        </w:rPr>
        <w:t>36.</w:t>
      </w:r>
      <w:r>
        <w:rPr>
          <w:rFonts w:hint="eastAsia" w:ascii="Times New Roman" w:hAnsi="Times New Roman" w:cs="Times New Roman"/>
          <w:color w:val="auto"/>
          <w:sz w:val="24"/>
          <w:szCs w:val="24"/>
        </w:rPr>
        <w:t>质疑和回复</w:t>
      </w:r>
      <w:r>
        <w:rPr>
          <w:rFonts w:hint="eastAsia" w:ascii="Times New Roman" w:hAnsi="Times New Roman" w:cs="Times New Roman"/>
          <w:color w:val="auto"/>
          <w:sz w:val="24"/>
          <w:szCs w:val="24"/>
          <w:lang w:eastAsia="zh-CN"/>
        </w:rPr>
        <w:t>详</w:t>
      </w:r>
      <w:r>
        <w:rPr>
          <w:rFonts w:hint="eastAsia" w:ascii="Times New Roman" w:hAnsi="Times New Roman" w:cs="Times New Roman"/>
          <w:color w:val="auto"/>
          <w:sz w:val="24"/>
          <w:szCs w:val="24"/>
        </w:rPr>
        <w:t>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
          <w:bCs/>
          <w:color w:val="auto"/>
          <w:sz w:val="24"/>
          <w:szCs w:val="24"/>
          <w:lang w:eastAsia="zh-CN"/>
        </w:rPr>
        <w:t>。</w:t>
      </w:r>
    </w:p>
    <w:p w14:paraId="060F82DE">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十、签订合同</w:t>
      </w:r>
    </w:p>
    <w:p w14:paraId="064EDD37">
      <w:pPr>
        <w:keepNext w:val="0"/>
        <w:keepLines w:val="0"/>
        <w:pageBreakBefore w:val="0"/>
        <w:widowControl w:val="0"/>
        <w:kinsoku/>
        <w:wordWrap/>
        <w:overflowPunct/>
        <w:topLinePunct w:val="0"/>
        <w:autoSpaceDE/>
        <w:autoSpaceDN/>
        <w:bidi w:val="0"/>
        <w:adjustRightInd/>
        <w:snapToGrid w:val="0"/>
        <w:spacing w:line="440" w:lineRule="exact"/>
        <w:ind w:left="361" w:right="0" w:rightChars="0" w:hanging="361" w:hangingChars="150"/>
        <w:textAlignment w:val="auto"/>
        <w:rPr>
          <w:rFonts w:ascii="Times New Roman" w:hAnsi="Times New Roman" w:cs="Times New Roman"/>
          <w:color w:val="auto"/>
          <w:sz w:val="24"/>
          <w:szCs w:val="24"/>
        </w:rPr>
      </w:pPr>
      <w:r>
        <w:rPr>
          <w:rFonts w:hint="eastAsia" w:ascii="Times New Roman" w:hAnsi="Times New Roman" w:cs="Times New Roman"/>
          <w:b/>
          <w:bCs/>
          <w:color w:val="auto"/>
          <w:sz w:val="24"/>
          <w:szCs w:val="24"/>
          <w:lang w:val="en-US" w:eastAsia="zh-CN"/>
        </w:rPr>
        <w:t>37</w:t>
      </w:r>
      <w:r>
        <w:rPr>
          <w:rFonts w:ascii="Times New Roman" w:hAnsi="Times New Roman" w:cs="Times New Roman"/>
          <w:b/>
          <w:bCs/>
          <w:color w:val="auto"/>
          <w:sz w:val="24"/>
          <w:szCs w:val="24"/>
        </w:rPr>
        <w:t>.</w:t>
      </w:r>
      <w:r>
        <w:rPr>
          <w:rFonts w:hint="eastAsia" w:ascii="Times New Roman" w:hAnsi="Times New Roman" w:cs="Times New Roman"/>
          <w:b/>
          <w:bCs/>
          <w:color w:val="auto"/>
          <w:sz w:val="24"/>
          <w:szCs w:val="24"/>
        </w:rPr>
        <w:t>成交供应商在收到成交通知书后，十日内与采购人签订供货（服务）合同。</w:t>
      </w:r>
    </w:p>
    <w:p w14:paraId="31EEEBF7">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十一、付款方式</w:t>
      </w:r>
    </w:p>
    <w:p w14:paraId="63D89879">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color w:val="auto"/>
        </w:rPr>
      </w:pPr>
      <w:r>
        <w:rPr>
          <w:rFonts w:hint="eastAsia" w:ascii="Times New Roman" w:hAnsi="Times New Roman" w:cs="Times New Roman"/>
          <w:bCs/>
          <w:color w:val="auto"/>
          <w:sz w:val="24"/>
          <w:szCs w:val="24"/>
          <w:lang w:val="en-US" w:eastAsia="zh-CN"/>
        </w:rPr>
        <w:t>38</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货物（服务）交付验收合格后，采购人报</w:t>
      </w:r>
      <w:r>
        <w:rPr>
          <w:rFonts w:hint="eastAsia" w:ascii="Times New Roman" w:hAnsi="Times New Roman" w:cs="Times New Roman"/>
          <w:bCs/>
          <w:color w:val="auto"/>
          <w:sz w:val="24"/>
          <w:szCs w:val="24"/>
          <w:lang w:eastAsia="zh-CN"/>
        </w:rPr>
        <w:t>随县</w:t>
      </w:r>
      <w:r>
        <w:rPr>
          <w:rFonts w:hint="eastAsia" w:ascii="Times New Roman" w:hAnsi="Times New Roman" w:cs="Times New Roman"/>
          <w:bCs/>
          <w:color w:val="auto"/>
          <w:sz w:val="24"/>
          <w:szCs w:val="24"/>
        </w:rPr>
        <w:t>财政局办理相应金额的支付手续。</w:t>
      </w:r>
    </w:p>
    <w:p w14:paraId="3C8C4BA5">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eastAsia="黑体" w:cs="Times New Roman"/>
          <w:color w:val="auto"/>
          <w:sz w:val="24"/>
          <w:szCs w:val="24"/>
        </w:rPr>
        <w:t>十二、促进中小企业、监狱企业和残疾人福利性单位发展政策</w:t>
      </w:r>
    </w:p>
    <w:p w14:paraId="0A74FBED">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中小企业（含中型、小型、微型）：根据《政府采购促进中小企业发展暂行办法》（财库〔</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181</w:t>
      </w:r>
      <w:r>
        <w:rPr>
          <w:rFonts w:hint="eastAsia" w:ascii="Times New Roman" w:hAnsi="Times New Roman" w:cs="Times New Roman"/>
          <w:color w:val="auto"/>
          <w:sz w:val="24"/>
          <w:szCs w:val="24"/>
        </w:rPr>
        <w:t>号</w:t>
      </w:r>
      <w:r>
        <w:rPr>
          <w:rFonts w:ascii="Times New Roman" w:hAnsi="Times New Roman" w:cs="Times New Roman"/>
          <w:color w:val="auto"/>
          <w:sz w:val="24"/>
          <w:szCs w:val="24"/>
        </w:rPr>
        <w:t>)</w:t>
      </w:r>
      <w:r>
        <w:rPr>
          <w:rFonts w:hint="eastAsia" w:ascii="Times New Roman" w:hAnsi="Times New Roman" w:cs="Times New Roman"/>
          <w:color w:val="auto"/>
          <w:sz w:val="24"/>
          <w:szCs w:val="24"/>
        </w:rPr>
        <w:t>规定，应符合中小企业划分标准（工信部联企业〔</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300</w:t>
      </w:r>
      <w:r>
        <w:rPr>
          <w:rFonts w:hint="eastAsia" w:ascii="Times New Roman" w:hAnsi="Times New Roman" w:cs="Times New Roman"/>
          <w:color w:val="auto"/>
          <w:sz w:val="24"/>
          <w:szCs w:val="24"/>
        </w:rPr>
        <w:t>号）。</w:t>
      </w:r>
    </w:p>
    <w:p w14:paraId="205B292B">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监狱企业：符合《关于政府采购支持监狱企业发展有关问题的通知》（财库〔</w:t>
      </w:r>
      <w:r>
        <w:rPr>
          <w:rFonts w:ascii="Times New Roman" w:hAnsi="Times New Roman" w:cs="Times New Roman"/>
          <w:color w:val="auto"/>
          <w:sz w:val="24"/>
          <w:szCs w:val="24"/>
        </w:rPr>
        <w:t>2014</w:t>
      </w:r>
      <w:r>
        <w:rPr>
          <w:rFonts w:hint="eastAsia" w:ascii="Times New Roman" w:hAnsi="Times New Roman" w:cs="Times New Roman"/>
          <w:color w:val="auto"/>
          <w:sz w:val="24"/>
          <w:szCs w:val="24"/>
        </w:rPr>
        <w:t>〕</w:t>
      </w:r>
      <w:r>
        <w:rPr>
          <w:rFonts w:ascii="Times New Roman" w:hAnsi="Times New Roman" w:cs="Times New Roman"/>
          <w:color w:val="auto"/>
          <w:sz w:val="24"/>
          <w:szCs w:val="24"/>
        </w:rPr>
        <w:t>68</w:t>
      </w:r>
      <w:r>
        <w:rPr>
          <w:rFonts w:hint="eastAsia" w:ascii="Times New Roman" w:hAnsi="Times New Roman" w:cs="Times New Roman"/>
          <w:color w:val="auto"/>
          <w:sz w:val="24"/>
          <w:szCs w:val="24"/>
        </w:rPr>
        <w:t>号）规定的企业。</w:t>
      </w:r>
    </w:p>
    <w:p w14:paraId="1F9046FC">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eastAsia="黑体"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残疾人福利性单位：符合《关于促进残疾人就业政府采购政策的通知》（财库〔</w:t>
      </w:r>
      <w:r>
        <w:rPr>
          <w:rFonts w:ascii="Times New Roman" w:hAnsi="Times New Roman" w:cs="Times New Roman"/>
          <w:color w:val="auto"/>
          <w:sz w:val="24"/>
          <w:szCs w:val="24"/>
        </w:rPr>
        <w:t>2018</w:t>
      </w:r>
      <w:r>
        <w:rPr>
          <w:rFonts w:hint="eastAsia" w:ascii="Times New Roman" w:hAnsi="Times New Roman" w:cs="Times New Roman"/>
          <w:color w:val="auto"/>
          <w:sz w:val="24"/>
          <w:szCs w:val="24"/>
        </w:rPr>
        <w:t>〕</w:t>
      </w:r>
      <w:r>
        <w:rPr>
          <w:rFonts w:ascii="Times New Roman" w:hAnsi="Times New Roman" w:cs="Times New Roman"/>
          <w:color w:val="auto"/>
          <w:sz w:val="24"/>
          <w:szCs w:val="24"/>
        </w:rPr>
        <w:t>141</w:t>
      </w:r>
      <w:r>
        <w:rPr>
          <w:rFonts w:hint="eastAsia" w:ascii="Times New Roman" w:hAnsi="Times New Roman" w:cs="Times New Roman"/>
          <w:color w:val="auto"/>
          <w:sz w:val="24"/>
          <w:szCs w:val="24"/>
        </w:rPr>
        <w:t>号）的规定的单位。</w:t>
      </w:r>
    </w:p>
    <w:p w14:paraId="7ED2B37C">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color w:val="auto"/>
          <w:sz w:val="24"/>
          <w:szCs w:val="24"/>
        </w:rPr>
        <w:t>十三、适用法律</w:t>
      </w:r>
    </w:p>
    <w:p w14:paraId="2478A0C4">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采购当事人的一切活动均适用于《中华人民共和国政府采购法》、《中华人民共和国政府采购法实施条例》、《政府采购非招标采购方式管理办法》、《政府采购竞争性磋商采购方式管理暂行办法》及相关法规。</w:t>
      </w:r>
    </w:p>
    <w:p w14:paraId="449BD4BE">
      <w:pPr>
        <w:keepNext w:val="0"/>
        <w:keepLines w:val="0"/>
        <w:pageBreakBefore w:val="0"/>
        <w:widowControl w:val="0"/>
        <w:kinsoku/>
        <w:wordWrap/>
        <w:overflowPunct/>
        <w:topLinePunct w:val="0"/>
        <w:autoSpaceDE/>
        <w:autoSpaceDN/>
        <w:bidi w:val="0"/>
        <w:adjustRightInd/>
        <w:ind w:right="0" w:rightChars="0"/>
        <w:textAlignment w:val="auto"/>
        <w:rPr>
          <w:color w:val="auto"/>
        </w:rPr>
      </w:pPr>
    </w:p>
    <w:p w14:paraId="50BC6E57">
      <w:pPr>
        <w:pStyle w:val="2"/>
        <w:rPr>
          <w:color w:val="auto"/>
        </w:rPr>
      </w:pPr>
    </w:p>
    <w:p w14:paraId="6A923935">
      <w:pPr>
        <w:rPr>
          <w:color w:val="auto"/>
        </w:rPr>
      </w:pPr>
    </w:p>
    <w:p w14:paraId="0BCB3953">
      <w:pPr>
        <w:pStyle w:val="2"/>
        <w:rPr>
          <w:color w:val="auto"/>
        </w:rPr>
      </w:pPr>
    </w:p>
    <w:p w14:paraId="1718384E">
      <w:pPr>
        <w:rPr>
          <w:color w:val="auto"/>
        </w:rPr>
      </w:pPr>
    </w:p>
    <w:p w14:paraId="78C3232B">
      <w:pPr>
        <w:pStyle w:val="2"/>
        <w:ind w:left="0" w:leftChars="0" w:firstLine="0" w:firstLineChars="0"/>
        <w:rPr>
          <w:color w:val="auto"/>
        </w:rPr>
      </w:pPr>
    </w:p>
    <w:p w14:paraId="28E9D381">
      <w:pPr>
        <w:rPr>
          <w:color w:val="auto"/>
        </w:rPr>
      </w:pPr>
    </w:p>
    <w:p w14:paraId="61A9C290">
      <w:pPr>
        <w:pStyle w:val="2"/>
        <w:rPr>
          <w:color w:val="auto"/>
        </w:rPr>
      </w:pPr>
    </w:p>
    <w:p w14:paraId="716194E7">
      <w:pPr>
        <w:rPr>
          <w:color w:val="auto"/>
        </w:rPr>
      </w:pPr>
    </w:p>
    <w:p w14:paraId="3189DAC0">
      <w:pPr>
        <w:pStyle w:val="2"/>
        <w:rPr>
          <w:color w:val="auto"/>
        </w:rPr>
      </w:pPr>
    </w:p>
    <w:p w14:paraId="342AE1D5">
      <w:pPr>
        <w:rPr>
          <w:color w:val="auto"/>
        </w:rPr>
      </w:pPr>
    </w:p>
    <w:p w14:paraId="1EE88DF7">
      <w:pPr>
        <w:pStyle w:val="2"/>
        <w:rPr>
          <w:color w:val="auto"/>
        </w:rPr>
      </w:pPr>
    </w:p>
    <w:p w14:paraId="01E8CCE3">
      <w:pPr>
        <w:rPr>
          <w:color w:val="auto"/>
        </w:rPr>
      </w:pPr>
    </w:p>
    <w:p w14:paraId="70A6F3D9">
      <w:pPr>
        <w:pStyle w:val="2"/>
        <w:rPr>
          <w:color w:val="auto"/>
        </w:rPr>
      </w:pPr>
    </w:p>
    <w:p w14:paraId="10169EB8">
      <w:pPr>
        <w:rPr>
          <w:color w:val="auto"/>
        </w:rPr>
      </w:pPr>
    </w:p>
    <w:p w14:paraId="19082B45">
      <w:pPr>
        <w:rPr>
          <w:color w:val="auto"/>
        </w:rPr>
      </w:pPr>
    </w:p>
    <w:p w14:paraId="7F2B96EA">
      <w:pPr>
        <w:numPr>
          <w:ilvl w:val="0"/>
          <w:numId w:val="9"/>
        </w:numPr>
        <w:spacing w:line="500" w:lineRule="exact"/>
        <w:ind w:left="840" w:leftChars="0" w:right="1039" w:rightChars="495" w:firstLineChars="0"/>
        <w:jc w:val="center"/>
        <w:outlineLvl w:val="0"/>
        <w:rPr>
          <w:rFonts w:hint="eastAsia" w:cs="Times New Roman" w:asciiTheme="majorEastAsia" w:hAnsiTheme="majorEastAsia" w:eastAsiaTheme="majorEastAsia"/>
          <w:b/>
          <w:color w:val="auto"/>
          <w:sz w:val="36"/>
          <w:szCs w:val="36"/>
        </w:rPr>
      </w:pPr>
      <w:bookmarkStart w:id="34" w:name="_Toc25440"/>
      <w:r>
        <w:rPr>
          <w:rFonts w:hint="eastAsia" w:cs="Times New Roman" w:asciiTheme="majorEastAsia" w:hAnsiTheme="majorEastAsia" w:eastAsiaTheme="majorEastAsia"/>
          <w:b/>
          <w:color w:val="auto"/>
          <w:sz w:val="36"/>
          <w:szCs w:val="36"/>
          <w:lang w:val="hr-HR" w:bidi="ar-EG"/>
        </w:rPr>
        <w:t>采购</w:t>
      </w:r>
      <w:r>
        <w:rPr>
          <w:rFonts w:hint="eastAsia" w:cs="Times New Roman" w:asciiTheme="majorEastAsia" w:hAnsiTheme="majorEastAsia" w:eastAsiaTheme="majorEastAsia"/>
          <w:b/>
          <w:color w:val="auto"/>
          <w:sz w:val="36"/>
          <w:szCs w:val="36"/>
        </w:rPr>
        <w:t>货物技术参数、规格及要求</w:t>
      </w:r>
      <w:bookmarkEnd w:id="30"/>
      <w:bookmarkEnd w:id="34"/>
      <w:bookmarkStart w:id="35" w:name="_Toc78299292"/>
      <w:bookmarkStart w:id="36" w:name="_Toc432753211"/>
      <w:bookmarkStart w:id="37" w:name="_Toc1458930"/>
    </w:p>
    <w:p w14:paraId="1B2510FD">
      <w:pPr>
        <w:pStyle w:val="2"/>
        <w:numPr>
          <w:ilvl w:val="0"/>
          <w:numId w:val="0"/>
        </w:numPr>
        <w:rPr>
          <w:color w:val="auto"/>
          <w:lang w:val="hr-HR"/>
        </w:rPr>
      </w:pPr>
    </w:p>
    <w:bookmarkEnd w:id="35"/>
    <w:bookmarkEnd w:id="36"/>
    <w:bookmarkEnd w:id="37"/>
    <w:p w14:paraId="6219E728">
      <w:pPr>
        <w:pStyle w:val="4"/>
        <w:pageBreakBefore w:val="0"/>
        <w:widowControl w:val="0"/>
        <w:numPr>
          <w:ilvl w:val="0"/>
          <w:numId w:val="10"/>
        </w:numPr>
        <w:kinsoku/>
        <w:wordWrap/>
        <w:overflowPunct/>
        <w:topLinePunct w:val="0"/>
        <w:autoSpaceDE/>
        <w:autoSpaceDN/>
        <w:bidi w:val="0"/>
        <w:adjustRightInd/>
        <w:snapToGrid/>
        <w:ind w:right="0" w:rightChars="0"/>
        <w:textAlignment w:val="auto"/>
        <w:rPr>
          <w:rFonts w:hint="eastAsia"/>
          <w:color w:val="auto"/>
        </w:rPr>
      </w:pPr>
      <w:bookmarkStart w:id="38" w:name="_Toc2507"/>
      <w:bookmarkStart w:id="39" w:name="_Toc23295"/>
      <w:r>
        <w:rPr>
          <w:rFonts w:hint="eastAsia"/>
          <w:color w:val="auto"/>
        </w:rPr>
        <w:t>采购清单</w:t>
      </w:r>
    </w:p>
    <w:p w14:paraId="135FBBA3">
      <w:pPr>
        <w:pStyle w:val="160"/>
        <w:spacing w:line="360" w:lineRule="auto"/>
        <w:ind w:left="0" w:leftChars="0" w:firstLine="480" w:firstLineChars="200"/>
        <w:rPr>
          <w:rFonts w:ascii="仿宋" w:hAnsi="仿宋" w:eastAsia="仿宋"/>
          <w:sz w:val="24"/>
          <w:szCs w:val="24"/>
        </w:rPr>
      </w:pPr>
      <w:r>
        <w:rPr>
          <w:rFonts w:hint="eastAsia" w:ascii="仿宋" w:hAnsi="仿宋" w:eastAsia="仿宋"/>
          <w:sz w:val="24"/>
          <w:szCs w:val="24"/>
        </w:rPr>
        <w:t>说明：招标文件中标注的技术、服务及商务要求中“★”条款，应满足或优于，如</w:t>
      </w:r>
      <w:r>
        <w:rPr>
          <w:rFonts w:hint="eastAsia" w:ascii="仿宋" w:hAnsi="仿宋" w:eastAsia="仿宋"/>
          <w:b/>
          <w:sz w:val="24"/>
          <w:szCs w:val="24"/>
        </w:rPr>
        <w:t>有不满足的其投标按照无效投标处理</w:t>
      </w:r>
      <w:r>
        <w:rPr>
          <w:rFonts w:hint="eastAsia" w:ascii="仿宋" w:hAnsi="仿宋" w:eastAsia="仿宋"/>
          <w:sz w:val="24"/>
          <w:szCs w:val="24"/>
        </w:rPr>
        <w:t>。</w:t>
      </w:r>
      <w:r>
        <w:rPr>
          <w:rFonts w:ascii="仿宋" w:hAnsi="仿宋" w:eastAsia="仿宋"/>
          <w:sz w:val="24"/>
          <w:szCs w:val="24"/>
        </w:rPr>
        <w:t xml:space="preserve"> </w:t>
      </w:r>
    </w:p>
    <w:tbl>
      <w:tblPr>
        <w:tblStyle w:val="41"/>
        <w:tblW w:w="8344" w:type="dxa"/>
        <w:jc w:val="center"/>
        <w:tblLayout w:type="fixed"/>
        <w:tblCellMar>
          <w:top w:w="0" w:type="dxa"/>
          <w:left w:w="108" w:type="dxa"/>
          <w:bottom w:w="0" w:type="dxa"/>
          <w:right w:w="108" w:type="dxa"/>
        </w:tblCellMar>
      </w:tblPr>
      <w:tblGrid>
        <w:gridCol w:w="830"/>
        <w:gridCol w:w="2920"/>
        <w:gridCol w:w="930"/>
        <w:gridCol w:w="825"/>
        <w:gridCol w:w="1516"/>
        <w:gridCol w:w="1323"/>
      </w:tblGrid>
      <w:tr w14:paraId="7B1BD985">
        <w:tblPrEx>
          <w:tblCellMar>
            <w:top w:w="0" w:type="dxa"/>
            <w:left w:w="108" w:type="dxa"/>
            <w:bottom w:w="0" w:type="dxa"/>
            <w:right w:w="108" w:type="dxa"/>
          </w:tblCellMar>
        </w:tblPrEx>
        <w:trPr>
          <w:trHeight w:val="404" w:hRule="atLeast"/>
          <w:tblHeader/>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3B8F60C4">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序号</w:t>
            </w:r>
          </w:p>
        </w:tc>
        <w:tc>
          <w:tcPr>
            <w:tcW w:w="2920" w:type="dxa"/>
            <w:tcBorders>
              <w:top w:val="single" w:color="000000" w:sz="4" w:space="0"/>
              <w:left w:val="nil"/>
              <w:bottom w:val="single" w:color="000000" w:sz="4" w:space="0"/>
              <w:right w:val="single" w:color="000000" w:sz="4" w:space="0"/>
            </w:tcBorders>
            <w:vAlign w:val="center"/>
          </w:tcPr>
          <w:p w14:paraId="3F020DBB">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产品名称</w:t>
            </w:r>
          </w:p>
        </w:tc>
        <w:tc>
          <w:tcPr>
            <w:tcW w:w="930" w:type="dxa"/>
            <w:tcBorders>
              <w:top w:val="single" w:color="000000" w:sz="4" w:space="0"/>
              <w:left w:val="nil"/>
              <w:bottom w:val="single" w:color="000000" w:sz="4" w:space="0"/>
              <w:right w:val="single" w:color="000000" w:sz="4" w:space="0"/>
            </w:tcBorders>
            <w:vAlign w:val="center"/>
          </w:tcPr>
          <w:p w14:paraId="4C72905B">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单位</w:t>
            </w:r>
          </w:p>
        </w:tc>
        <w:tc>
          <w:tcPr>
            <w:tcW w:w="825" w:type="dxa"/>
            <w:tcBorders>
              <w:top w:val="single" w:color="000000" w:sz="4" w:space="0"/>
              <w:left w:val="nil"/>
              <w:bottom w:val="single" w:color="000000" w:sz="4" w:space="0"/>
              <w:right w:val="single" w:color="000000" w:sz="4" w:space="0"/>
            </w:tcBorders>
            <w:vAlign w:val="center"/>
          </w:tcPr>
          <w:p w14:paraId="38D6D6C1">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数量</w:t>
            </w:r>
          </w:p>
        </w:tc>
        <w:tc>
          <w:tcPr>
            <w:tcW w:w="1516" w:type="dxa"/>
            <w:tcBorders>
              <w:top w:val="single" w:color="000000" w:sz="4" w:space="0"/>
              <w:left w:val="nil"/>
              <w:bottom w:val="single" w:color="000000" w:sz="4" w:space="0"/>
              <w:right w:val="single" w:color="000000" w:sz="4" w:space="0"/>
            </w:tcBorders>
            <w:vAlign w:val="center"/>
          </w:tcPr>
          <w:p w14:paraId="7CC6C74B">
            <w:pPr>
              <w:widowControl/>
              <w:jc w:val="center"/>
              <w:textAlignment w:val="center"/>
              <w:rPr>
                <w:rFonts w:ascii="仿宋" w:hAnsi="仿宋" w:eastAsia="仿宋" w:cs="Calibri"/>
                <w:color w:val="000000"/>
                <w:kern w:val="0"/>
                <w:sz w:val="24"/>
                <w:szCs w:val="24"/>
              </w:rPr>
            </w:pPr>
            <w:r>
              <w:rPr>
                <w:rFonts w:hint="eastAsia" w:ascii="仿宋" w:hAnsi="仿宋" w:eastAsia="仿宋"/>
                <w:color w:val="000000"/>
                <w:kern w:val="0"/>
                <w:sz w:val="24"/>
                <w:szCs w:val="24"/>
              </w:rPr>
              <w:t>要求/备注</w:t>
            </w:r>
          </w:p>
        </w:tc>
        <w:tc>
          <w:tcPr>
            <w:tcW w:w="1323" w:type="dxa"/>
            <w:tcBorders>
              <w:top w:val="single" w:color="000000" w:sz="4" w:space="0"/>
              <w:left w:val="nil"/>
              <w:bottom w:val="single" w:color="000000" w:sz="4" w:space="0"/>
              <w:right w:val="single" w:color="000000" w:sz="4" w:space="0"/>
            </w:tcBorders>
            <w:vAlign w:val="center"/>
          </w:tcPr>
          <w:p w14:paraId="3AA1377A">
            <w:pPr>
              <w:widowControl/>
              <w:jc w:val="center"/>
              <w:textAlignment w:val="center"/>
              <w:rPr>
                <w:rFonts w:ascii="仿宋" w:hAnsi="仿宋" w:eastAsia="仿宋" w:cs="Calibri"/>
                <w:color w:val="000000"/>
                <w:kern w:val="0"/>
                <w:sz w:val="24"/>
                <w:szCs w:val="24"/>
              </w:rPr>
            </w:pPr>
            <w:r>
              <w:rPr>
                <w:rFonts w:hint="eastAsia" w:ascii="仿宋" w:hAnsi="仿宋" w:eastAsia="仿宋"/>
                <w:color w:val="000000"/>
                <w:kern w:val="0"/>
                <w:sz w:val="24"/>
                <w:szCs w:val="24"/>
              </w:rPr>
              <w:t>货物/服务</w:t>
            </w:r>
          </w:p>
        </w:tc>
      </w:tr>
      <w:tr w14:paraId="7B24A2BE">
        <w:tblPrEx>
          <w:tblCellMar>
            <w:top w:w="0" w:type="dxa"/>
            <w:left w:w="108" w:type="dxa"/>
            <w:bottom w:w="0" w:type="dxa"/>
            <w:right w:w="108" w:type="dxa"/>
          </w:tblCellMar>
        </w:tblPrEx>
        <w:trPr>
          <w:trHeight w:val="465" w:hRule="atLeast"/>
          <w:jc w:val="center"/>
        </w:trPr>
        <w:tc>
          <w:tcPr>
            <w:tcW w:w="7021" w:type="dxa"/>
            <w:gridSpan w:val="5"/>
            <w:tcBorders>
              <w:top w:val="single" w:color="000000" w:sz="4" w:space="0"/>
              <w:left w:val="single" w:color="000000" w:sz="4" w:space="0"/>
              <w:bottom w:val="single" w:color="000000" w:sz="4" w:space="0"/>
              <w:right w:val="single" w:color="000000" w:sz="4" w:space="0"/>
            </w:tcBorders>
            <w:vAlign w:val="center"/>
          </w:tcPr>
          <w:p w14:paraId="441F79FE">
            <w:pPr>
              <w:widowControl/>
              <w:jc w:val="center"/>
              <w:textAlignment w:val="center"/>
              <w:rPr>
                <w:rFonts w:hint="eastAsia" w:ascii="仿宋" w:hAnsi="仿宋" w:eastAsia="仿宋" w:cs="Calibri"/>
                <w:b/>
                <w:color w:val="000000"/>
                <w:sz w:val="24"/>
                <w:szCs w:val="24"/>
                <w:lang w:eastAsia="zh-CN"/>
              </w:rPr>
            </w:pPr>
            <w:r>
              <w:rPr>
                <w:rFonts w:hint="eastAsia" w:ascii="仿宋" w:hAnsi="仿宋" w:eastAsia="仿宋"/>
                <w:b/>
                <w:color w:val="000000"/>
                <w:kern w:val="0"/>
                <w:sz w:val="24"/>
                <w:szCs w:val="24"/>
              </w:rPr>
              <w:t>一、</w:t>
            </w:r>
            <w:r>
              <w:rPr>
                <w:rFonts w:hint="eastAsia" w:ascii="仿宋" w:hAnsi="仿宋" w:eastAsia="仿宋"/>
                <w:b/>
                <w:color w:val="000000"/>
                <w:kern w:val="0"/>
                <w:sz w:val="24"/>
                <w:szCs w:val="24"/>
                <w:lang w:eastAsia="zh-CN"/>
              </w:rPr>
              <w:t>大屏显示设备</w:t>
            </w:r>
          </w:p>
        </w:tc>
        <w:tc>
          <w:tcPr>
            <w:tcW w:w="1323" w:type="dxa"/>
            <w:tcBorders>
              <w:top w:val="single" w:color="000000" w:sz="4" w:space="0"/>
              <w:left w:val="nil"/>
              <w:bottom w:val="single" w:color="000000" w:sz="4" w:space="0"/>
              <w:right w:val="single" w:color="000000" w:sz="4" w:space="0"/>
            </w:tcBorders>
            <w:vAlign w:val="center"/>
          </w:tcPr>
          <w:p w14:paraId="44519A40">
            <w:pPr>
              <w:widowControl/>
              <w:jc w:val="center"/>
              <w:textAlignment w:val="center"/>
              <w:rPr>
                <w:rFonts w:ascii="仿宋" w:hAnsi="仿宋" w:eastAsia="仿宋" w:cs="Calibri"/>
                <w:b/>
                <w:color w:val="000000"/>
                <w:kern w:val="0"/>
                <w:sz w:val="24"/>
                <w:szCs w:val="24"/>
              </w:rPr>
            </w:pPr>
          </w:p>
        </w:tc>
      </w:tr>
      <w:tr w14:paraId="43603FDF">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1A55C2EA">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1</w:t>
            </w:r>
          </w:p>
        </w:tc>
        <w:tc>
          <w:tcPr>
            <w:tcW w:w="2920" w:type="dxa"/>
            <w:tcBorders>
              <w:top w:val="nil"/>
              <w:left w:val="nil"/>
              <w:bottom w:val="single" w:color="000000" w:sz="4" w:space="0"/>
              <w:right w:val="single" w:color="000000" w:sz="4" w:space="0"/>
            </w:tcBorders>
            <w:vAlign w:val="center"/>
          </w:tcPr>
          <w:p w14:paraId="27473E10">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lang w:val="en-US" w:eastAsia="zh-CN"/>
              </w:rPr>
              <w:t>液晶拼接单元</w:t>
            </w:r>
          </w:p>
        </w:tc>
        <w:tc>
          <w:tcPr>
            <w:tcW w:w="930" w:type="dxa"/>
            <w:tcBorders>
              <w:top w:val="nil"/>
              <w:left w:val="nil"/>
              <w:bottom w:val="single" w:color="000000" w:sz="4" w:space="0"/>
              <w:right w:val="single" w:color="000000" w:sz="4" w:space="0"/>
            </w:tcBorders>
            <w:noWrap/>
            <w:vAlign w:val="center"/>
          </w:tcPr>
          <w:p w14:paraId="0FD66BBB">
            <w:pPr>
              <w:widowControl/>
              <w:jc w:val="center"/>
              <w:textAlignment w:val="center"/>
              <w:rPr>
                <w:rFonts w:hint="eastAsia" w:ascii="仿宋" w:hAnsi="仿宋" w:eastAsia="仿宋" w:cs="Calibri"/>
                <w:color w:val="000000"/>
                <w:sz w:val="24"/>
                <w:szCs w:val="24"/>
                <w:lang w:eastAsia="zh-CN"/>
              </w:rPr>
            </w:pPr>
            <w:r>
              <w:rPr>
                <w:rFonts w:hint="eastAsia" w:ascii="仿宋" w:hAnsi="仿宋" w:eastAsia="仿宋"/>
                <w:color w:val="000000"/>
                <w:kern w:val="0"/>
                <w:sz w:val="24"/>
                <w:szCs w:val="24"/>
                <w:lang w:eastAsia="zh-CN"/>
              </w:rPr>
              <w:t>块</w:t>
            </w:r>
          </w:p>
        </w:tc>
        <w:tc>
          <w:tcPr>
            <w:tcW w:w="825" w:type="dxa"/>
            <w:tcBorders>
              <w:top w:val="nil"/>
              <w:left w:val="nil"/>
              <w:bottom w:val="single" w:color="000000" w:sz="4" w:space="0"/>
              <w:right w:val="single" w:color="000000" w:sz="4" w:space="0"/>
            </w:tcBorders>
            <w:vAlign w:val="center"/>
          </w:tcPr>
          <w:p w14:paraId="15418BBE">
            <w:pPr>
              <w:widowControl/>
              <w:jc w:val="center"/>
              <w:textAlignment w:val="center"/>
              <w:rPr>
                <w:rFonts w:hint="default" w:ascii="仿宋" w:hAnsi="仿宋" w:eastAsia="仿宋" w:cs="Calibri"/>
                <w:color w:val="000000"/>
                <w:sz w:val="24"/>
                <w:szCs w:val="24"/>
                <w:lang w:val="en-US" w:eastAsia="zh-CN"/>
              </w:rPr>
            </w:pPr>
            <w:r>
              <w:rPr>
                <w:rFonts w:hint="eastAsia" w:ascii="仿宋" w:hAnsi="仿宋" w:eastAsia="仿宋"/>
                <w:color w:val="000000"/>
                <w:kern w:val="0"/>
                <w:sz w:val="24"/>
                <w:szCs w:val="24"/>
                <w:lang w:val="en-US" w:eastAsia="zh-CN"/>
              </w:rPr>
              <w:t>12</w:t>
            </w:r>
          </w:p>
        </w:tc>
        <w:tc>
          <w:tcPr>
            <w:tcW w:w="1516" w:type="dxa"/>
            <w:tcBorders>
              <w:top w:val="nil"/>
              <w:left w:val="nil"/>
              <w:bottom w:val="single" w:color="000000" w:sz="4" w:space="0"/>
              <w:right w:val="single" w:color="000000" w:sz="4" w:space="0"/>
            </w:tcBorders>
            <w:vAlign w:val="center"/>
          </w:tcPr>
          <w:p w14:paraId="69033B15">
            <w:pPr>
              <w:jc w:val="center"/>
              <w:rPr>
                <w:rFonts w:ascii="仿宋" w:hAnsi="仿宋" w:eastAsia="仿宋" w:cs="Calibri"/>
                <w:color w:val="000000"/>
                <w:sz w:val="24"/>
                <w:szCs w:val="24"/>
              </w:rPr>
            </w:pPr>
            <w:r>
              <w:rPr>
                <w:rFonts w:hint="eastAsia" w:ascii="仿宋" w:hAnsi="仿宋" w:eastAsia="仿宋"/>
                <w:sz w:val="24"/>
                <w:szCs w:val="24"/>
              </w:rPr>
              <w:t>核心产品</w:t>
            </w:r>
          </w:p>
        </w:tc>
        <w:tc>
          <w:tcPr>
            <w:tcW w:w="1323" w:type="dxa"/>
            <w:tcBorders>
              <w:top w:val="nil"/>
              <w:left w:val="nil"/>
              <w:bottom w:val="single" w:color="000000" w:sz="4" w:space="0"/>
              <w:right w:val="single" w:color="000000" w:sz="4" w:space="0"/>
            </w:tcBorders>
            <w:vAlign w:val="center"/>
          </w:tcPr>
          <w:p w14:paraId="0516507B">
            <w:pPr>
              <w:jc w:val="center"/>
              <w:rPr>
                <w:rFonts w:ascii="仿宋" w:hAnsi="仿宋" w:eastAsia="仿宋" w:cs="Calibri"/>
                <w:color w:val="000000"/>
                <w:sz w:val="24"/>
                <w:szCs w:val="24"/>
              </w:rPr>
            </w:pPr>
            <w:r>
              <w:rPr>
                <w:rFonts w:hint="eastAsia" w:ascii="仿宋" w:hAnsi="仿宋" w:eastAsia="仿宋"/>
                <w:color w:val="000000"/>
                <w:sz w:val="24"/>
                <w:szCs w:val="24"/>
              </w:rPr>
              <w:t>货物</w:t>
            </w:r>
          </w:p>
        </w:tc>
      </w:tr>
      <w:tr w14:paraId="28B17544">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3A55BE21">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2</w:t>
            </w:r>
          </w:p>
        </w:tc>
        <w:tc>
          <w:tcPr>
            <w:tcW w:w="2920" w:type="dxa"/>
            <w:tcBorders>
              <w:top w:val="single" w:color="000000" w:sz="4" w:space="0"/>
              <w:left w:val="nil"/>
              <w:bottom w:val="single" w:color="000000" w:sz="4" w:space="0"/>
              <w:right w:val="single" w:color="000000" w:sz="4" w:space="0"/>
            </w:tcBorders>
            <w:vAlign w:val="center"/>
          </w:tcPr>
          <w:p w14:paraId="3D0CDDB2">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立柜式拼接屏钢结构</w:t>
            </w:r>
          </w:p>
        </w:tc>
        <w:tc>
          <w:tcPr>
            <w:tcW w:w="930" w:type="dxa"/>
            <w:tcBorders>
              <w:top w:val="single" w:color="000000" w:sz="4" w:space="0"/>
              <w:left w:val="nil"/>
              <w:bottom w:val="single" w:color="000000" w:sz="4" w:space="0"/>
              <w:right w:val="single" w:color="000000" w:sz="4" w:space="0"/>
            </w:tcBorders>
            <w:vAlign w:val="center"/>
          </w:tcPr>
          <w:p w14:paraId="454D386B">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套</w:t>
            </w:r>
          </w:p>
        </w:tc>
        <w:tc>
          <w:tcPr>
            <w:tcW w:w="825" w:type="dxa"/>
            <w:tcBorders>
              <w:top w:val="single" w:color="000000" w:sz="4" w:space="0"/>
              <w:left w:val="nil"/>
              <w:bottom w:val="single" w:color="000000" w:sz="4" w:space="0"/>
              <w:right w:val="single" w:color="000000" w:sz="4" w:space="0"/>
            </w:tcBorders>
            <w:vAlign w:val="center"/>
          </w:tcPr>
          <w:p w14:paraId="477E13E7">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1</w:t>
            </w:r>
          </w:p>
        </w:tc>
        <w:tc>
          <w:tcPr>
            <w:tcW w:w="1516" w:type="dxa"/>
            <w:tcBorders>
              <w:top w:val="single" w:color="000000" w:sz="4" w:space="0"/>
              <w:left w:val="nil"/>
              <w:bottom w:val="single" w:color="000000" w:sz="4" w:space="0"/>
              <w:right w:val="single" w:color="000000" w:sz="4" w:space="0"/>
            </w:tcBorders>
            <w:vAlign w:val="center"/>
          </w:tcPr>
          <w:p w14:paraId="67D4C739">
            <w:pPr>
              <w:jc w:val="center"/>
              <w:rPr>
                <w:rFonts w:ascii="仿宋" w:hAnsi="仿宋" w:eastAsia="仿宋" w:cs="Calibri"/>
                <w:color w:val="000000"/>
                <w:sz w:val="24"/>
                <w:szCs w:val="24"/>
              </w:rPr>
            </w:pPr>
          </w:p>
        </w:tc>
        <w:tc>
          <w:tcPr>
            <w:tcW w:w="1323" w:type="dxa"/>
            <w:tcBorders>
              <w:top w:val="single" w:color="000000" w:sz="4" w:space="0"/>
              <w:left w:val="nil"/>
              <w:bottom w:val="single" w:color="000000" w:sz="4" w:space="0"/>
              <w:right w:val="single" w:color="000000" w:sz="4" w:space="0"/>
            </w:tcBorders>
            <w:vAlign w:val="center"/>
          </w:tcPr>
          <w:p w14:paraId="58C4D0DA">
            <w:pPr>
              <w:jc w:val="center"/>
              <w:rPr>
                <w:rFonts w:ascii="仿宋" w:hAnsi="仿宋" w:eastAsia="仿宋" w:cs="Calibri"/>
                <w:color w:val="000000"/>
                <w:sz w:val="24"/>
                <w:szCs w:val="24"/>
              </w:rPr>
            </w:pPr>
            <w:r>
              <w:rPr>
                <w:rFonts w:hint="eastAsia" w:ascii="仿宋" w:hAnsi="仿宋" w:eastAsia="仿宋"/>
                <w:color w:val="000000"/>
                <w:sz w:val="24"/>
                <w:szCs w:val="24"/>
              </w:rPr>
              <w:t>货物</w:t>
            </w:r>
          </w:p>
        </w:tc>
      </w:tr>
      <w:tr w14:paraId="7AE87612">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6EF7A0FC">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3</w:t>
            </w:r>
          </w:p>
        </w:tc>
        <w:tc>
          <w:tcPr>
            <w:tcW w:w="2920" w:type="dxa"/>
            <w:tcBorders>
              <w:top w:val="single" w:color="000000" w:sz="4" w:space="0"/>
              <w:left w:val="nil"/>
              <w:bottom w:val="single" w:color="000000" w:sz="4" w:space="0"/>
              <w:right w:val="single" w:color="000000" w:sz="4" w:space="0"/>
            </w:tcBorders>
            <w:vAlign w:val="center"/>
          </w:tcPr>
          <w:p w14:paraId="7FEE2E3B">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超高清解码器</w:t>
            </w:r>
          </w:p>
        </w:tc>
        <w:tc>
          <w:tcPr>
            <w:tcW w:w="930" w:type="dxa"/>
            <w:tcBorders>
              <w:top w:val="single" w:color="000000" w:sz="4" w:space="0"/>
              <w:left w:val="nil"/>
              <w:bottom w:val="single" w:color="000000" w:sz="4" w:space="0"/>
              <w:right w:val="single" w:color="000000" w:sz="4" w:space="0"/>
            </w:tcBorders>
            <w:noWrap/>
            <w:vAlign w:val="center"/>
          </w:tcPr>
          <w:p w14:paraId="10BC8B3E">
            <w:pPr>
              <w:widowControl/>
              <w:jc w:val="center"/>
              <w:textAlignment w:val="center"/>
              <w:rPr>
                <w:rFonts w:hint="eastAsia" w:ascii="仿宋" w:hAnsi="仿宋" w:eastAsia="仿宋" w:cs="Calibri"/>
                <w:color w:val="000000"/>
                <w:sz w:val="24"/>
                <w:szCs w:val="24"/>
                <w:lang w:eastAsia="zh-CN"/>
              </w:rPr>
            </w:pPr>
            <w:r>
              <w:rPr>
                <w:rFonts w:hint="eastAsia" w:ascii="仿宋" w:hAnsi="仿宋" w:eastAsia="仿宋"/>
                <w:color w:val="000000"/>
                <w:kern w:val="0"/>
                <w:sz w:val="24"/>
                <w:szCs w:val="24"/>
                <w:lang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1641FE47">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1</w:t>
            </w:r>
          </w:p>
        </w:tc>
        <w:tc>
          <w:tcPr>
            <w:tcW w:w="1516" w:type="dxa"/>
            <w:tcBorders>
              <w:top w:val="single" w:color="000000" w:sz="4" w:space="0"/>
              <w:left w:val="nil"/>
              <w:bottom w:val="single" w:color="000000" w:sz="4" w:space="0"/>
              <w:right w:val="single" w:color="000000" w:sz="4" w:space="0"/>
            </w:tcBorders>
            <w:vAlign w:val="center"/>
          </w:tcPr>
          <w:p w14:paraId="7014DFB6">
            <w:pPr>
              <w:jc w:val="center"/>
              <w:rPr>
                <w:rFonts w:ascii="仿宋" w:hAnsi="仿宋" w:eastAsia="仿宋" w:cs="Calibri"/>
                <w:color w:val="000000"/>
                <w:sz w:val="24"/>
                <w:szCs w:val="24"/>
              </w:rPr>
            </w:pPr>
          </w:p>
        </w:tc>
        <w:tc>
          <w:tcPr>
            <w:tcW w:w="1323" w:type="dxa"/>
            <w:tcBorders>
              <w:top w:val="single" w:color="000000" w:sz="4" w:space="0"/>
              <w:left w:val="nil"/>
              <w:bottom w:val="single" w:color="000000" w:sz="4" w:space="0"/>
              <w:right w:val="single" w:color="000000" w:sz="4" w:space="0"/>
            </w:tcBorders>
            <w:vAlign w:val="center"/>
          </w:tcPr>
          <w:p w14:paraId="7ED16339">
            <w:pPr>
              <w:jc w:val="center"/>
              <w:rPr>
                <w:rFonts w:ascii="仿宋" w:hAnsi="仿宋" w:eastAsia="仿宋" w:cs="Calibri"/>
                <w:color w:val="000000"/>
                <w:sz w:val="24"/>
                <w:szCs w:val="24"/>
              </w:rPr>
            </w:pPr>
            <w:r>
              <w:rPr>
                <w:rFonts w:hint="eastAsia" w:ascii="仿宋" w:hAnsi="仿宋" w:eastAsia="仿宋"/>
                <w:color w:val="000000"/>
                <w:sz w:val="24"/>
                <w:szCs w:val="24"/>
              </w:rPr>
              <w:t>货物</w:t>
            </w:r>
          </w:p>
        </w:tc>
      </w:tr>
      <w:tr w14:paraId="5BA90248">
        <w:tblPrEx>
          <w:tblCellMar>
            <w:top w:w="0" w:type="dxa"/>
            <w:left w:w="108" w:type="dxa"/>
            <w:bottom w:w="0" w:type="dxa"/>
            <w:right w:w="108" w:type="dxa"/>
          </w:tblCellMar>
        </w:tblPrEx>
        <w:trPr>
          <w:trHeight w:val="465" w:hRule="atLeast"/>
          <w:jc w:val="center"/>
        </w:trPr>
        <w:tc>
          <w:tcPr>
            <w:tcW w:w="7021" w:type="dxa"/>
            <w:gridSpan w:val="5"/>
            <w:tcBorders>
              <w:top w:val="single" w:color="000000" w:sz="4" w:space="0"/>
              <w:left w:val="single" w:color="000000" w:sz="4" w:space="0"/>
              <w:bottom w:val="single" w:color="000000" w:sz="4" w:space="0"/>
              <w:right w:val="single" w:color="000000" w:sz="4" w:space="0"/>
            </w:tcBorders>
            <w:vAlign w:val="center"/>
          </w:tcPr>
          <w:p w14:paraId="6567AD45">
            <w:pPr>
              <w:widowControl/>
              <w:jc w:val="center"/>
              <w:textAlignment w:val="center"/>
              <w:rPr>
                <w:rFonts w:ascii="仿宋" w:hAnsi="仿宋" w:eastAsia="仿宋" w:cs="Calibri"/>
                <w:color w:val="000000"/>
                <w:sz w:val="24"/>
                <w:szCs w:val="24"/>
              </w:rPr>
            </w:pPr>
            <w:r>
              <w:rPr>
                <w:rFonts w:hint="eastAsia" w:ascii="仿宋" w:hAnsi="仿宋" w:eastAsia="仿宋"/>
                <w:b/>
                <w:color w:val="000000"/>
                <w:kern w:val="0"/>
                <w:sz w:val="24"/>
                <w:szCs w:val="24"/>
                <w:lang w:eastAsia="zh-CN"/>
              </w:rPr>
              <w:t>二、</w:t>
            </w:r>
            <w:r>
              <w:rPr>
                <w:rFonts w:hint="eastAsia" w:ascii="仿宋" w:hAnsi="仿宋" w:eastAsia="仿宋"/>
                <w:b/>
                <w:color w:val="000000"/>
                <w:kern w:val="0"/>
                <w:sz w:val="24"/>
                <w:szCs w:val="24"/>
                <w:lang w:val="en-US" w:eastAsia="zh-CN"/>
              </w:rPr>
              <w:t>扩声设备</w:t>
            </w:r>
          </w:p>
        </w:tc>
        <w:tc>
          <w:tcPr>
            <w:tcW w:w="1323" w:type="dxa"/>
            <w:tcBorders>
              <w:top w:val="single" w:color="000000" w:sz="4" w:space="0"/>
              <w:left w:val="nil"/>
              <w:bottom w:val="single" w:color="000000" w:sz="4" w:space="0"/>
              <w:right w:val="single" w:color="000000" w:sz="4" w:space="0"/>
            </w:tcBorders>
            <w:vAlign w:val="center"/>
          </w:tcPr>
          <w:p w14:paraId="3C9304B4">
            <w:pPr>
              <w:widowControl/>
              <w:jc w:val="center"/>
              <w:textAlignment w:val="center"/>
              <w:rPr>
                <w:rFonts w:ascii="仿宋" w:hAnsi="仿宋" w:eastAsia="仿宋" w:cs="Calibri"/>
                <w:color w:val="000000"/>
                <w:kern w:val="0"/>
                <w:sz w:val="24"/>
                <w:szCs w:val="24"/>
              </w:rPr>
            </w:pPr>
          </w:p>
        </w:tc>
      </w:tr>
      <w:tr w14:paraId="722BFDCF">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017F0024">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4</w:t>
            </w:r>
          </w:p>
        </w:tc>
        <w:tc>
          <w:tcPr>
            <w:tcW w:w="2920" w:type="dxa"/>
            <w:tcBorders>
              <w:top w:val="single" w:color="000000" w:sz="4" w:space="0"/>
              <w:left w:val="nil"/>
              <w:bottom w:val="single" w:color="000000" w:sz="4" w:space="0"/>
              <w:right w:val="single" w:color="000000" w:sz="4" w:space="0"/>
            </w:tcBorders>
            <w:vAlign w:val="center"/>
          </w:tcPr>
          <w:p w14:paraId="5A73A15D">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智能数字会议系统主机</w:t>
            </w:r>
          </w:p>
        </w:tc>
        <w:tc>
          <w:tcPr>
            <w:tcW w:w="930" w:type="dxa"/>
            <w:tcBorders>
              <w:top w:val="single" w:color="000000" w:sz="4" w:space="0"/>
              <w:left w:val="nil"/>
              <w:bottom w:val="single" w:color="000000" w:sz="4" w:space="0"/>
              <w:right w:val="single" w:color="000000" w:sz="4" w:space="0"/>
            </w:tcBorders>
            <w:noWrap/>
            <w:vAlign w:val="center"/>
          </w:tcPr>
          <w:p w14:paraId="0BF8A3EE">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717759C1">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4F7B0C17">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sz w:val="24"/>
                <w:szCs w:val="24"/>
              </w:rPr>
              <w:t>核心产品</w:t>
            </w:r>
          </w:p>
        </w:tc>
        <w:tc>
          <w:tcPr>
            <w:tcW w:w="1323" w:type="dxa"/>
            <w:tcBorders>
              <w:top w:val="single" w:color="000000" w:sz="4" w:space="0"/>
              <w:left w:val="nil"/>
              <w:bottom w:val="single" w:color="000000" w:sz="4" w:space="0"/>
              <w:right w:val="single" w:color="000000" w:sz="4" w:space="0"/>
            </w:tcBorders>
            <w:noWrap/>
            <w:vAlign w:val="center"/>
          </w:tcPr>
          <w:p w14:paraId="65FC26CF">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4DF9D17F">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7C755284">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5</w:t>
            </w:r>
          </w:p>
        </w:tc>
        <w:tc>
          <w:tcPr>
            <w:tcW w:w="2920" w:type="dxa"/>
            <w:tcBorders>
              <w:top w:val="single" w:color="000000" w:sz="4" w:space="0"/>
              <w:left w:val="nil"/>
              <w:bottom w:val="single" w:color="000000" w:sz="4" w:space="0"/>
              <w:right w:val="single" w:color="000000" w:sz="4" w:space="0"/>
            </w:tcBorders>
            <w:vAlign w:val="center"/>
          </w:tcPr>
          <w:p w14:paraId="177E2C72">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智能会议文件管理服务器</w:t>
            </w:r>
          </w:p>
        </w:tc>
        <w:tc>
          <w:tcPr>
            <w:tcW w:w="930" w:type="dxa"/>
            <w:tcBorders>
              <w:top w:val="single" w:color="000000" w:sz="4" w:space="0"/>
              <w:left w:val="nil"/>
              <w:bottom w:val="single" w:color="000000" w:sz="4" w:space="0"/>
              <w:right w:val="single" w:color="000000" w:sz="4" w:space="0"/>
            </w:tcBorders>
            <w:noWrap/>
            <w:vAlign w:val="center"/>
          </w:tcPr>
          <w:p w14:paraId="5A368ED5">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603BB9D3">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327EBB92">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sz w:val="24"/>
                <w:szCs w:val="24"/>
              </w:rPr>
              <w:t>核心产品</w:t>
            </w:r>
          </w:p>
        </w:tc>
        <w:tc>
          <w:tcPr>
            <w:tcW w:w="1323" w:type="dxa"/>
            <w:tcBorders>
              <w:top w:val="single" w:color="000000" w:sz="4" w:space="0"/>
              <w:left w:val="nil"/>
              <w:bottom w:val="single" w:color="000000" w:sz="4" w:space="0"/>
              <w:right w:val="single" w:color="000000" w:sz="4" w:space="0"/>
            </w:tcBorders>
            <w:noWrap/>
            <w:vAlign w:val="center"/>
          </w:tcPr>
          <w:p w14:paraId="0A730875">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018D9FA8">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6CB04F2B">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6</w:t>
            </w:r>
          </w:p>
        </w:tc>
        <w:tc>
          <w:tcPr>
            <w:tcW w:w="2920" w:type="dxa"/>
            <w:tcBorders>
              <w:top w:val="single" w:color="000000" w:sz="4" w:space="0"/>
              <w:left w:val="nil"/>
              <w:bottom w:val="single" w:color="000000" w:sz="4" w:space="0"/>
              <w:right w:val="single" w:color="000000" w:sz="4" w:space="0"/>
            </w:tcBorders>
            <w:vAlign w:val="center"/>
          </w:tcPr>
          <w:p w14:paraId="1D061751">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无纸化会议系统后台管理程序软件</w:t>
            </w:r>
          </w:p>
        </w:tc>
        <w:tc>
          <w:tcPr>
            <w:tcW w:w="930" w:type="dxa"/>
            <w:tcBorders>
              <w:top w:val="single" w:color="000000" w:sz="4" w:space="0"/>
              <w:left w:val="nil"/>
              <w:bottom w:val="single" w:color="000000" w:sz="4" w:space="0"/>
              <w:right w:val="single" w:color="000000" w:sz="4" w:space="0"/>
            </w:tcBorders>
            <w:noWrap/>
            <w:vAlign w:val="center"/>
          </w:tcPr>
          <w:p w14:paraId="2461AA9E">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09C7E630">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726EA8FF">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4A8B9DE4">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44FCE024">
        <w:tblPrEx>
          <w:tblCellMar>
            <w:top w:w="0" w:type="dxa"/>
            <w:left w:w="108" w:type="dxa"/>
            <w:bottom w:w="0" w:type="dxa"/>
            <w:right w:w="108" w:type="dxa"/>
          </w:tblCellMar>
        </w:tblPrEx>
        <w:trPr>
          <w:trHeight w:val="91"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439DE8CF">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7</w:t>
            </w:r>
          </w:p>
        </w:tc>
        <w:tc>
          <w:tcPr>
            <w:tcW w:w="2920" w:type="dxa"/>
            <w:tcBorders>
              <w:top w:val="single" w:color="000000" w:sz="4" w:space="0"/>
              <w:left w:val="nil"/>
              <w:bottom w:val="single" w:color="000000" w:sz="4" w:space="0"/>
              <w:right w:val="single" w:color="000000" w:sz="4" w:space="0"/>
            </w:tcBorders>
            <w:vAlign w:val="center"/>
          </w:tcPr>
          <w:p w14:paraId="338594AA">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全高清电容式超薄会议升降终端</w:t>
            </w:r>
          </w:p>
        </w:tc>
        <w:tc>
          <w:tcPr>
            <w:tcW w:w="930" w:type="dxa"/>
            <w:tcBorders>
              <w:top w:val="single" w:color="000000" w:sz="4" w:space="0"/>
              <w:left w:val="nil"/>
              <w:bottom w:val="single" w:color="000000" w:sz="4" w:space="0"/>
              <w:right w:val="single" w:color="000000" w:sz="4" w:space="0"/>
            </w:tcBorders>
            <w:noWrap/>
            <w:vAlign w:val="center"/>
          </w:tcPr>
          <w:p w14:paraId="099B03FD">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66AF5812">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10</w:t>
            </w:r>
          </w:p>
        </w:tc>
        <w:tc>
          <w:tcPr>
            <w:tcW w:w="1516" w:type="dxa"/>
            <w:tcBorders>
              <w:top w:val="single" w:color="000000" w:sz="4" w:space="0"/>
              <w:left w:val="nil"/>
              <w:bottom w:val="single" w:color="000000" w:sz="4" w:space="0"/>
              <w:right w:val="single" w:color="000000" w:sz="4" w:space="0"/>
            </w:tcBorders>
            <w:noWrap/>
            <w:vAlign w:val="center"/>
          </w:tcPr>
          <w:p w14:paraId="076B6B79">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4211FCE3">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00405401">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34037950">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8</w:t>
            </w:r>
          </w:p>
        </w:tc>
        <w:tc>
          <w:tcPr>
            <w:tcW w:w="2920" w:type="dxa"/>
            <w:tcBorders>
              <w:top w:val="single" w:color="000000" w:sz="4" w:space="0"/>
              <w:left w:val="nil"/>
              <w:bottom w:val="single" w:color="000000" w:sz="4" w:space="0"/>
              <w:right w:val="single" w:color="000000" w:sz="4" w:space="0"/>
            </w:tcBorders>
            <w:vAlign w:val="center"/>
          </w:tcPr>
          <w:p w14:paraId="477F04EA">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迷你会议小主机</w:t>
            </w:r>
          </w:p>
        </w:tc>
        <w:tc>
          <w:tcPr>
            <w:tcW w:w="930" w:type="dxa"/>
            <w:tcBorders>
              <w:top w:val="single" w:color="000000" w:sz="4" w:space="0"/>
              <w:left w:val="nil"/>
              <w:bottom w:val="single" w:color="000000" w:sz="4" w:space="0"/>
              <w:right w:val="single" w:color="000000" w:sz="4" w:space="0"/>
            </w:tcBorders>
            <w:noWrap/>
            <w:vAlign w:val="center"/>
          </w:tcPr>
          <w:p w14:paraId="1FC1BA25">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66CCAA4C">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55CBBD26">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7CCFC250">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32AF1F79">
        <w:tblPrEx>
          <w:tblCellMar>
            <w:top w:w="0" w:type="dxa"/>
            <w:left w:w="108" w:type="dxa"/>
            <w:bottom w:w="0" w:type="dxa"/>
            <w:right w:w="108" w:type="dxa"/>
          </w:tblCellMar>
        </w:tblPrEx>
        <w:trPr>
          <w:trHeight w:val="328"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1983B4A0">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9</w:t>
            </w:r>
          </w:p>
        </w:tc>
        <w:tc>
          <w:tcPr>
            <w:tcW w:w="2920" w:type="dxa"/>
            <w:tcBorders>
              <w:top w:val="single" w:color="000000" w:sz="4" w:space="0"/>
              <w:left w:val="nil"/>
              <w:bottom w:val="single" w:color="000000" w:sz="4" w:space="0"/>
              <w:right w:val="single" w:color="000000" w:sz="4" w:space="0"/>
            </w:tcBorders>
            <w:noWrap/>
            <w:vAlign w:val="center"/>
          </w:tcPr>
          <w:p w14:paraId="72E86B0E">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投影申请器</w:t>
            </w:r>
          </w:p>
        </w:tc>
        <w:tc>
          <w:tcPr>
            <w:tcW w:w="930" w:type="dxa"/>
            <w:tcBorders>
              <w:top w:val="single" w:color="000000" w:sz="4" w:space="0"/>
              <w:left w:val="nil"/>
              <w:bottom w:val="single" w:color="000000" w:sz="4" w:space="0"/>
              <w:right w:val="single" w:color="000000" w:sz="4" w:space="0"/>
            </w:tcBorders>
            <w:noWrap/>
            <w:vAlign w:val="center"/>
          </w:tcPr>
          <w:p w14:paraId="60BE8D96">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2DAEB3AB">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671C033D">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6ED23D4E">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1F758765">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23789642">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10</w:t>
            </w:r>
          </w:p>
        </w:tc>
        <w:tc>
          <w:tcPr>
            <w:tcW w:w="2920" w:type="dxa"/>
            <w:tcBorders>
              <w:top w:val="single" w:color="000000" w:sz="4" w:space="0"/>
              <w:left w:val="nil"/>
              <w:bottom w:val="single" w:color="000000" w:sz="4" w:space="0"/>
              <w:right w:val="single" w:color="000000" w:sz="4" w:space="0"/>
            </w:tcBorders>
            <w:vAlign w:val="center"/>
          </w:tcPr>
          <w:p w14:paraId="2ED13D58">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全高清流媒体编码主机</w:t>
            </w:r>
          </w:p>
        </w:tc>
        <w:tc>
          <w:tcPr>
            <w:tcW w:w="930" w:type="dxa"/>
            <w:tcBorders>
              <w:top w:val="single" w:color="000000" w:sz="4" w:space="0"/>
              <w:left w:val="nil"/>
              <w:bottom w:val="single" w:color="000000" w:sz="4" w:space="0"/>
              <w:right w:val="single" w:color="000000" w:sz="4" w:space="0"/>
            </w:tcBorders>
            <w:noWrap/>
            <w:vAlign w:val="center"/>
          </w:tcPr>
          <w:p w14:paraId="5F8B353E">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58A56E0F">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3C9F87F6">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316C3573">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42285006">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0E29DE0B">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11</w:t>
            </w:r>
          </w:p>
        </w:tc>
        <w:tc>
          <w:tcPr>
            <w:tcW w:w="2920" w:type="dxa"/>
            <w:tcBorders>
              <w:top w:val="single" w:color="000000" w:sz="4" w:space="0"/>
              <w:left w:val="nil"/>
              <w:bottom w:val="single" w:color="000000" w:sz="4" w:space="0"/>
              <w:right w:val="single" w:color="000000" w:sz="4" w:space="0"/>
            </w:tcBorders>
            <w:vAlign w:val="center"/>
          </w:tcPr>
          <w:p w14:paraId="5FDC70BC">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智能网络拓展器</w:t>
            </w:r>
          </w:p>
        </w:tc>
        <w:tc>
          <w:tcPr>
            <w:tcW w:w="930" w:type="dxa"/>
            <w:tcBorders>
              <w:top w:val="single" w:color="000000" w:sz="4" w:space="0"/>
              <w:left w:val="nil"/>
              <w:bottom w:val="single" w:color="000000" w:sz="4" w:space="0"/>
              <w:right w:val="single" w:color="000000" w:sz="4" w:space="0"/>
            </w:tcBorders>
            <w:noWrap/>
            <w:vAlign w:val="center"/>
          </w:tcPr>
          <w:p w14:paraId="6B180CAD">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417D16F0">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76C272FF">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5144942B">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51C070D8">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0D8B454D">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12</w:t>
            </w:r>
          </w:p>
        </w:tc>
        <w:tc>
          <w:tcPr>
            <w:tcW w:w="2920" w:type="dxa"/>
            <w:tcBorders>
              <w:top w:val="single" w:color="000000" w:sz="4" w:space="0"/>
              <w:left w:val="nil"/>
              <w:bottom w:val="single" w:color="000000" w:sz="4" w:space="0"/>
              <w:right w:val="single" w:color="000000" w:sz="4" w:space="0"/>
            </w:tcBorders>
            <w:vAlign w:val="center"/>
          </w:tcPr>
          <w:p w14:paraId="73EE7A13">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会议吸顶音箱</w:t>
            </w:r>
          </w:p>
        </w:tc>
        <w:tc>
          <w:tcPr>
            <w:tcW w:w="930" w:type="dxa"/>
            <w:tcBorders>
              <w:top w:val="single" w:color="000000" w:sz="4" w:space="0"/>
              <w:left w:val="nil"/>
              <w:bottom w:val="single" w:color="000000" w:sz="4" w:space="0"/>
              <w:right w:val="single" w:color="000000" w:sz="4" w:space="0"/>
            </w:tcBorders>
            <w:noWrap/>
            <w:vAlign w:val="center"/>
          </w:tcPr>
          <w:p w14:paraId="64FCFA75">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只</w:t>
            </w:r>
          </w:p>
        </w:tc>
        <w:tc>
          <w:tcPr>
            <w:tcW w:w="825" w:type="dxa"/>
            <w:tcBorders>
              <w:top w:val="single" w:color="000000" w:sz="4" w:space="0"/>
              <w:left w:val="nil"/>
              <w:bottom w:val="single" w:color="000000" w:sz="4" w:space="0"/>
              <w:right w:val="single" w:color="000000" w:sz="4" w:space="0"/>
            </w:tcBorders>
            <w:noWrap/>
            <w:vAlign w:val="center"/>
          </w:tcPr>
          <w:p w14:paraId="16B30EE3">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6</w:t>
            </w:r>
          </w:p>
        </w:tc>
        <w:tc>
          <w:tcPr>
            <w:tcW w:w="1516" w:type="dxa"/>
            <w:tcBorders>
              <w:top w:val="single" w:color="000000" w:sz="4" w:space="0"/>
              <w:left w:val="nil"/>
              <w:bottom w:val="single" w:color="000000" w:sz="4" w:space="0"/>
              <w:right w:val="single" w:color="000000" w:sz="4" w:space="0"/>
            </w:tcBorders>
            <w:noWrap/>
            <w:vAlign w:val="center"/>
          </w:tcPr>
          <w:p w14:paraId="64F0D67E">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6715D082">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32A4CFE1">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51A84E38">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13</w:t>
            </w:r>
          </w:p>
        </w:tc>
        <w:tc>
          <w:tcPr>
            <w:tcW w:w="2920" w:type="dxa"/>
            <w:tcBorders>
              <w:top w:val="single" w:color="000000" w:sz="4" w:space="0"/>
              <w:left w:val="nil"/>
              <w:bottom w:val="single" w:color="000000" w:sz="4" w:space="0"/>
              <w:right w:val="single" w:color="000000" w:sz="4" w:space="0"/>
            </w:tcBorders>
            <w:vAlign w:val="center"/>
          </w:tcPr>
          <w:p w14:paraId="1F5D48D3">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话筒前级功放</w:t>
            </w:r>
          </w:p>
        </w:tc>
        <w:tc>
          <w:tcPr>
            <w:tcW w:w="930" w:type="dxa"/>
            <w:tcBorders>
              <w:top w:val="single" w:color="000000" w:sz="4" w:space="0"/>
              <w:left w:val="nil"/>
              <w:bottom w:val="single" w:color="000000" w:sz="4" w:space="0"/>
              <w:right w:val="single" w:color="000000" w:sz="4" w:space="0"/>
            </w:tcBorders>
            <w:noWrap/>
            <w:vAlign w:val="center"/>
          </w:tcPr>
          <w:p w14:paraId="5E201A92">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5E13C633">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4F5DF6B8">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0883ED96">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0304B6DF">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64365F7C">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14</w:t>
            </w:r>
          </w:p>
        </w:tc>
        <w:tc>
          <w:tcPr>
            <w:tcW w:w="2920" w:type="dxa"/>
            <w:tcBorders>
              <w:top w:val="single" w:color="000000" w:sz="4" w:space="0"/>
              <w:left w:val="nil"/>
              <w:bottom w:val="single" w:color="000000" w:sz="4" w:space="0"/>
              <w:right w:val="single" w:color="000000" w:sz="4" w:space="0"/>
            </w:tcBorders>
            <w:vAlign w:val="center"/>
          </w:tcPr>
          <w:p w14:paraId="4AA79884">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专业音频处理器</w:t>
            </w:r>
          </w:p>
        </w:tc>
        <w:tc>
          <w:tcPr>
            <w:tcW w:w="930" w:type="dxa"/>
            <w:tcBorders>
              <w:top w:val="single" w:color="000000" w:sz="4" w:space="0"/>
              <w:left w:val="nil"/>
              <w:bottom w:val="single" w:color="000000" w:sz="4" w:space="0"/>
              <w:right w:val="single" w:color="000000" w:sz="4" w:space="0"/>
            </w:tcBorders>
            <w:noWrap/>
            <w:vAlign w:val="center"/>
          </w:tcPr>
          <w:p w14:paraId="55FBCF1D">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64360526">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37B13E42">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2D52C997">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34D5B8C8">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17EEB2F3">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15</w:t>
            </w:r>
          </w:p>
        </w:tc>
        <w:tc>
          <w:tcPr>
            <w:tcW w:w="2920" w:type="dxa"/>
            <w:tcBorders>
              <w:top w:val="single" w:color="000000" w:sz="4" w:space="0"/>
              <w:left w:val="nil"/>
              <w:bottom w:val="single" w:color="000000" w:sz="4" w:space="0"/>
              <w:right w:val="single" w:color="000000" w:sz="4" w:space="0"/>
            </w:tcBorders>
            <w:vAlign w:val="center"/>
          </w:tcPr>
          <w:p w14:paraId="50331527">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模拟调音台</w:t>
            </w:r>
          </w:p>
        </w:tc>
        <w:tc>
          <w:tcPr>
            <w:tcW w:w="930" w:type="dxa"/>
            <w:tcBorders>
              <w:top w:val="single" w:color="000000" w:sz="4" w:space="0"/>
              <w:left w:val="nil"/>
              <w:bottom w:val="single" w:color="000000" w:sz="4" w:space="0"/>
              <w:right w:val="single" w:color="000000" w:sz="4" w:space="0"/>
            </w:tcBorders>
            <w:noWrap/>
            <w:vAlign w:val="center"/>
          </w:tcPr>
          <w:p w14:paraId="53C07D6C">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60DBE265">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219354FB">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2514A4CA">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3A6B5728">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7E3E9B9F">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16</w:t>
            </w:r>
          </w:p>
        </w:tc>
        <w:tc>
          <w:tcPr>
            <w:tcW w:w="2920" w:type="dxa"/>
            <w:tcBorders>
              <w:top w:val="single" w:color="000000" w:sz="4" w:space="0"/>
              <w:left w:val="nil"/>
              <w:bottom w:val="single" w:color="000000" w:sz="4" w:space="0"/>
              <w:right w:val="single" w:color="000000" w:sz="4" w:space="0"/>
            </w:tcBorders>
            <w:vAlign w:val="center"/>
          </w:tcPr>
          <w:p w14:paraId="5A478E59">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反馈抑制器</w:t>
            </w:r>
          </w:p>
        </w:tc>
        <w:tc>
          <w:tcPr>
            <w:tcW w:w="930" w:type="dxa"/>
            <w:tcBorders>
              <w:top w:val="single" w:color="000000" w:sz="4" w:space="0"/>
              <w:left w:val="nil"/>
              <w:bottom w:val="single" w:color="000000" w:sz="4" w:space="0"/>
              <w:right w:val="single" w:color="000000" w:sz="4" w:space="0"/>
            </w:tcBorders>
            <w:noWrap/>
            <w:vAlign w:val="center"/>
          </w:tcPr>
          <w:p w14:paraId="26928C9F">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60DB9113">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6A3FBB96">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3B7A8AD6">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6E069F8B">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7552DDB2">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17</w:t>
            </w:r>
          </w:p>
        </w:tc>
        <w:tc>
          <w:tcPr>
            <w:tcW w:w="2920" w:type="dxa"/>
            <w:tcBorders>
              <w:top w:val="single" w:color="000000" w:sz="4" w:space="0"/>
              <w:left w:val="nil"/>
              <w:bottom w:val="single" w:color="000000" w:sz="4" w:space="0"/>
              <w:right w:val="single" w:color="000000" w:sz="4" w:space="0"/>
            </w:tcBorders>
            <w:vAlign w:val="center"/>
          </w:tcPr>
          <w:p w14:paraId="06755702">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专业电容式会议麦克风</w:t>
            </w:r>
          </w:p>
        </w:tc>
        <w:tc>
          <w:tcPr>
            <w:tcW w:w="930" w:type="dxa"/>
            <w:tcBorders>
              <w:top w:val="single" w:color="000000" w:sz="4" w:space="0"/>
              <w:left w:val="nil"/>
              <w:bottom w:val="single" w:color="000000" w:sz="4" w:space="0"/>
              <w:right w:val="single" w:color="000000" w:sz="4" w:space="0"/>
            </w:tcBorders>
            <w:noWrap/>
            <w:vAlign w:val="center"/>
          </w:tcPr>
          <w:p w14:paraId="2B6B066C">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只</w:t>
            </w:r>
          </w:p>
        </w:tc>
        <w:tc>
          <w:tcPr>
            <w:tcW w:w="825" w:type="dxa"/>
            <w:tcBorders>
              <w:top w:val="single" w:color="000000" w:sz="4" w:space="0"/>
              <w:left w:val="nil"/>
              <w:bottom w:val="single" w:color="000000" w:sz="4" w:space="0"/>
              <w:right w:val="single" w:color="000000" w:sz="4" w:space="0"/>
            </w:tcBorders>
            <w:noWrap/>
            <w:vAlign w:val="center"/>
          </w:tcPr>
          <w:p w14:paraId="502310EA">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3</w:t>
            </w:r>
          </w:p>
        </w:tc>
        <w:tc>
          <w:tcPr>
            <w:tcW w:w="1516" w:type="dxa"/>
            <w:tcBorders>
              <w:top w:val="single" w:color="000000" w:sz="4" w:space="0"/>
              <w:left w:val="nil"/>
              <w:bottom w:val="single" w:color="000000" w:sz="4" w:space="0"/>
              <w:right w:val="single" w:color="000000" w:sz="4" w:space="0"/>
            </w:tcBorders>
            <w:noWrap/>
            <w:vAlign w:val="center"/>
          </w:tcPr>
          <w:p w14:paraId="165D1EAA">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76BBC9D5">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53A9F720">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2000156F">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18</w:t>
            </w:r>
          </w:p>
        </w:tc>
        <w:tc>
          <w:tcPr>
            <w:tcW w:w="2920" w:type="dxa"/>
            <w:tcBorders>
              <w:top w:val="single" w:color="000000" w:sz="4" w:space="0"/>
              <w:left w:val="nil"/>
              <w:bottom w:val="single" w:color="000000" w:sz="4" w:space="0"/>
              <w:right w:val="single" w:color="000000" w:sz="4" w:space="0"/>
            </w:tcBorders>
            <w:vAlign w:val="center"/>
          </w:tcPr>
          <w:p w14:paraId="0406993E">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电源时序器</w:t>
            </w:r>
          </w:p>
        </w:tc>
        <w:tc>
          <w:tcPr>
            <w:tcW w:w="930" w:type="dxa"/>
            <w:tcBorders>
              <w:top w:val="single" w:color="000000" w:sz="4" w:space="0"/>
              <w:left w:val="nil"/>
              <w:bottom w:val="single" w:color="000000" w:sz="4" w:space="0"/>
              <w:right w:val="single" w:color="000000" w:sz="4" w:space="0"/>
            </w:tcBorders>
            <w:noWrap/>
            <w:vAlign w:val="center"/>
          </w:tcPr>
          <w:p w14:paraId="61D367F6">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51076C18">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2221D8CC">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02762728">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551C7FEC">
        <w:tblPrEx>
          <w:tblCellMar>
            <w:top w:w="0" w:type="dxa"/>
            <w:left w:w="108" w:type="dxa"/>
            <w:bottom w:w="0" w:type="dxa"/>
            <w:right w:w="108" w:type="dxa"/>
          </w:tblCellMar>
        </w:tblPrEx>
        <w:trPr>
          <w:trHeight w:val="465" w:hRule="atLeast"/>
          <w:jc w:val="center"/>
        </w:trPr>
        <w:tc>
          <w:tcPr>
            <w:tcW w:w="7021" w:type="dxa"/>
            <w:gridSpan w:val="5"/>
            <w:tcBorders>
              <w:top w:val="single" w:color="000000" w:sz="4" w:space="0"/>
              <w:left w:val="single" w:color="000000" w:sz="4" w:space="0"/>
              <w:bottom w:val="single" w:color="000000" w:sz="4" w:space="0"/>
              <w:right w:val="single" w:color="000000" w:sz="4" w:space="0"/>
            </w:tcBorders>
            <w:vAlign w:val="center"/>
          </w:tcPr>
          <w:p w14:paraId="312B53F9">
            <w:pPr>
              <w:widowControl/>
              <w:jc w:val="center"/>
              <w:textAlignment w:val="center"/>
              <w:rPr>
                <w:rFonts w:ascii="仿宋" w:hAnsi="仿宋" w:eastAsia="仿宋" w:cs="Calibri"/>
                <w:color w:val="000000"/>
                <w:sz w:val="24"/>
                <w:szCs w:val="24"/>
              </w:rPr>
            </w:pPr>
            <w:r>
              <w:rPr>
                <w:rFonts w:hint="eastAsia" w:ascii="仿宋" w:hAnsi="仿宋" w:eastAsia="仿宋"/>
                <w:b/>
                <w:color w:val="000000"/>
                <w:kern w:val="0"/>
                <w:sz w:val="24"/>
                <w:szCs w:val="24"/>
                <w:lang w:val="en-US" w:eastAsia="zh-CN"/>
              </w:rPr>
              <w:t xml:space="preserve">    </w:t>
            </w:r>
            <w:r>
              <w:rPr>
                <w:rFonts w:hint="eastAsia" w:ascii="仿宋" w:hAnsi="仿宋" w:eastAsia="仿宋"/>
                <w:b/>
                <w:color w:val="000000"/>
                <w:kern w:val="0"/>
                <w:sz w:val="24"/>
                <w:szCs w:val="24"/>
                <w:lang w:eastAsia="zh-CN"/>
              </w:rPr>
              <w:t>三、</w:t>
            </w:r>
            <w:r>
              <w:rPr>
                <w:rFonts w:hint="eastAsia" w:ascii="仿宋" w:hAnsi="仿宋" w:eastAsia="仿宋"/>
                <w:b/>
                <w:color w:val="000000"/>
                <w:kern w:val="0"/>
                <w:sz w:val="24"/>
                <w:szCs w:val="24"/>
                <w:lang w:val="en-US" w:eastAsia="zh-CN"/>
              </w:rPr>
              <w:t>森林防火预警监测信息中心装修改造及办公设备</w:t>
            </w:r>
          </w:p>
        </w:tc>
        <w:tc>
          <w:tcPr>
            <w:tcW w:w="1323" w:type="dxa"/>
            <w:tcBorders>
              <w:top w:val="single" w:color="000000" w:sz="4" w:space="0"/>
              <w:left w:val="nil"/>
              <w:bottom w:val="single" w:color="000000" w:sz="4" w:space="0"/>
              <w:right w:val="single" w:color="000000" w:sz="4" w:space="0"/>
            </w:tcBorders>
            <w:vAlign w:val="center"/>
          </w:tcPr>
          <w:p w14:paraId="1DA4A736">
            <w:pPr>
              <w:widowControl/>
              <w:jc w:val="center"/>
              <w:textAlignment w:val="center"/>
              <w:rPr>
                <w:rFonts w:ascii="仿宋" w:hAnsi="仿宋" w:eastAsia="仿宋" w:cs="Calibri"/>
                <w:color w:val="000000"/>
                <w:kern w:val="0"/>
                <w:sz w:val="24"/>
                <w:szCs w:val="24"/>
              </w:rPr>
            </w:pPr>
          </w:p>
        </w:tc>
      </w:tr>
      <w:tr w14:paraId="0FAF0EA2">
        <w:tblPrEx>
          <w:tblCellMar>
            <w:top w:w="0" w:type="dxa"/>
            <w:left w:w="108" w:type="dxa"/>
            <w:bottom w:w="0" w:type="dxa"/>
            <w:right w:w="108" w:type="dxa"/>
          </w:tblCellMar>
        </w:tblPrEx>
        <w:trPr>
          <w:trHeight w:val="34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2B914855">
            <w:pPr>
              <w:widowControl/>
              <w:jc w:val="center"/>
              <w:textAlignment w:val="center"/>
              <w:rPr>
                <w:rFonts w:hint="eastAsia" w:ascii="仿宋" w:hAnsi="仿宋" w:eastAsia="仿宋" w:cs="Calibri"/>
                <w:color w:val="000000"/>
                <w:sz w:val="24"/>
                <w:szCs w:val="24"/>
                <w:lang w:val="en-US" w:eastAsia="zh-CN"/>
              </w:rPr>
            </w:pPr>
            <w:r>
              <w:rPr>
                <w:rFonts w:hint="eastAsia" w:ascii="仿宋" w:hAnsi="仿宋" w:eastAsia="仿宋"/>
                <w:color w:val="000000"/>
                <w:kern w:val="0"/>
                <w:sz w:val="24"/>
                <w:szCs w:val="24"/>
              </w:rPr>
              <w:t>2</w:t>
            </w:r>
            <w:r>
              <w:rPr>
                <w:rFonts w:hint="eastAsia" w:ascii="仿宋" w:hAnsi="仿宋" w:eastAsia="仿宋"/>
                <w:color w:val="000000"/>
                <w:kern w:val="0"/>
                <w:sz w:val="24"/>
                <w:szCs w:val="24"/>
                <w:lang w:val="en-US" w:eastAsia="zh-CN"/>
              </w:rPr>
              <w:t>0</w:t>
            </w:r>
          </w:p>
        </w:tc>
        <w:tc>
          <w:tcPr>
            <w:tcW w:w="2920" w:type="dxa"/>
            <w:tcBorders>
              <w:top w:val="single" w:color="000000" w:sz="4" w:space="0"/>
              <w:left w:val="nil"/>
              <w:bottom w:val="single" w:color="000000" w:sz="4" w:space="0"/>
              <w:right w:val="single" w:color="000000" w:sz="4" w:space="0"/>
            </w:tcBorders>
            <w:vAlign w:val="center"/>
          </w:tcPr>
          <w:p w14:paraId="4C3BA283">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定制操作台信息中心装修改造（吊顶、墙面、电动玻璃滑门、地面）</w:t>
            </w:r>
          </w:p>
        </w:tc>
        <w:tc>
          <w:tcPr>
            <w:tcW w:w="930" w:type="dxa"/>
            <w:tcBorders>
              <w:top w:val="single" w:color="000000" w:sz="4" w:space="0"/>
              <w:left w:val="nil"/>
              <w:bottom w:val="single" w:color="000000" w:sz="4" w:space="0"/>
              <w:right w:val="single" w:color="000000" w:sz="4" w:space="0"/>
            </w:tcBorders>
            <w:noWrap/>
            <w:vAlign w:val="center"/>
          </w:tcPr>
          <w:p w14:paraId="69B33507">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套</w:t>
            </w:r>
          </w:p>
        </w:tc>
        <w:tc>
          <w:tcPr>
            <w:tcW w:w="825" w:type="dxa"/>
            <w:tcBorders>
              <w:top w:val="single" w:color="000000" w:sz="4" w:space="0"/>
              <w:left w:val="nil"/>
              <w:bottom w:val="single" w:color="000000" w:sz="4" w:space="0"/>
              <w:right w:val="single" w:color="000000" w:sz="4" w:space="0"/>
            </w:tcBorders>
            <w:noWrap/>
            <w:vAlign w:val="center"/>
          </w:tcPr>
          <w:p w14:paraId="6841E183">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46FD837C">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553928A3">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034990EA">
        <w:tblPrEx>
          <w:tblCellMar>
            <w:top w:w="0" w:type="dxa"/>
            <w:left w:w="108" w:type="dxa"/>
            <w:bottom w:w="0" w:type="dxa"/>
            <w:right w:w="108" w:type="dxa"/>
          </w:tblCellMar>
        </w:tblPrEx>
        <w:trPr>
          <w:trHeight w:val="34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0253FD17">
            <w:pPr>
              <w:widowControl/>
              <w:jc w:val="center"/>
              <w:textAlignment w:val="center"/>
              <w:rPr>
                <w:rFonts w:hint="eastAsia" w:ascii="仿宋" w:hAnsi="仿宋" w:eastAsia="仿宋" w:cs="Calibri"/>
                <w:color w:val="000000"/>
                <w:sz w:val="24"/>
                <w:szCs w:val="24"/>
                <w:lang w:val="en-US" w:eastAsia="zh-CN"/>
              </w:rPr>
            </w:pPr>
            <w:r>
              <w:rPr>
                <w:rFonts w:hint="eastAsia" w:ascii="仿宋" w:hAnsi="仿宋" w:eastAsia="仿宋"/>
                <w:color w:val="000000"/>
                <w:kern w:val="0"/>
                <w:sz w:val="24"/>
                <w:szCs w:val="24"/>
              </w:rPr>
              <w:t>2</w:t>
            </w:r>
            <w:r>
              <w:rPr>
                <w:rFonts w:hint="eastAsia" w:ascii="仿宋" w:hAnsi="仿宋" w:eastAsia="仿宋"/>
                <w:color w:val="000000"/>
                <w:kern w:val="0"/>
                <w:sz w:val="24"/>
                <w:szCs w:val="24"/>
                <w:lang w:val="en-US" w:eastAsia="zh-CN"/>
              </w:rPr>
              <w:t>1</w:t>
            </w:r>
          </w:p>
        </w:tc>
        <w:tc>
          <w:tcPr>
            <w:tcW w:w="2920" w:type="dxa"/>
            <w:tcBorders>
              <w:top w:val="single" w:color="000000" w:sz="4" w:space="0"/>
              <w:left w:val="nil"/>
              <w:bottom w:val="single" w:color="000000" w:sz="4" w:space="0"/>
              <w:right w:val="single" w:color="000000" w:sz="4" w:space="0"/>
            </w:tcBorders>
            <w:vAlign w:val="center"/>
          </w:tcPr>
          <w:p w14:paraId="2FC3FB6A">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办公操作椅(定制)</w:t>
            </w:r>
          </w:p>
        </w:tc>
        <w:tc>
          <w:tcPr>
            <w:tcW w:w="930" w:type="dxa"/>
            <w:tcBorders>
              <w:top w:val="single" w:color="000000" w:sz="4" w:space="0"/>
              <w:left w:val="nil"/>
              <w:bottom w:val="single" w:color="000000" w:sz="4" w:space="0"/>
              <w:right w:val="single" w:color="000000" w:sz="4" w:space="0"/>
            </w:tcBorders>
            <w:noWrap/>
            <w:vAlign w:val="center"/>
          </w:tcPr>
          <w:p w14:paraId="513FF3B3">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套</w:t>
            </w:r>
          </w:p>
        </w:tc>
        <w:tc>
          <w:tcPr>
            <w:tcW w:w="825" w:type="dxa"/>
            <w:tcBorders>
              <w:top w:val="single" w:color="000000" w:sz="4" w:space="0"/>
              <w:left w:val="nil"/>
              <w:bottom w:val="single" w:color="000000" w:sz="4" w:space="0"/>
              <w:right w:val="single" w:color="000000" w:sz="4" w:space="0"/>
            </w:tcBorders>
            <w:noWrap/>
            <w:vAlign w:val="center"/>
          </w:tcPr>
          <w:p w14:paraId="29CC456A">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4FCAB202">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542B83D8">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29271F57">
        <w:tblPrEx>
          <w:tblCellMar>
            <w:top w:w="0" w:type="dxa"/>
            <w:left w:w="108" w:type="dxa"/>
            <w:bottom w:w="0" w:type="dxa"/>
            <w:right w:w="108" w:type="dxa"/>
          </w:tblCellMar>
        </w:tblPrEx>
        <w:trPr>
          <w:trHeight w:val="34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307847BB">
            <w:pPr>
              <w:widowControl/>
              <w:jc w:val="center"/>
              <w:textAlignment w:val="center"/>
              <w:rPr>
                <w:rFonts w:hint="eastAsia" w:ascii="仿宋" w:hAnsi="仿宋" w:eastAsia="仿宋" w:cs="Calibri"/>
                <w:color w:val="000000"/>
                <w:sz w:val="24"/>
                <w:szCs w:val="24"/>
                <w:lang w:val="en-US" w:eastAsia="zh-CN"/>
              </w:rPr>
            </w:pPr>
            <w:r>
              <w:rPr>
                <w:rFonts w:hint="eastAsia" w:ascii="仿宋" w:hAnsi="仿宋" w:eastAsia="仿宋"/>
                <w:color w:val="000000"/>
                <w:kern w:val="0"/>
                <w:sz w:val="24"/>
                <w:szCs w:val="24"/>
              </w:rPr>
              <w:t>2</w:t>
            </w:r>
            <w:r>
              <w:rPr>
                <w:rFonts w:hint="eastAsia" w:ascii="仿宋" w:hAnsi="仿宋" w:eastAsia="仿宋"/>
                <w:color w:val="000000"/>
                <w:kern w:val="0"/>
                <w:sz w:val="24"/>
                <w:szCs w:val="24"/>
                <w:lang w:val="en-US" w:eastAsia="zh-CN"/>
              </w:rPr>
              <w:t>2</w:t>
            </w:r>
          </w:p>
        </w:tc>
        <w:tc>
          <w:tcPr>
            <w:tcW w:w="2920" w:type="dxa"/>
            <w:tcBorders>
              <w:top w:val="single" w:color="000000" w:sz="4" w:space="0"/>
              <w:left w:val="nil"/>
              <w:bottom w:val="single" w:color="000000" w:sz="4" w:space="0"/>
              <w:right w:val="single" w:color="000000" w:sz="4" w:space="0"/>
            </w:tcBorders>
            <w:vAlign w:val="center"/>
          </w:tcPr>
          <w:p w14:paraId="57A05210">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装修改造（吊顶、墙面、地面</w:t>
            </w:r>
          </w:p>
        </w:tc>
        <w:tc>
          <w:tcPr>
            <w:tcW w:w="930" w:type="dxa"/>
            <w:tcBorders>
              <w:top w:val="single" w:color="000000" w:sz="4" w:space="0"/>
              <w:left w:val="nil"/>
              <w:bottom w:val="single" w:color="000000" w:sz="4" w:space="0"/>
              <w:right w:val="single" w:color="000000" w:sz="4" w:space="0"/>
            </w:tcBorders>
            <w:noWrap/>
            <w:vAlign w:val="center"/>
          </w:tcPr>
          <w:p w14:paraId="56132639">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项</w:t>
            </w:r>
          </w:p>
        </w:tc>
        <w:tc>
          <w:tcPr>
            <w:tcW w:w="825" w:type="dxa"/>
            <w:tcBorders>
              <w:top w:val="single" w:color="000000" w:sz="4" w:space="0"/>
              <w:left w:val="nil"/>
              <w:bottom w:val="single" w:color="000000" w:sz="4" w:space="0"/>
              <w:right w:val="single" w:color="000000" w:sz="4" w:space="0"/>
            </w:tcBorders>
            <w:noWrap/>
            <w:vAlign w:val="center"/>
          </w:tcPr>
          <w:p w14:paraId="54C92E96">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783164F9">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725D93F1">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工程</w:t>
            </w:r>
          </w:p>
        </w:tc>
      </w:tr>
      <w:tr w14:paraId="075F654C">
        <w:tblPrEx>
          <w:tblCellMar>
            <w:top w:w="0" w:type="dxa"/>
            <w:left w:w="108" w:type="dxa"/>
            <w:bottom w:w="0" w:type="dxa"/>
            <w:right w:w="108" w:type="dxa"/>
          </w:tblCellMar>
        </w:tblPrEx>
        <w:trPr>
          <w:trHeight w:val="34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65F3581B">
            <w:pPr>
              <w:widowControl/>
              <w:jc w:val="center"/>
              <w:textAlignment w:val="center"/>
              <w:rPr>
                <w:rFonts w:hint="eastAsia" w:ascii="仿宋" w:hAnsi="仿宋" w:eastAsia="仿宋" w:cs="Calibri"/>
                <w:color w:val="000000"/>
                <w:sz w:val="24"/>
                <w:szCs w:val="24"/>
                <w:lang w:val="en-US" w:eastAsia="zh-CN"/>
              </w:rPr>
            </w:pPr>
            <w:r>
              <w:rPr>
                <w:rFonts w:hint="eastAsia" w:ascii="仿宋" w:hAnsi="仿宋" w:eastAsia="仿宋"/>
                <w:color w:val="000000"/>
                <w:kern w:val="0"/>
                <w:sz w:val="24"/>
                <w:szCs w:val="24"/>
              </w:rPr>
              <w:t>2</w:t>
            </w:r>
            <w:r>
              <w:rPr>
                <w:rFonts w:hint="eastAsia" w:ascii="仿宋" w:hAnsi="仿宋" w:eastAsia="仿宋"/>
                <w:color w:val="000000"/>
                <w:kern w:val="0"/>
                <w:sz w:val="24"/>
                <w:szCs w:val="24"/>
                <w:lang w:val="en-US" w:eastAsia="zh-CN"/>
              </w:rPr>
              <w:t>3</w:t>
            </w:r>
          </w:p>
        </w:tc>
        <w:tc>
          <w:tcPr>
            <w:tcW w:w="2920" w:type="dxa"/>
            <w:tcBorders>
              <w:top w:val="single" w:color="000000" w:sz="4" w:space="0"/>
              <w:left w:val="nil"/>
              <w:bottom w:val="single" w:color="000000" w:sz="4" w:space="0"/>
              <w:right w:val="single" w:color="000000" w:sz="4" w:space="0"/>
            </w:tcBorders>
            <w:vAlign w:val="center"/>
          </w:tcPr>
          <w:p w14:paraId="0550EF12">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玻璃隔断(定制)</w:t>
            </w:r>
          </w:p>
        </w:tc>
        <w:tc>
          <w:tcPr>
            <w:tcW w:w="930" w:type="dxa"/>
            <w:tcBorders>
              <w:top w:val="single" w:color="000000" w:sz="4" w:space="0"/>
              <w:left w:val="nil"/>
              <w:bottom w:val="single" w:color="000000" w:sz="4" w:space="0"/>
              <w:right w:val="single" w:color="000000" w:sz="4" w:space="0"/>
            </w:tcBorders>
            <w:noWrap/>
            <w:vAlign w:val="center"/>
          </w:tcPr>
          <w:p w14:paraId="177F91CC">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平方</w:t>
            </w:r>
          </w:p>
        </w:tc>
        <w:tc>
          <w:tcPr>
            <w:tcW w:w="825" w:type="dxa"/>
            <w:tcBorders>
              <w:top w:val="single" w:color="000000" w:sz="4" w:space="0"/>
              <w:left w:val="nil"/>
              <w:bottom w:val="single" w:color="000000" w:sz="4" w:space="0"/>
              <w:right w:val="single" w:color="000000" w:sz="4" w:space="0"/>
            </w:tcBorders>
            <w:noWrap/>
            <w:vAlign w:val="center"/>
          </w:tcPr>
          <w:p w14:paraId="7EAAB622">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13</w:t>
            </w:r>
          </w:p>
        </w:tc>
        <w:tc>
          <w:tcPr>
            <w:tcW w:w="1516" w:type="dxa"/>
            <w:tcBorders>
              <w:top w:val="single" w:color="000000" w:sz="4" w:space="0"/>
              <w:left w:val="nil"/>
              <w:bottom w:val="single" w:color="000000" w:sz="4" w:space="0"/>
              <w:right w:val="single" w:color="000000" w:sz="4" w:space="0"/>
            </w:tcBorders>
            <w:noWrap/>
            <w:vAlign w:val="center"/>
          </w:tcPr>
          <w:p w14:paraId="59B1F08D">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456133B8">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14D42C45">
        <w:tblPrEx>
          <w:tblCellMar>
            <w:top w:w="0" w:type="dxa"/>
            <w:left w:w="108" w:type="dxa"/>
            <w:bottom w:w="0" w:type="dxa"/>
            <w:right w:w="108" w:type="dxa"/>
          </w:tblCellMar>
        </w:tblPrEx>
        <w:trPr>
          <w:trHeight w:val="34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26E32A6C">
            <w:pPr>
              <w:widowControl/>
              <w:jc w:val="center"/>
              <w:textAlignment w:val="center"/>
              <w:rPr>
                <w:rFonts w:hint="eastAsia" w:ascii="仿宋" w:hAnsi="仿宋" w:eastAsia="仿宋" w:cs="Calibri"/>
                <w:color w:val="000000"/>
                <w:sz w:val="24"/>
                <w:szCs w:val="24"/>
                <w:lang w:val="en-US" w:eastAsia="zh-CN"/>
              </w:rPr>
            </w:pPr>
            <w:r>
              <w:rPr>
                <w:rFonts w:hint="eastAsia" w:ascii="仿宋" w:hAnsi="仿宋" w:eastAsia="仿宋"/>
                <w:color w:val="000000"/>
                <w:kern w:val="0"/>
                <w:sz w:val="24"/>
                <w:szCs w:val="24"/>
              </w:rPr>
              <w:t>2</w:t>
            </w:r>
            <w:r>
              <w:rPr>
                <w:rFonts w:hint="eastAsia" w:ascii="仿宋" w:hAnsi="仿宋" w:eastAsia="仿宋"/>
                <w:color w:val="000000"/>
                <w:kern w:val="0"/>
                <w:sz w:val="24"/>
                <w:szCs w:val="24"/>
                <w:lang w:val="en-US" w:eastAsia="zh-CN"/>
              </w:rPr>
              <w:t>4</w:t>
            </w:r>
          </w:p>
        </w:tc>
        <w:tc>
          <w:tcPr>
            <w:tcW w:w="2920" w:type="dxa"/>
            <w:tcBorders>
              <w:top w:val="single" w:color="000000" w:sz="4" w:space="0"/>
              <w:left w:val="nil"/>
              <w:bottom w:val="single" w:color="000000" w:sz="4" w:space="0"/>
              <w:right w:val="single" w:color="000000" w:sz="4" w:space="0"/>
            </w:tcBorders>
            <w:vAlign w:val="center"/>
          </w:tcPr>
          <w:p w14:paraId="2933B87B">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电动玻璃滑门</w:t>
            </w:r>
          </w:p>
        </w:tc>
        <w:tc>
          <w:tcPr>
            <w:tcW w:w="930" w:type="dxa"/>
            <w:tcBorders>
              <w:top w:val="single" w:color="000000" w:sz="4" w:space="0"/>
              <w:left w:val="nil"/>
              <w:bottom w:val="single" w:color="000000" w:sz="4" w:space="0"/>
              <w:right w:val="single" w:color="000000" w:sz="4" w:space="0"/>
            </w:tcBorders>
            <w:noWrap/>
            <w:vAlign w:val="center"/>
          </w:tcPr>
          <w:p w14:paraId="0E0C8F21">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套</w:t>
            </w:r>
          </w:p>
        </w:tc>
        <w:tc>
          <w:tcPr>
            <w:tcW w:w="825" w:type="dxa"/>
            <w:tcBorders>
              <w:top w:val="single" w:color="000000" w:sz="4" w:space="0"/>
              <w:left w:val="nil"/>
              <w:bottom w:val="single" w:color="000000" w:sz="4" w:space="0"/>
              <w:right w:val="single" w:color="000000" w:sz="4" w:space="0"/>
            </w:tcBorders>
            <w:noWrap/>
            <w:vAlign w:val="center"/>
          </w:tcPr>
          <w:p w14:paraId="5828EC60">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60505703">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69FD1B13">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bl>
    <w:p w14:paraId="2A1A9EBE">
      <w:pPr>
        <w:pStyle w:val="4"/>
        <w:pageBreakBefore w:val="0"/>
        <w:widowControl w:val="0"/>
        <w:numPr>
          <w:ilvl w:val="0"/>
          <w:numId w:val="10"/>
        </w:numPr>
        <w:kinsoku/>
        <w:wordWrap/>
        <w:overflowPunct/>
        <w:topLinePunct w:val="0"/>
        <w:autoSpaceDE/>
        <w:autoSpaceDN/>
        <w:bidi w:val="0"/>
        <w:adjustRightInd/>
        <w:snapToGrid/>
        <w:spacing w:line="360" w:lineRule="auto"/>
        <w:ind w:left="432" w:leftChars="0" w:right="0" w:rightChars="0" w:hanging="432" w:firstLineChars="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项目概述及简介</w:t>
      </w:r>
    </w:p>
    <w:p w14:paraId="19B7C8E7">
      <w:pPr>
        <w:pStyle w:val="4"/>
        <w:pageBreakBefore w:val="0"/>
        <w:widowControl w:val="0"/>
        <w:numPr>
          <w:ilvl w:val="0"/>
          <w:numId w:val="11"/>
        </w:numPr>
        <w:kinsoku/>
        <w:wordWrap/>
        <w:overflowPunct/>
        <w:topLinePunct w:val="0"/>
        <w:autoSpaceDE/>
        <w:autoSpaceDN/>
        <w:bidi w:val="0"/>
        <w:adjustRightInd/>
        <w:snapToGrid/>
        <w:spacing w:line="360" w:lineRule="auto"/>
        <w:ind w:leftChars="0" w:right="0" w:rightChars="0"/>
        <w:textAlignment w:val="auto"/>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pPr>
      <w:r>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t>1. 应用背景</w:t>
      </w:r>
    </w:p>
    <w:p w14:paraId="16F5621A">
      <w:pPr>
        <w:pStyle w:val="4"/>
        <w:pageBreakBefore w:val="0"/>
        <w:widowControl w:val="0"/>
        <w:numPr>
          <w:ilvl w:val="1"/>
          <w:numId w:val="0"/>
        </w:numPr>
        <w:kinsoku/>
        <w:wordWrap/>
        <w:overflowPunct/>
        <w:topLinePunct w:val="0"/>
        <w:autoSpaceDE/>
        <w:autoSpaceDN/>
        <w:bidi w:val="0"/>
        <w:adjustRightInd/>
        <w:snapToGrid/>
        <w:spacing w:line="360" w:lineRule="auto"/>
        <w:ind w:leftChars="0" w:right="0" w:rightChars="0" w:firstLine="480" w:firstLineChars="200"/>
        <w:textAlignment w:val="auto"/>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pPr>
      <w:r>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t>森林火灾是世界八大自然灾害之一，突发性强、破坏性大、危险性高、处置 极其困难，严重危及人民生命财产和森林资源安全，甚至引发生态灾难。森林防火是建设生态文明的基础保障，是森林资源保护的首要任务，是国家 应急管理的重要内容，事关国土生态安全，事关人民生命财产和森林资源安全， 事关“山水林田湖生命共同体”建设。现在正是全面建设生态文明的关键时期， 是随县森林防火工作乘势而上大有作为的重要战略机遇期。</w:t>
      </w:r>
    </w:p>
    <w:p w14:paraId="2FCA573F">
      <w:pPr>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pPr>
      <w:bookmarkStart w:id="40" w:name="_bookmark3"/>
      <w:bookmarkEnd w:id="40"/>
      <w:r>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t>1.2. 需求分析</w:t>
      </w:r>
    </w:p>
    <w:p w14:paraId="77B10A6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191"/>
          <w:rFonts w:hint="eastAsia" w:asciiTheme="minorEastAsia" w:hAnsiTheme="minorEastAsia" w:cstheme="minorEastAsia"/>
          <w:b w:val="0"/>
          <w:bCs/>
          <w:i w:val="0"/>
          <w:caps w:val="0"/>
          <w:spacing w:val="0"/>
          <w:w w:val="100"/>
          <w:sz w:val="24"/>
          <w:szCs w:val="24"/>
          <w:lang w:val="zh-CN" w:eastAsia="zh-CN"/>
        </w:rPr>
      </w:pPr>
      <w:r>
        <w:rPr>
          <w:rStyle w:val="191"/>
          <w:rFonts w:hint="eastAsia" w:asciiTheme="minorEastAsia" w:hAnsiTheme="minorEastAsia" w:cstheme="minorEastAsia"/>
          <w:b w:val="0"/>
          <w:bCs/>
          <w:i w:val="0"/>
          <w:caps w:val="0"/>
          <w:spacing w:val="0"/>
          <w:w w:val="100"/>
          <w:sz w:val="24"/>
          <w:szCs w:val="24"/>
          <w:lang w:val="zh-CN" w:eastAsia="zh-CN"/>
        </w:rPr>
        <w:t>我国在森林保护方面目前最重要的任务就是森林防火工作。近年来，我国层 层落实防火责任，加强防火宣传、火源管理、值班和报告制度，加快队伍建设， 加大案件查处力度，使全民防火意识普遍得到提高，防火组织体系逐步趋于完善， 基础设施建设得到加强，森林火灾预防和补救综合能力得到提高。但总体而言， 我国森林防火工作仍处于较低水平，火灾发生频率仍保持一定状态。</w:t>
      </w:r>
    </w:p>
    <w:p w14:paraId="542A6EA2">
      <w:pPr>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pPr>
      <w:bookmarkStart w:id="41" w:name="_bookmark4"/>
      <w:bookmarkEnd w:id="41"/>
      <w:r>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t>1.3. 总体目标</w:t>
      </w:r>
    </w:p>
    <w:p w14:paraId="32B86F93">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sectPr>
          <w:headerReference r:id="rId3" w:type="default"/>
          <w:footerReference r:id="rId4" w:type="default"/>
          <w:pgSz w:w="11906" w:h="16839"/>
          <w:pgMar w:top="1432" w:right="1736" w:bottom="1260" w:left="1785" w:header="871" w:footer="1092" w:gutter="0"/>
          <w:cols w:space="720" w:num="1"/>
        </w:sectPr>
      </w:pPr>
      <w:r>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t xml:space="preserve">为全面贯彻落实 2009 年国务院批复实施《全国森林防火中长期发展规划》 </w:t>
      </w:r>
      <w:r>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tab/>
      </w:r>
      <w:r>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t>(2017-2025 年) ，通过加大防火投入，加强了森林火灾预防、扑救和保障三大 体系建设，改善了重点林区森林防火装备和基础设施建设水平，提高了森林火灾 综合防控能力，通过本项目的建设，建立覆盖森林防火智能管控系统，运用现代 科技手段建设森林防火视频监控、智能预警、辅助决策及应急指挥系统，实现防 火工作的科学化、标准化、信息化和专业化，从而有效提高综合防控能力。综合 运用“3S” (GIS-地理信息系统、RS-卫星遥感、GPS-全球定位系统) 、计算 机网络和现代通讯等高新技术和手段，实现集声音、图像、报警、定位信息的全 天候、全方位、网络化的远程高清晰度的实时管控系统。同时，森林防火智能管 控预警系统建成后，将有效减轻山林区工作人员的工作强度，进一步提高护林工 作效率，推动森林管护工作由单一依靠人防向人防和技防结合、以技防为主的革，进一步提高森林管护成效、保证天然林资源安全</w:t>
      </w:r>
      <w:r>
        <w:rPr>
          <w:rStyle w:val="191"/>
          <w:rFonts w:hint="eastAsia" w:asciiTheme="minorEastAsia" w:hAnsiTheme="minorEastAsia" w:cstheme="minorEastAsia"/>
          <w:b w:val="0"/>
          <w:i w:val="0"/>
          <w:caps w:val="0"/>
          <w:spacing w:val="0"/>
          <w:w w:val="100"/>
          <w:kern w:val="2"/>
          <w:sz w:val="24"/>
          <w:szCs w:val="24"/>
          <w:lang w:val="zh-CN" w:eastAsia="zh-CN" w:bidi="ar-SA"/>
        </w:rPr>
        <w:t>。</w:t>
      </w:r>
    </w:p>
    <w:p w14:paraId="3EB917DB">
      <w:pPr>
        <w:numPr>
          <w:ilvl w:val="0"/>
          <w:numId w:val="0"/>
        </w:numPr>
        <w:rPr>
          <w:rFonts w:hint="eastAsia"/>
          <w:sz w:val="21"/>
          <w:szCs w:val="21"/>
          <w:lang w:val="en-US" w:eastAsia="zh-CN"/>
        </w:rPr>
      </w:pPr>
    </w:p>
    <w:p w14:paraId="5B75F3C3">
      <w:pPr>
        <w:numPr>
          <w:ilvl w:val="0"/>
          <w:numId w:val="0"/>
        </w:numP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三、国家相关行政主管部门颁布的标准、规范</w:t>
      </w:r>
    </w:p>
    <w:p w14:paraId="7C0989A8">
      <w:pPr>
        <w:snapToGrid/>
        <w:spacing w:before="0" w:beforeAutospacing="0" w:after="0" w:afterAutospacing="0" w:line="240" w:lineRule="auto"/>
        <w:ind w:firstLine="480" w:firstLineChars="200"/>
        <w:jc w:val="both"/>
        <w:textAlignment w:val="baseline"/>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pPr>
    </w:p>
    <w:p w14:paraId="20178D24">
      <w:pPr>
        <w:snapToGrid/>
        <w:spacing w:before="0" w:beforeAutospacing="0" w:after="0" w:afterAutospacing="0" w:line="240" w:lineRule="auto"/>
        <w:ind w:firstLine="480" w:firstLineChars="200"/>
        <w:jc w:val="both"/>
        <w:textAlignment w:val="baseline"/>
        <w:rPr>
          <w:rFonts w:hint="eastAsia"/>
          <w:lang w:val="en-US" w:eastAsia="zh-CN"/>
        </w:rPr>
      </w:pPr>
      <w:r>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t>采购内容需执行国家相关标准、行业标准、地方标准或者其他标准、规范</w:t>
      </w:r>
      <w:r>
        <w:rPr>
          <w:rStyle w:val="191"/>
          <w:rFonts w:hint="eastAsia" w:asciiTheme="minorEastAsia" w:hAnsiTheme="minorEastAsia" w:cstheme="minorEastAsia"/>
          <w:b w:val="0"/>
          <w:i w:val="0"/>
          <w:caps w:val="0"/>
          <w:spacing w:val="0"/>
          <w:w w:val="100"/>
          <w:kern w:val="2"/>
          <w:sz w:val="24"/>
          <w:szCs w:val="24"/>
          <w:lang w:val="zh-CN" w:eastAsia="zh-CN" w:bidi="ar-SA"/>
        </w:rPr>
        <w:t>。</w:t>
      </w:r>
    </w:p>
    <w:p w14:paraId="7983E584">
      <w:pPr>
        <w:pStyle w:val="4"/>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四、技术、服务要求</w:t>
      </w:r>
    </w:p>
    <w:p w14:paraId="2951252A">
      <w:pPr>
        <w:keepNext w:val="0"/>
        <w:keepLines w:val="0"/>
        <w:pageBreakBefore w:val="0"/>
        <w:widowControl w:val="0"/>
        <w:kinsoku/>
        <w:wordWrap/>
        <w:overflowPunct/>
        <w:topLinePunct w:val="0"/>
        <w:bidi w:val="0"/>
        <w:adjustRightInd/>
        <w:snapToGrid/>
        <w:spacing w:line="360" w:lineRule="auto"/>
        <w:ind w:left="773" w:leftChars="26" w:right="0" w:rightChars="0" w:hanging="718"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说明：</w:t>
      </w:r>
      <w:r>
        <w:rPr>
          <w:rFonts w:hint="eastAsia" w:asciiTheme="minorEastAsia" w:hAnsiTheme="minorEastAsia" w:eastAsiaTheme="minorEastAsia" w:cstheme="minorEastAsia"/>
          <w:color w:val="auto"/>
          <w:sz w:val="24"/>
          <w:szCs w:val="24"/>
        </w:rPr>
        <w:t>1、投标人在投标文件《技术、服务要求响应、偏离说明表》中未对以下技术、</w:t>
      </w:r>
      <w:r>
        <w:rPr>
          <w:rFonts w:hint="eastAsia" w:asciiTheme="minorEastAsia" w:hAnsiTheme="minorEastAsia" w:eastAsiaTheme="minorEastAsia" w:cstheme="minorEastAsia"/>
          <w:color w:val="auto"/>
          <w:sz w:val="24"/>
          <w:szCs w:val="24"/>
          <w:lang w:val="en-US" w:eastAsia="zh-CN"/>
        </w:rPr>
        <w:t xml:space="preserve"> </w:t>
      </w:r>
    </w:p>
    <w:p w14:paraId="59991F11">
      <w:pPr>
        <w:keepNext w:val="0"/>
        <w:keepLines w:val="0"/>
        <w:pageBreakBefore w:val="0"/>
        <w:widowControl w:val="0"/>
        <w:kinsoku/>
        <w:wordWrap/>
        <w:overflowPunct/>
        <w:topLinePunct w:val="0"/>
        <w:bidi w:val="0"/>
        <w:adjustRightInd/>
        <w:snapToGrid/>
        <w:spacing w:line="360" w:lineRule="auto"/>
        <w:ind w:left="773" w:leftChars="368" w:right="0" w:rightChars="0" w:firstLine="2" w:firstLineChars="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服务要求逐条说明响应或偏离情况的，其投标</w:t>
      </w:r>
      <w:r>
        <w:rPr>
          <w:rFonts w:hint="eastAsia" w:asciiTheme="minorEastAsia" w:hAnsiTheme="minorEastAsia" w:eastAsiaTheme="minorEastAsia" w:cstheme="minorEastAsia"/>
          <w:b/>
          <w:bCs/>
          <w:color w:val="auto"/>
          <w:sz w:val="24"/>
          <w:szCs w:val="24"/>
        </w:rPr>
        <w:t>按无效投标处理</w:t>
      </w:r>
      <w:r>
        <w:rPr>
          <w:rFonts w:hint="eastAsia" w:asciiTheme="minorEastAsia" w:hAnsiTheme="minorEastAsia" w:eastAsiaTheme="minorEastAsia" w:cstheme="minorEastAsia"/>
          <w:color w:val="auto"/>
          <w:sz w:val="24"/>
          <w:szCs w:val="24"/>
        </w:rPr>
        <w:t>。</w:t>
      </w:r>
    </w:p>
    <w:p w14:paraId="0B6B110E">
      <w:pPr>
        <w:keepNext w:val="0"/>
        <w:keepLines w:val="0"/>
        <w:pageBreakBefore w:val="0"/>
        <w:widowControl w:val="0"/>
        <w:kinsoku/>
        <w:wordWrap/>
        <w:overflowPunct/>
        <w:topLinePunct w:val="0"/>
        <w:bidi w:val="0"/>
        <w:adjustRightInd/>
        <w:snapToGrid/>
        <w:spacing w:line="360" w:lineRule="auto"/>
        <w:ind w:left="0" w:leftChars="0" w:right="0" w:rightChars="0" w:firstLine="840" w:firstLineChars="350"/>
        <w:textAlignment w:val="auto"/>
        <w:rPr>
          <w:rFonts w:hint="default" w:eastAsiaTheme="minorEastAsia"/>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下表标注有</w:t>
      </w:r>
      <w:r>
        <w:rPr>
          <w:rFonts w:hint="eastAsia" w:asciiTheme="minorEastAsia" w:hAnsiTheme="minorEastAsia" w:eastAsiaTheme="minorEastAsia" w:cstheme="minorEastAsia"/>
          <w:b/>
          <w:color w:val="auto"/>
          <w:sz w:val="24"/>
          <w:szCs w:val="24"/>
        </w:rPr>
        <w:t>“</w:t>
      </w:r>
      <w:r>
        <w:rPr>
          <w:rFonts w:hint="eastAsia" w:ascii="宋体" w:hAnsi="宋体" w:eastAsia="宋体" w:cs="宋体"/>
          <w:kern w:val="2"/>
          <w:sz w:val="21"/>
          <w:szCs w:val="21"/>
        </w:rPr>
        <w:t>▲</w:t>
      </w:r>
      <w:r>
        <w:rPr>
          <w:rFonts w:hint="eastAsia" w:asciiTheme="minorEastAsia" w:hAnsiTheme="minorEastAsia" w:eastAsiaTheme="minorEastAsia" w:cstheme="minorEastAsia"/>
          <w:b/>
          <w:color w:val="auto"/>
          <w:sz w:val="24"/>
          <w:szCs w:val="24"/>
        </w:rPr>
        <w:t>”号</w:t>
      </w:r>
      <w:r>
        <w:rPr>
          <w:rFonts w:hint="eastAsia" w:asciiTheme="minorEastAsia" w:hAnsiTheme="minorEastAsia" w:eastAsiaTheme="minorEastAsia" w:cstheme="minorEastAsia"/>
          <w:color w:val="auto"/>
          <w:sz w:val="24"/>
          <w:szCs w:val="24"/>
        </w:rPr>
        <w:t>的条款，为</w:t>
      </w:r>
      <w:r>
        <w:rPr>
          <w:rFonts w:hint="eastAsia" w:asciiTheme="minorEastAsia" w:hAnsiTheme="minorEastAsia" w:eastAsiaTheme="minorEastAsia" w:cstheme="minorEastAsia"/>
          <w:b/>
          <w:color w:val="auto"/>
          <w:sz w:val="24"/>
          <w:szCs w:val="24"/>
        </w:rPr>
        <w:t xml:space="preserve"> “评审因素及评分标准”</w:t>
      </w:r>
      <w:r>
        <w:rPr>
          <w:rFonts w:hint="eastAsia" w:asciiTheme="minorEastAsia" w:hAnsiTheme="minorEastAsia" w:eastAsiaTheme="minorEastAsia" w:cstheme="minorEastAsia"/>
          <w:color w:val="auto"/>
          <w:sz w:val="24"/>
          <w:szCs w:val="24"/>
        </w:rPr>
        <w:t>中的评分内容。</w:t>
      </w:r>
    </w:p>
    <w:tbl>
      <w:tblPr>
        <w:tblStyle w:val="4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7"/>
        <w:gridCol w:w="848"/>
        <w:gridCol w:w="7057"/>
        <w:gridCol w:w="527"/>
      </w:tblGrid>
      <w:tr w14:paraId="1DD4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487" w:type="dxa"/>
            <w:noWrap/>
            <w:tcMar>
              <w:top w:w="15" w:type="dxa"/>
              <w:left w:w="15" w:type="dxa"/>
              <w:bottom w:w="0" w:type="dxa"/>
              <w:right w:w="15" w:type="dxa"/>
            </w:tcMar>
            <w:vAlign w:val="center"/>
          </w:tcPr>
          <w:p w14:paraId="26EF758E">
            <w:pPr>
              <w:jc w:val="center"/>
              <w:rPr>
                <w:rFonts w:hint="eastAsia" w:ascii="宋体" w:hAnsi="宋体" w:eastAsia="宋体" w:cs="宋体"/>
                <w:sz w:val="24"/>
                <w:szCs w:val="24"/>
              </w:rPr>
            </w:pPr>
            <w:bookmarkStart w:id="42" w:name="_Toc75007956"/>
            <w:bookmarkStart w:id="43" w:name="_Toc1458936"/>
            <w:r>
              <w:rPr>
                <w:rFonts w:hint="eastAsia" w:ascii="宋体" w:hAnsi="宋体" w:eastAsia="宋体" w:cs="宋体"/>
                <w:sz w:val="24"/>
                <w:szCs w:val="24"/>
              </w:rPr>
              <w:t>序号</w:t>
            </w:r>
          </w:p>
        </w:tc>
        <w:tc>
          <w:tcPr>
            <w:tcW w:w="848" w:type="dxa"/>
            <w:noWrap/>
            <w:tcMar>
              <w:top w:w="15" w:type="dxa"/>
              <w:left w:w="15" w:type="dxa"/>
              <w:bottom w:w="0" w:type="dxa"/>
              <w:right w:w="15" w:type="dxa"/>
            </w:tcMar>
            <w:vAlign w:val="center"/>
          </w:tcPr>
          <w:p w14:paraId="690549C6">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7057" w:type="dxa"/>
            <w:noWrap/>
            <w:tcMar>
              <w:top w:w="15" w:type="dxa"/>
              <w:left w:w="15" w:type="dxa"/>
              <w:bottom w:w="0" w:type="dxa"/>
              <w:right w:w="15" w:type="dxa"/>
            </w:tcMar>
            <w:vAlign w:val="center"/>
          </w:tcPr>
          <w:p w14:paraId="1C621C7E">
            <w:pPr>
              <w:jc w:val="center"/>
              <w:rPr>
                <w:rFonts w:hint="eastAsia" w:ascii="宋体" w:hAnsi="宋体" w:eastAsia="宋体" w:cs="宋体"/>
                <w:sz w:val="24"/>
                <w:szCs w:val="24"/>
              </w:rPr>
            </w:pPr>
            <w:r>
              <w:rPr>
                <w:rFonts w:hint="eastAsia" w:ascii="宋体" w:hAnsi="宋体" w:eastAsia="宋体" w:cs="宋体"/>
                <w:b/>
                <w:sz w:val="24"/>
                <w:szCs w:val="24"/>
              </w:rPr>
              <w:t>功能及技术参数</w:t>
            </w:r>
          </w:p>
        </w:tc>
        <w:tc>
          <w:tcPr>
            <w:tcW w:w="527" w:type="dxa"/>
            <w:noWrap/>
            <w:tcMar>
              <w:top w:w="15" w:type="dxa"/>
              <w:left w:w="15" w:type="dxa"/>
              <w:bottom w:w="0" w:type="dxa"/>
              <w:right w:w="15" w:type="dxa"/>
            </w:tcMar>
            <w:vAlign w:val="center"/>
          </w:tcPr>
          <w:p w14:paraId="1FCA109B">
            <w:pPr>
              <w:widowControl/>
              <w:spacing w:line="360" w:lineRule="auto"/>
              <w:jc w:val="center"/>
              <w:rPr>
                <w:rFonts w:hint="eastAsia" w:ascii="宋体" w:hAnsi="宋体" w:eastAsia="宋体" w:cs="宋体"/>
                <w:sz w:val="24"/>
                <w:szCs w:val="24"/>
              </w:rPr>
            </w:pPr>
            <w:r>
              <w:rPr>
                <w:rFonts w:hint="eastAsia" w:ascii="宋体" w:hAnsi="宋体" w:eastAsia="宋体" w:cs="宋体"/>
                <w:b/>
                <w:sz w:val="24"/>
                <w:szCs w:val="24"/>
              </w:rPr>
              <w:t>评审点</w:t>
            </w:r>
            <w:r>
              <w:rPr>
                <w:rFonts w:hint="eastAsia" w:ascii="宋体" w:hAnsi="宋体" w:eastAsia="宋体" w:cs="宋体"/>
                <w:kern w:val="2"/>
                <w:sz w:val="21"/>
                <w:szCs w:val="21"/>
              </w:rPr>
              <w:t>▲</w:t>
            </w:r>
          </w:p>
        </w:tc>
      </w:tr>
      <w:tr w14:paraId="23EF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8919" w:type="dxa"/>
            <w:gridSpan w:val="4"/>
            <w:noWrap w:val="0"/>
            <w:tcMar>
              <w:top w:w="15" w:type="dxa"/>
              <w:left w:w="15" w:type="dxa"/>
              <w:bottom w:w="0" w:type="dxa"/>
              <w:right w:w="15" w:type="dxa"/>
            </w:tcMar>
            <w:vAlign w:val="center"/>
          </w:tcPr>
          <w:p w14:paraId="730F56E2">
            <w:pPr>
              <w:spacing w:line="360" w:lineRule="exact"/>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一、大屏显示设备</w:t>
            </w:r>
          </w:p>
        </w:tc>
      </w:tr>
      <w:tr w14:paraId="717E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23AC18DA">
            <w:pPr>
              <w:widowControl/>
              <w:jc w:val="center"/>
              <w:rPr>
                <w:rFonts w:hint="eastAsia" w:ascii="等线" w:hAnsi="等线" w:eastAsia="等线" w:cs="宋体"/>
                <w:color w:val="000000"/>
                <w:kern w:val="0"/>
                <w:sz w:val="24"/>
                <w:szCs w:val="24"/>
                <w:lang w:val="en-US" w:eastAsia="zh-CN" w:bidi="ar-SA"/>
              </w:rPr>
            </w:pPr>
            <w:r>
              <w:rPr>
                <w:rFonts w:hint="eastAsia" w:ascii="等线" w:hAnsi="等线" w:eastAsia="等线" w:cs="宋体"/>
                <w:color w:val="000000"/>
                <w:kern w:val="0"/>
                <w:sz w:val="24"/>
                <w:szCs w:val="24"/>
                <w:lang w:val="en-US" w:eastAsia="zh-CN"/>
              </w:rPr>
              <w:t>1</w:t>
            </w:r>
          </w:p>
        </w:tc>
        <w:tc>
          <w:tcPr>
            <w:tcW w:w="848" w:type="dxa"/>
            <w:noWrap/>
            <w:tcMar>
              <w:top w:w="15" w:type="dxa"/>
              <w:left w:w="15" w:type="dxa"/>
              <w:bottom w:w="0" w:type="dxa"/>
              <w:right w:w="15" w:type="dxa"/>
            </w:tcMar>
            <w:vAlign w:val="center"/>
          </w:tcPr>
          <w:p w14:paraId="7EE21E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液晶</w:t>
            </w:r>
          </w:p>
          <w:p w14:paraId="2F1E2D84">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拼接单元</w:t>
            </w:r>
          </w:p>
        </w:tc>
        <w:tc>
          <w:tcPr>
            <w:tcW w:w="7057" w:type="dxa"/>
            <w:noWrap/>
            <w:tcMar>
              <w:top w:w="15" w:type="dxa"/>
              <w:left w:w="15" w:type="dxa"/>
              <w:bottom w:w="0" w:type="dxa"/>
              <w:right w:w="15" w:type="dxa"/>
            </w:tcMar>
            <w:vAlign w:val="center"/>
          </w:tcPr>
          <w:p w14:paraId="2D3C7B9E">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显示尺寸： 55英寸，LED背光源；</w:t>
            </w:r>
          </w:p>
          <w:p w14:paraId="73C0D9DE">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采用工业级的全高清液晶面板，整机全金属结构，超窄物理拼缝≤0.88 mm；支持7×24不间断工作；</w:t>
            </w:r>
          </w:p>
          <w:p w14:paraId="5DDE211B">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 亮度≥500cd/m2（需提供公安部检测报告复印件加盖制造商公章）</w:t>
            </w:r>
          </w:p>
          <w:p w14:paraId="0465A9E9">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 ★亮度均匀性≥75%；亮度鉴别等级≥11级；（需提供公安部安全与警用检测中心报告复印件加盖制造商公章）</w:t>
            </w:r>
          </w:p>
          <w:p w14:paraId="77736ABD">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 ★分辨率 ≥1920*1080；水平分辨力检验≥1000TVL；色彩≥32Bit (D) ；（需提供公安部检测报告复印件加盖制造商公章）</w:t>
            </w:r>
          </w:p>
          <w:p w14:paraId="516263B8">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 ★输入接口：≥2路HDMI输入（其中一路HDMI接口支持4K视频信号）；≥1路DVI输入；≥1路DP输入；1路RS232输入；1路USB；  输出接口：≥1路DVI输出；1路RS232输出； （需提供公安部检测报告复印件加盖制造商公章）</w:t>
            </w:r>
          </w:p>
          <w:p w14:paraId="6C8BD550">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 ★屏幕漏光度小于0.004cd/㎡。响应时间≤6ms（需提供公安部检测报告复印件加盖制造商公章）</w:t>
            </w:r>
          </w:p>
          <w:p w14:paraId="56A2FB11">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 整机一体化的无风扇散热方案设计，工作噪声小；</w:t>
            </w:r>
          </w:p>
          <w:p w14:paraId="1D4AA2D2">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 ★液晶拼接屏待机功耗≤0.5W; （需提供公安部检测报告复印件加盖制造商公章）</w:t>
            </w:r>
          </w:p>
          <w:p w14:paraId="23C0FED7">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 应用最新色彩校正技术及独特宽视角处理技术，对动、静态图像画面处理更具专业性，可视角度可达178°以上，使得画质清晰、逼真，还原性更好、层次感更突出。</w:t>
            </w:r>
          </w:p>
          <w:p w14:paraId="27A4680A">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 为保证整机散热，采用千万级使用检验的专业电源方案及一体化的结构设计，保证整机散热，不需外加风扇散热，大大提高系统可靠性防噪，静音效果好；</w:t>
            </w:r>
          </w:p>
          <w:p w14:paraId="3034CFE3">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 ★通过电源电压适应性实验：供电范围在AC100V-AC240V、50HZ-60HZ范围内变化时，整机无需调整能够正常工作；（需提供公安部检测报告复印件加盖制造商公章）</w:t>
            </w:r>
          </w:p>
          <w:p w14:paraId="7031E4BA">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 ★通过抗电强度试验、绝缘电阻试验和泄露电流试验，能够保证长期工作可靠性和安全性；（需提供公安部检测报告复印件加盖制造商公章）</w:t>
            </w:r>
          </w:p>
          <w:p w14:paraId="5CFCDEB7">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14大屏拼接完成后，不需要增加任何分配器或控制器，自行通过端口的环通功能直接进行画面拼控，能够自由进行几块屏之间的画面组合。</w:t>
            </w:r>
          </w:p>
          <w:p w14:paraId="261592B5">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 具有环通拼接模式；显示单元支持边缘屏蔽功能，智能去除黑边功能，可消除显示终端上存在的黑边，及因拼缝带来的图像变形；</w:t>
            </w:r>
          </w:p>
          <w:p w14:paraId="4C686A31">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 ★机器背板标志应注明制造商名称或商标、设备的型号及名称等信息；标志应不易被擦除；（需提供公安部检测报告复印件加盖制造商公章）</w:t>
            </w:r>
          </w:p>
          <w:p w14:paraId="1074400F">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 ★显示单元通过GB 16796-2009《安全防范报警设备安全要求和试验方法》，并符合跌落试验要求。（需提供公安部检测报告复印件加盖制造商公章）</w:t>
            </w:r>
          </w:p>
          <w:p w14:paraId="5D73656C">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 ★产品资质要求：</w:t>
            </w:r>
          </w:p>
          <w:p w14:paraId="7A9648A0">
            <w:pP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产品具有3C和节能认证（提供中国质量认证中心颁发的证书）；产品符合《电器电子产品有害物质限制使用自愿性认证实施规则》及CVC13001-2019《国推自愿性产品认证实施细则 电器电子产品有害物质限制使用认证》的要求；产品入围国家政采节能清单。（提供财政部指定政府采购信息网络发布媒体国家级政府采购专业网站查询到的节能清单截图）</w:t>
            </w:r>
          </w:p>
        </w:tc>
        <w:tc>
          <w:tcPr>
            <w:tcW w:w="527" w:type="dxa"/>
            <w:noWrap/>
            <w:tcMar>
              <w:top w:w="15" w:type="dxa"/>
              <w:left w:w="15" w:type="dxa"/>
              <w:bottom w:w="0" w:type="dxa"/>
              <w:right w:w="15" w:type="dxa"/>
            </w:tcMar>
            <w:vAlign w:val="center"/>
          </w:tcPr>
          <w:p w14:paraId="7E78682F">
            <w:pPr>
              <w:spacing w:line="360" w:lineRule="exact"/>
              <w:jc w:val="left"/>
              <w:rPr>
                <w:rFonts w:hint="eastAsia" w:ascii="宋体" w:hAnsi="宋体" w:eastAsia="宋体" w:cs="宋体"/>
                <w:b/>
                <w:sz w:val="24"/>
                <w:szCs w:val="24"/>
              </w:rPr>
            </w:pPr>
            <w:r>
              <w:rPr>
                <w:rFonts w:hint="eastAsia" w:ascii="宋体" w:hAnsi="宋体" w:eastAsia="宋体" w:cs="宋体"/>
                <w:kern w:val="2"/>
                <w:sz w:val="21"/>
                <w:szCs w:val="21"/>
              </w:rPr>
              <w:t>▲</w:t>
            </w:r>
          </w:p>
        </w:tc>
      </w:tr>
      <w:tr w14:paraId="3CE9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21C8A5FE">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48" w:type="dxa"/>
            <w:noWrap/>
            <w:tcMar>
              <w:top w:w="15" w:type="dxa"/>
              <w:left w:w="15" w:type="dxa"/>
              <w:bottom w:w="0" w:type="dxa"/>
              <w:right w:w="15" w:type="dxa"/>
            </w:tcMar>
            <w:vAlign w:val="center"/>
          </w:tcPr>
          <w:p w14:paraId="6DD13478">
            <w:pPr>
              <w:spacing w:line="360" w:lineRule="exact"/>
              <w:jc w:val="left"/>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立柜式拼接屏钢结构（3*4立柜拼接）</w:t>
            </w:r>
          </w:p>
        </w:tc>
        <w:tc>
          <w:tcPr>
            <w:tcW w:w="7057" w:type="dxa"/>
            <w:noWrap/>
            <w:tcMar>
              <w:top w:w="15" w:type="dxa"/>
              <w:left w:w="15" w:type="dxa"/>
              <w:bottom w:w="0" w:type="dxa"/>
              <w:right w:w="15" w:type="dxa"/>
            </w:tcMar>
            <w:vAlign w:val="center"/>
          </w:tcPr>
          <w:p w14:paraId="389A7AC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支架均采用SPCC优质冷轧钢板保障质量的源头；表面采用静电喷塑工艺，喷塑固化温度180-210度，涂层厚度80-100微米，对高防腐要求产品还可选择阴极电泳底漆工艺，防腐耐锈。</w:t>
            </w:r>
          </w:p>
          <w:p w14:paraId="4BCC976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默认参数</w:t>
            </w:r>
          </w:p>
          <w:p w14:paraId="3031F64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颜色：黑色</w:t>
            </w:r>
          </w:p>
          <w:p w14:paraId="167F0A0F">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后拉杆长度：600-900mm</w:t>
            </w:r>
          </w:p>
          <w:p w14:paraId="67B9C43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弧度：0°</w:t>
            </w:r>
          </w:p>
          <w:p w14:paraId="2B76A4D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开门及封板：底座前封板，含侧封板、顶盖板，无后门结构</w:t>
            </w:r>
          </w:p>
          <w:p w14:paraId="4E861A0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LOGO：HIKVISION</w:t>
            </w:r>
          </w:p>
          <w:p w14:paraId="20380DB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表面处理：静电喷塑</w:t>
            </w:r>
          </w:p>
          <w:p w14:paraId="4D47F11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底座高度：600/800/1000/1200mm</w:t>
            </w:r>
          </w:p>
          <w:p w14:paraId="126C6E4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厚度：400mm</w:t>
            </w:r>
          </w:p>
          <w:p w14:paraId="29AC5E2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材料：SPCC高强度钢板</w:t>
            </w:r>
          </w:p>
          <w:p w14:paraId="738C74C6">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定制参数</w:t>
            </w:r>
          </w:p>
          <w:p w14:paraId="25353BA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颜色：71599、71721、81390、81548、81962及92079</w:t>
            </w:r>
          </w:p>
          <w:p w14:paraId="4D76382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开门及封板：前开门、后封板</w:t>
            </w:r>
          </w:p>
          <w:p w14:paraId="4F22F9F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后拉杆长度：不宜超过3m</w:t>
            </w:r>
          </w:p>
          <w:p w14:paraId="187EA02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LOGO：中性</w:t>
            </w:r>
          </w:p>
          <w:p w14:paraId="353D0B69">
            <w:pPr>
              <w:spacing w:line="360" w:lineRule="exact"/>
              <w:jc w:val="left"/>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底座高度：需求定制</w:t>
            </w:r>
          </w:p>
        </w:tc>
        <w:tc>
          <w:tcPr>
            <w:tcW w:w="527" w:type="dxa"/>
            <w:noWrap/>
            <w:tcMar>
              <w:top w:w="15" w:type="dxa"/>
              <w:left w:w="15" w:type="dxa"/>
              <w:bottom w:w="0" w:type="dxa"/>
              <w:right w:w="15" w:type="dxa"/>
            </w:tcMar>
            <w:vAlign w:val="center"/>
          </w:tcPr>
          <w:p w14:paraId="6114CCA0">
            <w:pPr>
              <w:spacing w:line="360" w:lineRule="exact"/>
              <w:jc w:val="left"/>
              <w:rPr>
                <w:rFonts w:hint="eastAsia" w:ascii="宋体" w:hAnsi="宋体" w:eastAsia="宋体" w:cs="宋体"/>
                <w:b/>
                <w:sz w:val="24"/>
                <w:szCs w:val="24"/>
              </w:rPr>
            </w:pPr>
          </w:p>
        </w:tc>
      </w:tr>
      <w:tr w14:paraId="10CC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3B887333">
            <w:pPr>
              <w:spacing w:line="360" w:lineRule="exact"/>
              <w:rPr>
                <w:rFonts w:hint="eastAsia" w:ascii="宋体" w:hAnsi="宋体" w:eastAsia="宋体" w:cs="宋体"/>
                <w:sz w:val="24"/>
                <w:szCs w:val="24"/>
                <w:lang w:val="en-US" w:eastAsia="zh-CN"/>
              </w:rPr>
            </w:pPr>
          </w:p>
          <w:p w14:paraId="424CEF9E">
            <w:pPr>
              <w:spacing w:line="360" w:lineRule="exact"/>
              <w:rPr>
                <w:rFonts w:hint="eastAsia" w:ascii="宋体" w:hAnsi="宋体" w:eastAsia="宋体" w:cs="宋体"/>
                <w:sz w:val="24"/>
                <w:szCs w:val="24"/>
                <w:lang w:val="en-US" w:eastAsia="zh-CN"/>
              </w:rPr>
            </w:pPr>
          </w:p>
          <w:p w14:paraId="1729A254">
            <w:pPr>
              <w:spacing w:line="360" w:lineRule="exact"/>
              <w:rPr>
                <w:rFonts w:hint="eastAsia" w:ascii="宋体" w:hAnsi="宋体" w:eastAsia="宋体" w:cs="宋体"/>
                <w:sz w:val="24"/>
                <w:szCs w:val="24"/>
                <w:lang w:val="en-US" w:eastAsia="zh-CN"/>
              </w:rPr>
            </w:pPr>
          </w:p>
          <w:p w14:paraId="25024A25">
            <w:pPr>
              <w:spacing w:line="360" w:lineRule="exact"/>
              <w:rPr>
                <w:rFonts w:hint="eastAsia" w:ascii="宋体" w:hAnsi="宋体" w:eastAsia="宋体" w:cs="宋体"/>
                <w:sz w:val="24"/>
                <w:szCs w:val="24"/>
                <w:lang w:val="en-US" w:eastAsia="zh-CN"/>
              </w:rPr>
            </w:pPr>
          </w:p>
          <w:p w14:paraId="58DE4FA1">
            <w:pPr>
              <w:spacing w:line="360" w:lineRule="exact"/>
              <w:rPr>
                <w:rFonts w:hint="eastAsia" w:ascii="宋体" w:hAnsi="宋体" w:eastAsia="宋体" w:cs="宋体"/>
                <w:sz w:val="24"/>
                <w:szCs w:val="24"/>
                <w:lang w:val="en-US" w:eastAsia="zh-CN"/>
              </w:rPr>
            </w:pPr>
          </w:p>
          <w:p w14:paraId="780B18F2">
            <w:pPr>
              <w:spacing w:line="360" w:lineRule="exact"/>
              <w:rPr>
                <w:rFonts w:hint="eastAsia" w:ascii="宋体" w:hAnsi="宋体" w:eastAsia="宋体" w:cs="宋体"/>
                <w:sz w:val="24"/>
                <w:szCs w:val="24"/>
                <w:lang w:val="en-US" w:eastAsia="zh-CN"/>
              </w:rPr>
            </w:pPr>
          </w:p>
          <w:p w14:paraId="54CA9959">
            <w:pPr>
              <w:spacing w:line="360" w:lineRule="exact"/>
              <w:rPr>
                <w:rFonts w:hint="eastAsia" w:ascii="宋体" w:hAnsi="宋体" w:eastAsia="宋体" w:cs="宋体"/>
                <w:sz w:val="24"/>
                <w:szCs w:val="24"/>
                <w:lang w:val="en-US" w:eastAsia="zh-CN"/>
              </w:rPr>
            </w:pPr>
          </w:p>
          <w:p w14:paraId="3E503FFD">
            <w:pPr>
              <w:spacing w:line="360" w:lineRule="exact"/>
              <w:rPr>
                <w:rFonts w:hint="eastAsia" w:ascii="宋体" w:hAnsi="宋体" w:eastAsia="宋体" w:cs="宋体"/>
                <w:sz w:val="24"/>
                <w:szCs w:val="24"/>
                <w:lang w:val="en-US" w:eastAsia="zh-CN"/>
              </w:rPr>
            </w:pPr>
          </w:p>
          <w:p w14:paraId="48337720">
            <w:pPr>
              <w:spacing w:line="360" w:lineRule="exact"/>
              <w:rPr>
                <w:rFonts w:hint="eastAsia" w:ascii="宋体" w:hAnsi="宋体" w:eastAsia="宋体" w:cs="宋体"/>
                <w:sz w:val="24"/>
                <w:szCs w:val="24"/>
                <w:lang w:val="en-US" w:eastAsia="zh-CN"/>
              </w:rPr>
            </w:pPr>
          </w:p>
          <w:p w14:paraId="41F604F6">
            <w:pPr>
              <w:spacing w:line="360" w:lineRule="exact"/>
              <w:rPr>
                <w:rFonts w:hint="eastAsia" w:ascii="宋体" w:hAnsi="宋体" w:eastAsia="宋体" w:cs="宋体"/>
                <w:sz w:val="24"/>
                <w:szCs w:val="24"/>
                <w:lang w:val="en-US" w:eastAsia="zh-CN"/>
              </w:rPr>
            </w:pPr>
          </w:p>
          <w:p w14:paraId="3F45CA85">
            <w:pPr>
              <w:spacing w:line="360" w:lineRule="exact"/>
              <w:rPr>
                <w:rFonts w:hint="eastAsia" w:ascii="宋体" w:hAnsi="宋体" w:eastAsia="宋体" w:cs="宋体"/>
                <w:sz w:val="24"/>
                <w:szCs w:val="24"/>
                <w:lang w:val="en-US" w:eastAsia="zh-CN"/>
              </w:rPr>
            </w:pPr>
          </w:p>
          <w:p w14:paraId="7D612E9C">
            <w:pPr>
              <w:spacing w:line="360" w:lineRule="exact"/>
              <w:rPr>
                <w:rFonts w:hint="eastAsia" w:ascii="宋体" w:hAnsi="宋体" w:eastAsia="宋体" w:cs="宋体"/>
                <w:sz w:val="24"/>
                <w:szCs w:val="24"/>
                <w:lang w:val="en-US" w:eastAsia="zh-CN"/>
              </w:rPr>
            </w:pPr>
          </w:p>
          <w:p w14:paraId="5659A9B3">
            <w:pPr>
              <w:spacing w:line="360" w:lineRule="exact"/>
              <w:rPr>
                <w:rFonts w:hint="eastAsia" w:ascii="宋体" w:hAnsi="宋体" w:eastAsia="宋体" w:cs="宋体"/>
                <w:sz w:val="24"/>
                <w:szCs w:val="24"/>
                <w:lang w:val="en-US" w:eastAsia="zh-CN"/>
              </w:rPr>
            </w:pPr>
          </w:p>
          <w:p w14:paraId="54AC144F">
            <w:pPr>
              <w:spacing w:line="360" w:lineRule="exact"/>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48" w:type="dxa"/>
            <w:noWrap/>
            <w:tcMar>
              <w:top w:w="15" w:type="dxa"/>
              <w:left w:w="15" w:type="dxa"/>
              <w:bottom w:w="0" w:type="dxa"/>
              <w:right w:w="15" w:type="dxa"/>
            </w:tcMar>
            <w:vAlign w:val="center"/>
          </w:tcPr>
          <w:p w14:paraId="11F5C4C5">
            <w:pPr>
              <w:spacing w:line="360" w:lineRule="exact"/>
              <w:jc w:val="left"/>
              <w:rPr>
                <w:rFonts w:hint="eastAsia" w:ascii="宋体" w:hAnsi="宋体" w:eastAsia="宋体" w:cs="宋体"/>
                <w:i w:val="0"/>
                <w:iCs w:val="0"/>
                <w:color w:val="000000"/>
                <w:kern w:val="0"/>
                <w:sz w:val="22"/>
                <w:szCs w:val="22"/>
                <w:u w:val="none"/>
                <w:lang w:val="en-US" w:eastAsia="zh-CN" w:bidi="ar"/>
              </w:rPr>
            </w:pPr>
          </w:p>
          <w:p w14:paraId="73B5D11E">
            <w:pPr>
              <w:spacing w:line="360" w:lineRule="exact"/>
              <w:jc w:val="left"/>
              <w:rPr>
                <w:rFonts w:hint="eastAsia" w:ascii="宋体" w:hAnsi="宋体" w:eastAsia="宋体" w:cs="宋体"/>
                <w:i w:val="0"/>
                <w:iCs w:val="0"/>
                <w:color w:val="000000"/>
                <w:kern w:val="0"/>
                <w:sz w:val="22"/>
                <w:szCs w:val="22"/>
                <w:u w:val="none"/>
                <w:lang w:val="en-US" w:eastAsia="zh-CN" w:bidi="ar"/>
              </w:rPr>
            </w:pPr>
          </w:p>
          <w:p w14:paraId="12996405">
            <w:pPr>
              <w:spacing w:line="360" w:lineRule="exact"/>
              <w:jc w:val="left"/>
              <w:rPr>
                <w:rFonts w:hint="eastAsia" w:ascii="宋体" w:hAnsi="宋体" w:eastAsia="宋体" w:cs="宋体"/>
                <w:i w:val="0"/>
                <w:iCs w:val="0"/>
                <w:color w:val="000000"/>
                <w:kern w:val="0"/>
                <w:sz w:val="22"/>
                <w:szCs w:val="22"/>
                <w:u w:val="none"/>
                <w:lang w:val="en-US" w:eastAsia="zh-CN" w:bidi="ar"/>
              </w:rPr>
            </w:pPr>
          </w:p>
          <w:p w14:paraId="105A47DE">
            <w:pPr>
              <w:spacing w:line="360" w:lineRule="exact"/>
              <w:jc w:val="left"/>
              <w:rPr>
                <w:rFonts w:hint="eastAsia" w:ascii="宋体" w:hAnsi="宋体" w:eastAsia="宋体" w:cs="宋体"/>
                <w:i w:val="0"/>
                <w:iCs w:val="0"/>
                <w:color w:val="000000"/>
                <w:kern w:val="0"/>
                <w:sz w:val="22"/>
                <w:szCs w:val="22"/>
                <w:u w:val="none"/>
                <w:lang w:val="en-US" w:eastAsia="zh-CN" w:bidi="ar"/>
              </w:rPr>
            </w:pPr>
          </w:p>
          <w:p w14:paraId="6A515898">
            <w:pPr>
              <w:spacing w:line="360" w:lineRule="exact"/>
              <w:jc w:val="left"/>
              <w:rPr>
                <w:rFonts w:hint="eastAsia" w:ascii="宋体" w:hAnsi="宋体" w:eastAsia="宋体" w:cs="宋体"/>
                <w:i w:val="0"/>
                <w:iCs w:val="0"/>
                <w:color w:val="000000"/>
                <w:kern w:val="0"/>
                <w:sz w:val="22"/>
                <w:szCs w:val="22"/>
                <w:u w:val="none"/>
                <w:lang w:val="en-US" w:eastAsia="zh-CN" w:bidi="ar"/>
              </w:rPr>
            </w:pPr>
          </w:p>
          <w:p w14:paraId="76DD3332">
            <w:pPr>
              <w:spacing w:line="360" w:lineRule="exact"/>
              <w:jc w:val="left"/>
              <w:rPr>
                <w:rFonts w:hint="eastAsia" w:ascii="宋体" w:hAnsi="宋体" w:eastAsia="宋体" w:cs="宋体"/>
                <w:i w:val="0"/>
                <w:iCs w:val="0"/>
                <w:color w:val="000000"/>
                <w:kern w:val="0"/>
                <w:sz w:val="22"/>
                <w:szCs w:val="22"/>
                <w:u w:val="none"/>
                <w:lang w:val="en-US" w:eastAsia="zh-CN" w:bidi="ar"/>
              </w:rPr>
            </w:pPr>
          </w:p>
          <w:p w14:paraId="311CECEA">
            <w:pPr>
              <w:spacing w:line="360" w:lineRule="exact"/>
              <w:jc w:val="left"/>
              <w:rPr>
                <w:rFonts w:hint="eastAsia" w:ascii="宋体" w:hAnsi="宋体" w:eastAsia="宋体" w:cs="宋体"/>
                <w:i w:val="0"/>
                <w:iCs w:val="0"/>
                <w:color w:val="000000"/>
                <w:kern w:val="0"/>
                <w:sz w:val="22"/>
                <w:szCs w:val="22"/>
                <w:u w:val="none"/>
                <w:lang w:val="en-US" w:eastAsia="zh-CN" w:bidi="ar"/>
              </w:rPr>
            </w:pPr>
          </w:p>
          <w:p w14:paraId="5F77BAB8">
            <w:pPr>
              <w:spacing w:line="360" w:lineRule="exact"/>
              <w:jc w:val="left"/>
              <w:rPr>
                <w:rFonts w:hint="eastAsia" w:ascii="宋体" w:hAnsi="宋体" w:eastAsia="宋体" w:cs="宋体"/>
                <w:i w:val="0"/>
                <w:iCs w:val="0"/>
                <w:color w:val="000000"/>
                <w:kern w:val="0"/>
                <w:sz w:val="22"/>
                <w:szCs w:val="22"/>
                <w:u w:val="none"/>
                <w:lang w:val="en-US" w:eastAsia="zh-CN" w:bidi="ar"/>
              </w:rPr>
            </w:pPr>
          </w:p>
          <w:p w14:paraId="2DC0A51A">
            <w:pPr>
              <w:spacing w:line="360" w:lineRule="exact"/>
              <w:jc w:val="left"/>
              <w:rPr>
                <w:rFonts w:hint="eastAsia" w:ascii="宋体" w:hAnsi="宋体" w:eastAsia="宋体" w:cs="宋体"/>
                <w:i w:val="0"/>
                <w:iCs w:val="0"/>
                <w:color w:val="000000"/>
                <w:kern w:val="0"/>
                <w:sz w:val="22"/>
                <w:szCs w:val="22"/>
                <w:u w:val="none"/>
                <w:lang w:val="en-US" w:eastAsia="zh-CN" w:bidi="ar"/>
              </w:rPr>
            </w:pPr>
          </w:p>
          <w:p w14:paraId="0CD7EFC5">
            <w:pPr>
              <w:spacing w:line="360" w:lineRule="exact"/>
              <w:jc w:val="left"/>
              <w:rPr>
                <w:rFonts w:hint="eastAsia" w:ascii="宋体" w:hAnsi="宋体" w:eastAsia="宋体" w:cs="宋体"/>
                <w:i w:val="0"/>
                <w:iCs w:val="0"/>
                <w:color w:val="000000"/>
                <w:kern w:val="0"/>
                <w:sz w:val="22"/>
                <w:szCs w:val="22"/>
                <w:u w:val="none"/>
                <w:lang w:val="en-US" w:eastAsia="zh-CN" w:bidi="ar"/>
              </w:rPr>
            </w:pPr>
          </w:p>
          <w:p w14:paraId="66222935">
            <w:pPr>
              <w:spacing w:line="360" w:lineRule="exact"/>
              <w:jc w:val="left"/>
              <w:rPr>
                <w:rFonts w:hint="eastAsia" w:ascii="宋体" w:hAnsi="宋体" w:eastAsia="宋体" w:cs="宋体"/>
                <w:i w:val="0"/>
                <w:iCs w:val="0"/>
                <w:color w:val="000000"/>
                <w:kern w:val="0"/>
                <w:sz w:val="22"/>
                <w:szCs w:val="22"/>
                <w:u w:val="none"/>
                <w:lang w:val="en-US" w:eastAsia="zh-CN" w:bidi="ar"/>
              </w:rPr>
            </w:pPr>
          </w:p>
          <w:p w14:paraId="475DD853">
            <w:pPr>
              <w:spacing w:line="360" w:lineRule="exact"/>
              <w:jc w:val="left"/>
              <w:rPr>
                <w:rFonts w:hint="eastAsia" w:ascii="宋体" w:hAnsi="宋体" w:eastAsia="宋体" w:cs="宋体"/>
                <w:i w:val="0"/>
                <w:iCs w:val="0"/>
                <w:color w:val="000000"/>
                <w:kern w:val="0"/>
                <w:sz w:val="22"/>
                <w:szCs w:val="22"/>
                <w:u w:val="none"/>
                <w:lang w:val="en-US" w:eastAsia="zh-CN" w:bidi="ar"/>
              </w:rPr>
            </w:pPr>
          </w:p>
          <w:p w14:paraId="549C3015">
            <w:pPr>
              <w:spacing w:line="360" w:lineRule="exact"/>
              <w:jc w:val="left"/>
              <w:rPr>
                <w:rFonts w:hint="eastAsia" w:ascii="宋体" w:hAnsi="宋体" w:eastAsia="宋体" w:cs="宋体"/>
                <w:i w:val="0"/>
                <w:iCs w:val="0"/>
                <w:color w:val="000000"/>
                <w:kern w:val="0"/>
                <w:sz w:val="22"/>
                <w:szCs w:val="22"/>
                <w:u w:val="none"/>
                <w:lang w:val="en-US" w:eastAsia="zh-CN" w:bidi="ar"/>
              </w:rPr>
            </w:pPr>
          </w:p>
          <w:p w14:paraId="44EDE3A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超高清解码器</w:t>
            </w:r>
          </w:p>
        </w:tc>
        <w:tc>
          <w:tcPr>
            <w:tcW w:w="7057" w:type="dxa"/>
            <w:noWrap/>
            <w:tcMar>
              <w:top w:w="15" w:type="dxa"/>
              <w:left w:w="15" w:type="dxa"/>
              <w:bottom w:w="0" w:type="dxa"/>
              <w:right w:w="15" w:type="dxa"/>
            </w:tcMar>
            <w:vAlign w:val="center"/>
          </w:tcPr>
          <w:p w14:paraId="372F4B2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5U 机箱+4 路DVI 输入+20 路HDMI 输出+单主控板+单电源</w:t>
            </w:r>
          </w:p>
          <w:p w14:paraId="0D57514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高清视音频解码器，采用Linux操作系统，运行稳定可靠</w:t>
            </w:r>
          </w:p>
          <w:p w14:paraId="1CF9567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输入接口：支持一路VGA和一路DVI接入</w:t>
            </w:r>
          </w:p>
          <w:p w14:paraId="53D868E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输出接口：支持12路HDMI和6路BNC输出，HDMI（可以转DVI-D）（奇数口）输出分辨率最高支持4K（3840*2160@30HZ）</w:t>
            </w:r>
          </w:p>
          <w:p w14:paraId="6EABC5C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编码格式：支持H.265、H.264、MPEG4、MJPEG等主流的编码格式；</w:t>
            </w:r>
          </w:p>
          <w:p w14:paraId="3261006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封装格式：支持PS、RTP、TS、ES等主流的封装格式；</w:t>
            </w:r>
          </w:p>
          <w:p w14:paraId="6139F08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音频解码：支持G.722、G.711A、G.726、G.711U、MPEG2-L2、AAC音频格式的解码；</w:t>
            </w:r>
          </w:p>
          <w:p w14:paraId="2B30C7E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解码能力：支持12路1200W，或24路800W，或36路500W，或60路300W，或96路1080P及以下分辨率同时实时解码；</w:t>
            </w:r>
          </w:p>
          <w:p w14:paraId="53AEF47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画面分割：支持1、2、4、6、8、9、10、12、16、25、36画面分割显示。</w:t>
            </w:r>
          </w:p>
          <w:p w14:paraId="0196770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网络接口：2光口，2电口</w:t>
            </w:r>
          </w:p>
          <w:p w14:paraId="4CD12C9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音频接口：支持12路音频输出，1路对讲输入，1路对讲输出</w:t>
            </w:r>
          </w:p>
          <w:p w14:paraId="32AF13F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串行接口：一个标准232接口（RJ45）、一个标准485接口</w:t>
            </w:r>
          </w:p>
          <w:p w14:paraId="3F2D423F">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报警接口：8路报警输入，8路报警输出</w:t>
            </w:r>
          </w:p>
          <w:p w14:paraId="1A646BD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产品尺寸：440mm(宽)×80mm(高)×311mm(深)</w:t>
            </w:r>
          </w:p>
          <w:p w14:paraId="117CBF6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★支持对输入的视频画面进行90°、180°、270°旋转显示。（提供封面具有CNAS认证标识的公安部报告证明。）</w:t>
            </w:r>
          </w:p>
          <w:p w14:paraId="31A2747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★设备接入具有智能行为分析功能的摄像机，可解码显示智能行为分析信息，包括移动侦测、越界入侵、区域入侵、起身离开等，并上传报警信息。（提供封面具有CNAS认证标识的公安部报告证明。）</w:t>
            </w:r>
          </w:p>
          <w:p w14:paraId="425AD40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★支持前端接入智能摄像机，直连前端人脸检测设备，可实时展示人脸检测结果，包括年龄、性别、是否戴眼镜等人脸属性信息；属性直接叠加画面显示。（提供封面具有CNAS认证标识的公安部报告证明。）</w:t>
            </w:r>
          </w:p>
          <w:p w14:paraId="24D3250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★支持黑白名单功能，可设置256个黑白名单；当设置白名单时，只允许白名单IP访问设备；当设置黑名单时，黑名单内IP无法访问设备（提供封面具有CNAS认证标识的公安部报告证明。） </w:t>
            </w:r>
          </w:p>
          <w:p w14:paraId="213355A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★输入信号接入解码器后上墙显示，支持YUV422上墙显示；（提供封面具有CNAS认证标识的公安部报告证明。）</w:t>
            </w:r>
          </w:p>
          <w:p w14:paraId="483B812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★支持PC 软件客户端、WEB 浏览器客户端、平台客户端、IPAD、可视化触控平台方式访问管理。（提供封面具有CNAS认证标识的公安部报告证明） </w:t>
            </w:r>
          </w:p>
          <w:p w14:paraId="7BB21C3F">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★设备可通过RTSP协议、ONVIF协议接入前端设备的视频流。</w:t>
            </w:r>
            <w:r>
              <w:rPr>
                <w:rFonts w:hint="eastAsia" w:ascii="宋体" w:hAnsi="宋体" w:eastAsia="宋体" w:cs="宋体"/>
                <w:b/>
                <w:bCs/>
                <w:i w:val="0"/>
                <w:iCs w:val="0"/>
                <w:color w:val="000000"/>
                <w:kern w:val="0"/>
                <w:sz w:val="22"/>
                <w:szCs w:val="22"/>
                <w:u w:val="none"/>
                <w:lang w:val="en-US" w:eastAsia="zh-CN" w:bidi="ar"/>
              </w:rPr>
              <w:t>为保证前期项目兼容性，需要能接入海康威视私有协议。</w:t>
            </w:r>
          </w:p>
        </w:tc>
        <w:tc>
          <w:tcPr>
            <w:tcW w:w="527" w:type="dxa"/>
            <w:noWrap/>
            <w:tcMar>
              <w:top w:w="15" w:type="dxa"/>
              <w:left w:w="15" w:type="dxa"/>
              <w:bottom w:w="0" w:type="dxa"/>
              <w:right w:w="15" w:type="dxa"/>
            </w:tcMar>
            <w:vAlign w:val="center"/>
          </w:tcPr>
          <w:p w14:paraId="412D0735">
            <w:pPr>
              <w:spacing w:line="360" w:lineRule="exact"/>
              <w:jc w:val="left"/>
              <w:rPr>
                <w:rFonts w:hint="eastAsia" w:ascii="宋体" w:hAnsi="宋体" w:eastAsia="宋体" w:cs="宋体"/>
                <w:b/>
                <w:sz w:val="24"/>
                <w:szCs w:val="24"/>
              </w:rPr>
            </w:pPr>
          </w:p>
          <w:p w14:paraId="690589B9">
            <w:pPr>
              <w:spacing w:line="360" w:lineRule="exact"/>
              <w:jc w:val="left"/>
              <w:rPr>
                <w:rFonts w:hint="eastAsia" w:ascii="宋体" w:hAnsi="宋体" w:eastAsia="宋体" w:cs="宋体"/>
                <w:b/>
                <w:sz w:val="24"/>
                <w:szCs w:val="24"/>
              </w:rPr>
            </w:pPr>
          </w:p>
          <w:p w14:paraId="30204CFE">
            <w:pPr>
              <w:spacing w:line="360" w:lineRule="exact"/>
              <w:jc w:val="left"/>
              <w:rPr>
                <w:rFonts w:hint="eastAsia" w:ascii="宋体" w:hAnsi="宋体" w:eastAsia="宋体" w:cs="宋体"/>
                <w:b/>
                <w:sz w:val="24"/>
                <w:szCs w:val="24"/>
              </w:rPr>
            </w:pPr>
          </w:p>
          <w:p w14:paraId="34E4138B">
            <w:pPr>
              <w:spacing w:line="360" w:lineRule="exact"/>
              <w:jc w:val="left"/>
              <w:rPr>
                <w:rFonts w:hint="eastAsia" w:ascii="宋体" w:hAnsi="宋体" w:eastAsia="宋体" w:cs="宋体"/>
                <w:b/>
                <w:sz w:val="24"/>
                <w:szCs w:val="24"/>
              </w:rPr>
            </w:pPr>
          </w:p>
          <w:p w14:paraId="2B7FE0FD">
            <w:pPr>
              <w:spacing w:line="360" w:lineRule="exact"/>
              <w:jc w:val="left"/>
              <w:rPr>
                <w:rFonts w:hint="eastAsia" w:ascii="宋体" w:hAnsi="宋体" w:eastAsia="宋体" w:cs="宋体"/>
                <w:b/>
                <w:sz w:val="24"/>
                <w:szCs w:val="24"/>
              </w:rPr>
            </w:pPr>
          </w:p>
          <w:p w14:paraId="58EDA3F2">
            <w:pPr>
              <w:spacing w:line="360" w:lineRule="exact"/>
              <w:jc w:val="left"/>
              <w:rPr>
                <w:rFonts w:hint="eastAsia" w:ascii="宋体" w:hAnsi="宋体" w:eastAsia="宋体" w:cs="宋体"/>
                <w:b/>
                <w:sz w:val="24"/>
                <w:szCs w:val="24"/>
              </w:rPr>
            </w:pPr>
          </w:p>
          <w:p w14:paraId="190ED16A">
            <w:pPr>
              <w:spacing w:line="360" w:lineRule="exact"/>
              <w:jc w:val="left"/>
              <w:rPr>
                <w:rFonts w:hint="eastAsia" w:ascii="宋体" w:hAnsi="宋体" w:eastAsia="宋体" w:cs="宋体"/>
                <w:b/>
                <w:sz w:val="24"/>
                <w:szCs w:val="24"/>
              </w:rPr>
            </w:pPr>
          </w:p>
          <w:p w14:paraId="667F46D6">
            <w:pPr>
              <w:spacing w:line="360" w:lineRule="exact"/>
              <w:jc w:val="left"/>
              <w:rPr>
                <w:rFonts w:hint="eastAsia" w:ascii="宋体" w:hAnsi="宋体" w:eastAsia="宋体" w:cs="宋体"/>
                <w:b/>
                <w:sz w:val="24"/>
                <w:szCs w:val="24"/>
              </w:rPr>
            </w:pPr>
          </w:p>
          <w:p w14:paraId="790A4586">
            <w:pPr>
              <w:spacing w:line="360" w:lineRule="exact"/>
              <w:jc w:val="left"/>
              <w:rPr>
                <w:rFonts w:hint="eastAsia" w:ascii="宋体" w:hAnsi="宋体" w:eastAsia="宋体" w:cs="宋体"/>
                <w:b/>
                <w:sz w:val="24"/>
                <w:szCs w:val="24"/>
              </w:rPr>
            </w:pPr>
          </w:p>
          <w:p w14:paraId="6BB76C0B">
            <w:pPr>
              <w:spacing w:line="360" w:lineRule="exact"/>
              <w:jc w:val="left"/>
              <w:rPr>
                <w:rFonts w:hint="eastAsia" w:ascii="宋体" w:hAnsi="宋体" w:eastAsia="宋体" w:cs="宋体"/>
                <w:b/>
                <w:sz w:val="24"/>
                <w:szCs w:val="24"/>
              </w:rPr>
            </w:pPr>
          </w:p>
          <w:p w14:paraId="5EE9B324">
            <w:pPr>
              <w:spacing w:line="360" w:lineRule="exact"/>
              <w:jc w:val="left"/>
              <w:rPr>
                <w:rFonts w:hint="eastAsia" w:ascii="宋体" w:hAnsi="宋体" w:eastAsia="宋体" w:cs="宋体"/>
                <w:b/>
                <w:sz w:val="24"/>
                <w:szCs w:val="24"/>
              </w:rPr>
            </w:pPr>
          </w:p>
          <w:p w14:paraId="4A2DBB24">
            <w:pPr>
              <w:spacing w:line="360" w:lineRule="exact"/>
              <w:jc w:val="left"/>
              <w:rPr>
                <w:rFonts w:hint="eastAsia" w:ascii="宋体" w:hAnsi="宋体" w:eastAsia="宋体" w:cs="宋体"/>
                <w:b/>
                <w:sz w:val="24"/>
                <w:szCs w:val="24"/>
              </w:rPr>
            </w:pPr>
            <w:r>
              <w:rPr>
                <w:rFonts w:hint="eastAsia" w:ascii="宋体" w:hAnsi="宋体" w:eastAsia="宋体" w:cs="宋体"/>
                <w:kern w:val="2"/>
                <w:sz w:val="21"/>
                <w:szCs w:val="21"/>
              </w:rPr>
              <w:t>▲</w:t>
            </w:r>
          </w:p>
        </w:tc>
      </w:tr>
      <w:tr w14:paraId="69E1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trPr>
        <w:tc>
          <w:tcPr>
            <w:tcW w:w="8919" w:type="dxa"/>
            <w:gridSpan w:val="4"/>
            <w:noWrap w:val="0"/>
            <w:tcMar>
              <w:top w:w="15" w:type="dxa"/>
              <w:left w:w="15" w:type="dxa"/>
              <w:bottom w:w="0" w:type="dxa"/>
              <w:right w:w="15" w:type="dxa"/>
            </w:tcMar>
            <w:vAlign w:val="center"/>
          </w:tcPr>
          <w:p w14:paraId="33987B88">
            <w:pPr>
              <w:spacing w:line="360" w:lineRule="exact"/>
              <w:jc w:val="center"/>
              <w:rPr>
                <w:rFonts w:hint="eastAsia" w:ascii="宋体" w:hAnsi="宋体" w:eastAsia="宋体" w:cs="宋体"/>
                <w:b/>
                <w:sz w:val="24"/>
                <w:szCs w:val="24"/>
                <w:lang w:eastAsia="zh-CN"/>
              </w:rPr>
            </w:pPr>
            <w:r>
              <w:rPr>
                <w:rFonts w:hint="eastAsia" w:ascii="宋体" w:hAnsi="宋体" w:eastAsia="宋体" w:cs="宋体"/>
                <w:b/>
                <w:bCs w:val="0"/>
                <w:sz w:val="24"/>
                <w:szCs w:val="24"/>
                <w:lang w:eastAsia="zh-CN"/>
              </w:rPr>
              <w:t>二、</w:t>
            </w:r>
            <w:r>
              <w:rPr>
                <w:rFonts w:hint="eastAsia" w:ascii="宋体" w:hAnsi="宋体" w:eastAsia="宋体" w:cs="宋体"/>
                <w:b/>
                <w:bCs w:val="0"/>
                <w:i w:val="0"/>
                <w:iCs w:val="0"/>
                <w:color w:val="000000"/>
                <w:kern w:val="0"/>
                <w:sz w:val="24"/>
                <w:szCs w:val="24"/>
                <w:u w:val="none"/>
                <w:lang w:val="en-US" w:eastAsia="zh-CN" w:bidi="ar"/>
              </w:rPr>
              <w:t>扩声设备</w:t>
            </w:r>
          </w:p>
        </w:tc>
      </w:tr>
      <w:tr w14:paraId="4258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24ACD58B">
            <w:pPr>
              <w:spacing w:line="360" w:lineRule="exact"/>
              <w:ind w:firstLine="240" w:firstLineChars="100"/>
              <w:rPr>
                <w:rFonts w:hint="eastAsia" w:ascii="宋体" w:hAnsi="宋体" w:eastAsia="宋体" w:cs="宋体"/>
                <w:sz w:val="24"/>
                <w:szCs w:val="24"/>
                <w:lang w:val="en-US" w:eastAsia="zh-CN"/>
              </w:rPr>
            </w:pPr>
          </w:p>
          <w:p w14:paraId="29CE186F">
            <w:pPr>
              <w:spacing w:line="360" w:lineRule="exact"/>
              <w:ind w:firstLine="240" w:firstLineChars="100"/>
              <w:rPr>
                <w:rFonts w:hint="eastAsia" w:ascii="宋体" w:hAnsi="宋体" w:eastAsia="宋体" w:cs="宋体"/>
                <w:sz w:val="24"/>
                <w:szCs w:val="24"/>
                <w:lang w:val="en-US" w:eastAsia="zh-CN"/>
              </w:rPr>
            </w:pPr>
          </w:p>
          <w:p w14:paraId="5056E5D5">
            <w:pPr>
              <w:spacing w:line="360" w:lineRule="exact"/>
              <w:ind w:firstLine="240" w:firstLineChars="100"/>
              <w:rPr>
                <w:rFonts w:hint="eastAsia" w:ascii="宋体" w:hAnsi="宋体" w:eastAsia="宋体" w:cs="宋体"/>
                <w:sz w:val="24"/>
                <w:szCs w:val="24"/>
                <w:lang w:val="en-US" w:eastAsia="zh-CN"/>
              </w:rPr>
            </w:pPr>
          </w:p>
          <w:p w14:paraId="409791C0">
            <w:pPr>
              <w:spacing w:line="360" w:lineRule="exact"/>
              <w:ind w:firstLine="240" w:firstLineChars="100"/>
              <w:rPr>
                <w:rFonts w:hint="eastAsia" w:ascii="宋体" w:hAnsi="宋体" w:eastAsia="宋体" w:cs="宋体"/>
                <w:sz w:val="24"/>
                <w:szCs w:val="24"/>
                <w:lang w:val="en-US" w:eastAsia="zh-CN"/>
              </w:rPr>
            </w:pPr>
          </w:p>
          <w:p w14:paraId="4351FF2D">
            <w:pPr>
              <w:spacing w:line="360" w:lineRule="exact"/>
              <w:ind w:firstLine="240" w:firstLineChars="100"/>
              <w:rPr>
                <w:rFonts w:hint="eastAsia" w:ascii="宋体" w:hAnsi="宋体" w:eastAsia="宋体" w:cs="宋体"/>
                <w:sz w:val="24"/>
                <w:szCs w:val="24"/>
                <w:lang w:val="en-US" w:eastAsia="zh-CN"/>
              </w:rPr>
            </w:pPr>
          </w:p>
          <w:p w14:paraId="6B6B4B5B">
            <w:pPr>
              <w:spacing w:line="360" w:lineRule="exact"/>
              <w:ind w:firstLine="240" w:firstLineChars="100"/>
              <w:rPr>
                <w:rFonts w:hint="eastAsia" w:ascii="宋体" w:hAnsi="宋体" w:eastAsia="宋体" w:cs="宋体"/>
                <w:sz w:val="24"/>
                <w:szCs w:val="24"/>
                <w:lang w:val="en-US" w:eastAsia="zh-CN"/>
              </w:rPr>
            </w:pPr>
          </w:p>
          <w:p w14:paraId="42525717">
            <w:pPr>
              <w:spacing w:line="360" w:lineRule="exact"/>
              <w:ind w:firstLine="240" w:firstLineChars="100"/>
              <w:rPr>
                <w:rFonts w:hint="eastAsia" w:ascii="宋体" w:hAnsi="宋体" w:eastAsia="宋体" w:cs="宋体"/>
                <w:sz w:val="24"/>
                <w:szCs w:val="24"/>
                <w:lang w:val="en-US" w:eastAsia="zh-CN"/>
              </w:rPr>
            </w:pPr>
          </w:p>
          <w:p w14:paraId="37430BEF">
            <w:pPr>
              <w:spacing w:line="360" w:lineRule="exact"/>
              <w:ind w:firstLine="240" w:firstLineChars="100"/>
              <w:rPr>
                <w:rFonts w:hint="eastAsia" w:ascii="宋体" w:hAnsi="宋体" w:eastAsia="宋体" w:cs="宋体"/>
                <w:sz w:val="24"/>
                <w:szCs w:val="24"/>
                <w:lang w:val="en-US" w:eastAsia="zh-CN"/>
              </w:rPr>
            </w:pPr>
          </w:p>
          <w:p w14:paraId="086F62ED">
            <w:pPr>
              <w:spacing w:line="360" w:lineRule="exact"/>
              <w:ind w:firstLine="240" w:firstLineChars="100"/>
              <w:rPr>
                <w:rFonts w:hint="eastAsia" w:ascii="宋体" w:hAnsi="宋体" w:eastAsia="宋体" w:cs="宋体"/>
                <w:sz w:val="24"/>
                <w:szCs w:val="24"/>
                <w:lang w:val="en-US" w:eastAsia="zh-CN"/>
              </w:rPr>
            </w:pPr>
          </w:p>
          <w:p w14:paraId="1364D9D3">
            <w:pPr>
              <w:spacing w:line="360" w:lineRule="exact"/>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48" w:type="dxa"/>
            <w:noWrap/>
            <w:tcMar>
              <w:top w:w="15" w:type="dxa"/>
              <w:left w:w="15" w:type="dxa"/>
              <w:bottom w:w="0" w:type="dxa"/>
              <w:right w:w="15" w:type="dxa"/>
            </w:tcMar>
            <w:vAlign w:val="center"/>
          </w:tcPr>
          <w:p w14:paraId="17A097BE">
            <w:pPr>
              <w:spacing w:line="360" w:lineRule="exact"/>
              <w:jc w:val="left"/>
              <w:rPr>
                <w:rFonts w:hint="eastAsia" w:ascii="宋体" w:hAnsi="宋体" w:eastAsia="宋体" w:cs="宋体"/>
                <w:i w:val="0"/>
                <w:iCs w:val="0"/>
                <w:color w:val="000000"/>
                <w:kern w:val="0"/>
                <w:sz w:val="22"/>
                <w:szCs w:val="22"/>
                <w:u w:val="none"/>
                <w:lang w:val="en-US" w:eastAsia="zh-CN" w:bidi="ar"/>
              </w:rPr>
            </w:pPr>
          </w:p>
          <w:p w14:paraId="65E6F027">
            <w:pPr>
              <w:spacing w:line="360" w:lineRule="exact"/>
              <w:jc w:val="left"/>
              <w:rPr>
                <w:rFonts w:hint="eastAsia" w:ascii="宋体" w:hAnsi="宋体" w:eastAsia="宋体" w:cs="宋体"/>
                <w:i w:val="0"/>
                <w:iCs w:val="0"/>
                <w:color w:val="000000"/>
                <w:kern w:val="0"/>
                <w:sz w:val="22"/>
                <w:szCs w:val="22"/>
                <w:u w:val="none"/>
                <w:lang w:val="en-US" w:eastAsia="zh-CN" w:bidi="ar"/>
              </w:rPr>
            </w:pPr>
          </w:p>
          <w:p w14:paraId="7D48F701">
            <w:pPr>
              <w:spacing w:line="360" w:lineRule="exact"/>
              <w:jc w:val="left"/>
              <w:rPr>
                <w:rFonts w:hint="eastAsia" w:ascii="宋体" w:hAnsi="宋体" w:eastAsia="宋体" w:cs="宋体"/>
                <w:i w:val="0"/>
                <w:iCs w:val="0"/>
                <w:color w:val="000000"/>
                <w:kern w:val="0"/>
                <w:sz w:val="22"/>
                <w:szCs w:val="22"/>
                <w:u w:val="none"/>
                <w:lang w:val="en-US" w:eastAsia="zh-CN" w:bidi="ar"/>
              </w:rPr>
            </w:pPr>
          </w:p>
          <w:p w14:paraId="72C1AE6D">
            <w:pPr>
              <w:spacing w:line="360" w:lineRule="exact"/>
              <w:jc w:val="left"/>
              <w:rPr>
                <w:rFonts w:hint="eastAsia" w:ascii="宋体" w:hAnsi="宋体" w:eastAsia="宋体" w:cs="宋体"/>
                <w:i w:val="0"/>
                <w:iCs w:val="0"/>
                <w:color w:val="000000"/>
                <w:kern w:val="0"/>
                <w:sz w:val="22"/>
                <w:szCs w:val="22"/>
                <w:u w:val="none"/>
                <w:lang w:val="en-US" w:eastAsia="zh-CN" w:bidi="ar"/>
              </w:rPr>
            </w:pPr>
          </w:p>
          <w:p w14:paraId="450B2282">
            <w:pPr>
              <w:spacing w:line="360" w:lineRule="exact"/>
              <w:jc w:val="left"/>
              <w:rPr>
                <w:rFonts w:hint="eastAsia" w:ascii="宋体" w:hAnsi="宋体" w:eastAsia="宋体" w:cs="宋体"/>
                <w:i w:val="0"/>
                <w:iCs w:val="0"/>
                <w:color w:val="000000"/>
                <w:kern w:val="0"/>
                <w:sz w:val="22"/>
                <w:szCs w:val="22"/>
                <w:u w:val="none"/>
                <w:lang w:val="en-US" w:eastAsia="zh-CN" w:bidi="ar"/>
              </w:rPr>
            </w:pPr>
          </w:p>
          <w:p w14:paraId="66E10446">
            <w:pPr>
              <w:spacing w:line="360" w:lineRule="exact"/>
              <w:jc w:val="left"/>
              <w:rPr>
                <w:rFonts w:hint="eastAsia" w:ascii="宋体" w:hAnsi="宋体" w:eastAsia="宋体" w:cs="宋体"/>
                <w:i w:val="0"/>
                <w:iCs w:val="0"/>
                <w:color w:val="000000"/>
                <w:kern w:val="0"/>
                <w:sz w:val="22"/>
                <w:szCs w:val="22"/>
                <w:u w:val="none"/>
                <w:lang w:val="en-US" w:eastAsia="zh-CN" w:bidi="ar"/>
              </w:rPr>
            </w:pPr>
          </w:p>
          <w:p w14:paraId="0C4EC645">
            <w:pPr>
              <w:spacing w:line="360" w:lineRule="exact"/>
              <w:jc w:val="left"/>
              <w:rPr>
                <w:rFonts w:hint="eastAsia" w:ascii="宋体" w:hAnsi="宋体" w:eastAsia="宋体" w:cs="宋体"/>
                <w:i w:val="0"/>
                <w:iCs w:val="0"/>
                <w:color w:val="000000"/>
                <w:kern w:val="0"/>
                <w:sz w:val="22"/>
                <w:szCs w:val="22"/>
                <w:u w:val="none"/>
                <w:lang w:val="en-US" w:eastAsia="zh-CN" w:bidi="ar"/>
              </w:rPr>
            </w:pPr>
          </w:p>
          <w:p w14:paraId="2AEA9217">
            <w:pPr>
              <w:spacing w:line="360" w:lineRule="exact"/>
              <w:jc w:val="left"/>
              <w:rPr>
                <w:rFonts w:hint="eastAsia" w:ascii="宋体" w:hAnsi="宋体" w:eastAsia="宋体" w:cs="宋体"/>
                <w:i w:val="0"/>
                <w:iCs w:val="0"/>
                <w:color w:val="000000"/>
                <w:kern w:val="0"/>
                <w:sz w:val="22"/>
                <w:szCs w:val="22"/>
                <w:u w:val="none"/>
                <w:lang w:val="en-US" w:eastAsia="zh-CN" w:bidi="ar"/>
              </w:rPr>
            </w:pPr>
          </w:p>
          <w:p w14:paraId="784C28F4">
            <w:pPr>
              <w:spacing w:line="360" w:lineRule="exact"/>
              <w:jc w:val="left"/>
              <w:rPr>
                <w:rFonts w:hint="eastAsia" w:ascii="宋体" w:hAnsi="宋体" w:eastAsia="宋体" w:cs="宋体"/>
                <w:i w:val="0"/>
                <w:iCs w:val="0"/>
                <w:color w:val="000000"/>
                <w:kern w:val="0"/>
                <w:sz w:val="22"/>
                <w:szCs w:val="22"/>
                <w:u w:val="none"/>
                <w:lang w:val="en-US" w:eastAsia="zh-CN" w:bidi="ar"/>
              </w:rPr>
            </w:pPr>
          </w:p>
          <w:p w14:paraId="1209359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智能数字会议系统主机</w:t>
            </w:r>
          </w:p>
        </w:tc>
        <w:tc>
          <w:tcPr>
            <w:tcW w:w="7057" w:type="dxa"/>
            <w:noWrap/>
            <w:tcMar>
              <w:top w:w="15" w:type="dxa"/>
              <w:left w:w="15" w:type="dxa"/>
              <w:bottom w:w="0" w:type="dxa"/>
              <w:right w:w="15" w:type="dxa"/>
            </w:tcMar>
            <w:vAlign w:val="center"/>
          </w:tcPr>
          <w:p w14:paraId="1B313AC9">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1.会议系统控制主机是整个会议系统核心设备，可以实现会议控制、单元设置、讨论发言、会议签到、音效控制、会议全程录音、摄像跟踪、音频输入输出、远程控制等功能；</w:t>
            </w:r>
          </w:p>
          <w:p w14:paraId="3651CD1F">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3.支持≥4.3寸高清彩屏显示和触摸操控：所有功能项及设置操作过程图形化显示，触摸屏操作直观、简单，人机交互极具人性化；</w:t>
            </w:r>
          </w:p>
          <w:p w14:paraId="0FF050C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3.支持≥2路RAC接口辅助音频输入，≥1路RAC接口辅助音频输出，≥2路XLR平衡接口音频输出，可连接专业功放；</w:t>
            </w:r>
          </w:p>
          <w:p w14:paraId="11BD668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★4.支持≥6路HDMI高清视频输入，≥6路BNC标清视频输入，≥1路HDMI输出，≥1路BNC标清输出，支持自动摄像跟踪功能；（要求生产厂家提供设备接口图片证明并加盖公章）</w:t>
            </w:r>
          </w:p>
          <w:p w14:paraId="310A4FE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5.具有≥5路8芯DIN航空母座，支持连接≥128台会议单元，通过会议扩展主机可接入≥4096台会议单元；</w:t>
            </w:r>
          </w:p>
          <w:p w14:paraId="117877D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6.具有≥1路USB接口，支持鼠标控制操作，支持全程会议录音，有自动录音和手动录音两种录音方式可选；</w:t>
            </w:r>
          </w:p>
          <w:p w14:paraId="275523D9">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★7.支持≥14段图示均衡器手动调节，可保存≥6种均衡模式，并有多种默认模式可供选择；（要求生产厂家提供会议主机该功能管理界面截图证明并加盖公章）</w:t>
            </w:r>
          </w:p>
          <w:p w14:paraId="4E9AC016">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★8.具有会议单元检测功能：在会议开始之前可对每个会议单元进行检测，检测的单元信息包含：话筒、LCD 屏、操作键、LED 指示灯、扬声器；（要求生产厂家提供会议主机该功能管理界面截图证明并加盖公章）</w:t>
            </w:r>
          </w:p>
          <w:p w14:paraId="4861ACF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9.支持设定VIP代表发言单元，可设置≥30台VIP单元；</w:t>
            </w:r>
          </w:p>
          <w:p w14:paraId="796A57B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★10.具有≥5种会议模式，包括FIFO、NORMAL、VOICE、FREE、APPLY；（要求生产厂家提供会议主机该功能管理界面截图证明并加盖公章）</w:t>
            </w:r>
          </w:p>
          <w:p w14:paraId="7D4C370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★11.支持发言定时和定时发言结束提醒倒计时：发言定时时间设置范围1-300分钟，定时发言结束提醒倒计时时间设置范围为1-60秒；（要求生产厂家提供会议主机该功能管理界面截图证明并加盖公章）</w:t>
            </w:r>
          </w:p>
        </w:tc>
        <w:tc>
          <w:tcPr>
            <w:tcW w:w="527" w:type="dxa"/>
            <w:noWrap/>
            <w:tcMar>
              <w:top w:w="15" w:type="dxa"/>
              <w:left w:w="15" w:type="dxa"/>
              <w:bottom w:w="0" w:type="dxa"/>
              <w:right w:w="15" w:type="dxa"/>
            </w:tcMar>
            <w:vAlign w:val="center"/>
          </w:tcPr>
          <w:p w14:paraId="178864FC">
            <w:pPr>
              <w:spacing w:line="360" w:lineRule="exact"/>
              <w:jc w:val="left"/>
              <w:rPr>
                <w:rFonts w:hint="eastAsia" w:ascii="宋体" w:hAnsi="宋体" w:eastAsia="宋体" w:cs="宋体"/>
                <w:b/>
                <w:sz w:val="24"/>
                <w:szCs w:val="24"/>
              </w:rPr>
            </w:pPr>
          </w:p>
          <w:p w14:paraId="19DACD6B">
            <w:pPr>
              <w:spacing w:line="360" w:lineRule="exact"/>
              <w:jc w:val="left"/>
              <w:rPr>
                <w:rFonts w:hint="eastAsia" w:ascii="宋体" w:hAnsi="宋体" w:eastAsia="宋体" w:cs="宋体"/>
                <w:b/>
                <w:sz w:val="24"/>
                <w:szCs w:val="24"/>
              </w:rPr>
            </w:pPr>
          </w:p>
          <w:p w14:paraId="7CB9209A">
            <w:pPr>
              <w:spacing w:line="360" w:lineRule="exact"/>
              <w:jc w:val="left"/>
              <w:rPr>
                <w:rFonts w:hint="eastAsia" w:ascii="宋体" w:hAnsi="宋体" w:eastAsia="宋体" w:cs="宋体"/>
                <w:b/>
                <w:sz w:val="24"/>
                <w:szCs w:val="24"/>
              </w:rPr>
            </w:pPr>
          </w:p>
          <w:p w14:paraId="0811CCDC">
            <w:pPr>
              <w:spacing w:line="360" w:lineRule="exact"/>
              <w:jc w:val="left"/>
              <w:rPr>
                <w:rFonts w:hint="eastAsia" w:ascii="宋体" w:hAnsi="宋体" w:eastAsia="宋体" w:cs="宋体"/>
                <w:b/>
                <w:sz w:val="24"/>
                <w:szCs w:val="24"/>
              </w:rPr>
            </w:pPr>
          </w:p>
          <w:p w14:paraId="3B1435F8">
            <w:pPr>
              <w:spacing w:line="360" w:lineRule="exact"/>
              <w:jc w:val="left"/>
              <w:rPr>
                <w:rFonts w:hint="eastAsia" w:ascii="宋体" w:hAnsi="宋体" w:eastAsia="宋体" w:cs="宋体"/>
                <w:b/>
                <w:sz w:val="24"/>
                <w:szCs w:val="24"/>
              </w:rPr>
            </w:pPr>
          </w:p>
          <w:p w14:paraId="073A031F">
            <w:pPr>
              <w:spacing w:line="360" w:lineRule="exact"/>
              <w:jc w:val="left"/>
              <w:rPr>
                <w:rFonts w:hint="eastAsia" w:ascii="宋体" w:hAnsi="宋体" w:eastAsia="宋体" w:cs="宋体"/>
                <w:b/>
                <w:sz w:val="24"/>
                <w:szCs w:val="24"/>
              </w:rPr>
            </w:pPr>
          </w:p>
          <w:p w14:paraId="3B76BA15">
            <w:pPr>
              <w:spacing w:line="360" w:lineRule="exact"/>
              <w:jc w:val="left"/>
              <w:rPr>
                <w:rFonts w:hint="eastAsia" w:ascii="宋体" w:hAnsi="宋体" w:eastAsia="宋体" w:cs="宋体"/>
                <w:b/>
                <w:sz w:val="24"/>
                <w:szCs w:val="24"/>
              </w:rPr>
            </w:pPr>
          </w:p>
          <w:p w14:paraId="70AC0350">
            <w:pPr>
              <w:spacing w:line="360" w:lineRule="exact"/>
              <w:jc w:val="left"/>
              <w:rPr>
                <w:rFonts w:hint="eastAsia" w:ascii="宋体" w:hAnsi="宋体" w:eastAsia="宋体" w:cs="宋体"/>
                <w:b/>
                <w:sz w:val="24"/>
                <w:szCs w:val="24"/>
              </w:rPr>
            </w:pPr>
          </w:p>
          <w:p w14:paraId="4097575E">
            <w:pPr>
              <w:spacing w:line="360" w:lineRule="exact"/>
              <w:jc w:val="left"/>
              <w:rPr>
                <w:rFonts w:hint="eastAsia" w:ascii="宋体" w:hAnsi="宋体" w:eastAsia="宋体" w:cs="宋体"/>
                <w:b/>
                <w:sz w:val="24"/>
                <w:szCs w:val="24"/>
              </w:rPr>
            </w:pPr>
          </w:p>
          <w:p w14:paraId="238B85FC">
            <w:pPr>
              <w:spacing w:line="360" w:lineRule="exact"/>
              <w:jc w:val="left"/>
              <w:rPr>
                <w:rFonts w:hint="eastAsia" w:ascii="宋体" w:hAnsi="宋体" w:eastAsia="宋体" w:cs="宋体"/>
                <w:b/>
                <w:sz w:val="24"/>
                <w:szCs w:val="24"/>
              </w:rPr>
            </w:pPr>
          </w:p>
          <w:p w14:paraId="28480167">
            <w:pPr>
              <w:spacing w:line="360" w:lineRule="exact"/>
              <w:jc w:val="left"/>
              <w:rPr>
                <w:rFonts w:hint="eastAsia" w:ascii="宋体" w:hAnsi="宋体" w:eastAsia="宋体" w:cs="宋体"/>
                <w:b/>
                <w:sz w:val="24"/>
                <w:szCs w:val="24"/>
              </w:rPr>
            </w:pPr>
            <w:r>
              <w:rPr>
                <w:rFonts w:hint="eastAsia" w:ascii="宋体" w:hAnsi="宋体" w:eastAsia="宋体" w:cs="宋体"/>
                <w:kern w:val="2"/>
                <w:sz w:val="21"/>
                <w:szCs w:val="21"/>
              </w:rPr>
              <w:t>▲</w:t>
            </w:r>
          </w:p>
        </w:tc>
      </w:tr>
      <w:tr w14:paraId="61EE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5445595A">
            <w:pPr>
              <w:spacing w:line="360" w:lineRule="exact"/>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848" w:type="dxa"/>
            <w:noWrap/>
            <w:tcMar>
              <w:top w:w="15" w:type="dxa"/>
              <w:left w:w="15" w:type="dxa"/>
              <w:bottom w:w="0" w:type="dxa"/>
              <w:right w:w="15" w:type="dxa"/>
            </w:tcMar>
            <w:vAlign w:val="center"/>
          </w:tcPr>
          <w:p w14:paraId="1BA652D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智能会议文件管理服务器</w:t>
            </w:r>
          </w:p>
        </w:tc>
        <w:tc>
          <w:tcPr>
            <w:tcW w:w="7057" w:type="dxa"/>
            <w:noWrap/>
            <w:tcMar>
              <w:top w:w="15" w:type="dxa"/>
              <w:left w:w="15" w:type="dxa"/>
              <w:bottom w:w="0" w:type="dxa"/>
              <w:right w:w="15" w:type="dxa"/>
            </w:tcMar>
            <w:vAlign w:val="center"/>
          </w:tcPr>
          <w:p w14:paraId="6277720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1.通过局域网对一个会议室或者多个会议室的多媒体智能无纸化智能会议系统进行集中有效的管理，提高多媒体无纸化智能会议系统会务信息交互传输、管理和信息备份。</w:t>
            </w:r>
          </w:p>
          <w:p w14:paraId="3ABC0296">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2.智能无纸化会议服务器搭配智能会议软件对会议室内的文件进行管理和分发，提高会议系统会务信息交互传输、管理和信息安全备份的能力。</w:t>
            </w:r>
          </w:p>
          <w:p w14:paraId="005FFB7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3.具有人员管理功能：可手动进行参会人和设备的绑定实现登录，也可通过excel进行导入参会人时可根据座位号自动进行绑定设置；</w:t>
            </w:r>
          </w:p>
          <w:p w14:paraId="4D89442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具有会议资料管理功能：支持增加、修改、删除会议目录信息，给参会人员设置目录权限、导入、修改、删除文件，进行文件排序、信息变动实时更新到客户端；支持会中临时增加、删除、修改文件，并实时更新到客户端；</w:t>
            </w:r>
          </w:p>
          <w:p w14:paraId="459AEE9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具有问卷调查管理功能：支持增加、修改、删除问卷调查条目，可通过excel导入条目，导出条目到excel，查看实名问卷的表决结果；支持结果的实时统计，支持单选、多选；（需提供第三方检测报告复印件并加盖制造商公章，检测报告内容需要包含本项要求功能检测并检测结果符合要求）</w:t>
            </w:r>
          </w:p>
          <w:p w14:paraId="7355B23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★6.具有大屏点播功能：可以对大屏进行视频点播和停止播放；（需提供第三方检测报告复印件并加盖公章，检测报告内容需要包含本项要求功能检测并检测结果符合要求）</w:t>
            </w:r>
          </w:p>
          <w:p w14:paraId="52FCE60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★7.具有外接视频功能：可实现会议相关外接视频，控制会议室设备一起播放/停止外接视频；（需提供第三方检测报告复印件并加盖制造商公章，检测报告内容需要包含本项要求功能检测并检测结果符合要求）</w:t>
            </w:r>
          </w:p>
          <w:p w14:paraId="064161D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8.具有文件归档功能：可将会议资料按照会议目录进行导出归档；可以将参会人的批注文件按照参会人姓名进行目录归档；</w:t>
            </w:r>
          </w:p>
          <w:p w14:paraId="60963F6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★9.具有文件加密功能：支持对上传的文件进行二次编码，防止文件轻易外泄；（需提供第三方检测报告复印件并加制造商公章，检测报告内容需要包含本项要求功能检测并检测结果符合要求）</w:t>
            </w:r>
          </w:p>
          <w:p w14:paraId="280D0A7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★10.具有查看批注功能：投票结束时，支持投票结果自动返回给参会人，支持批注文件的再次批注；（需提供第三方检测报告复印件并加盖公章，检测报告内容需要包含本项要求功能检测并检测结果符合要求）</w:t>
            </w:r>
          </w:p>
          <w:p w14:paraId="528D3B8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11.具有系统中控功能：通过系统后台的中控控制，可实现在线终端统一升降；支持远程控制PC会议终端开关机；</w:t>
            </w:r>
          </w:p>
          <w:p w14:paraId="47BFFA4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★12.具有标语管理功能：通过系统后台可控制已登录的参会人员显示标语通知；（需提供第三方检测报告复印件并加盖制造商公章，检测报告内容需要包含本项要求功能检测并检测结果符合要求）</w:t>
            </w:r>
          </w:p>
          <w:p w14:paraId="1177656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13.视频分发功能：支持流媒体分发功能。</w:t>
            </w:r>
          </w:p>
          <w:p w14:paraId="426158B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14.CPU频率:2.6GHz，标配CPU数量:1颗，最大CPU数量:2颗，CPU核心:12核，CPU线程数:24线程；</w:t>
            </w:r>
          </w:p>
          <w:p w14:paraId="4AC1D46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15.内存:ECC DDR4，内存容量:16GB；</w:t>
            </w:r>
          </w:p>
        </w:tc>
        <w:tc>
          <w:tcPr>
            <w:tcW w:w="527" w:type="dxa"/>
            <w:noWrap/>
            <w:tcMar>
              <w:top w:w="15" w:type="dxa"/>
              <w:left w:w="15" w:type="dxa"/>
              <w:bottom w:w="0" w:type="dxa"/>
              <w:right w:w="15" w:type="dxa"/>
            </w:tcMar>
            <w:vAlign w:val="center"/>
          </w:tcPr>
          <w:p w14:paraId="42D6D48C">
            <w:pPr>
              <w:spacing w:line="360" w:lineRule="exact"/>
              <w:jc w:val="left"/>
              <w:rPr>
                <w:rFonts w:hint="eastAsia" w:ascii="宋体" w:hAnsi="宋体" w:eastAsia="宋体" w:cs="宋体"/>
                <w:b/>
                <w:sz w:val="24"/>
                <w:szCs w:val="24"/>
              </w:rPr>
            </w:pPr>
            <w:r>
              <w:rPr>
                <w:rFonts w:hint="eastAsia" w:ascii="宋体" w:hAnsi="宋体" w:eastAsia="宋体" w:cs="宋体"/>
                <w:kern w:val="2"/>
                <w:sz w:val="21"/>
                <w:szCs w:val="21"/>
              </w:rPr>
              <w:t>▲</w:t>
            </w:r>
          </w:p>
        </w:tc>
      </w:tr>
      <w:tr w14:paraId="7886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6743733A">
            <w:pPr>
              <w:spacing w:line="360" w:lineRule="exact"/>
              <w:ind w:firstLine="240" w:firstLineChars="100"/>
              <w:rPr>
                <w:rFonts w:hint="eastAsia" w:ascii="宋体" w:hAnsi="宋体" w:eastAsia="宋体" w:cs="宋体"/>
                <w:sz w:val="24"/>
                <w:szCs w:val="24"/>
                <w:lang w:val="en-US" w:eastAsia="zh-CN"/>
              </w:rPr>
            </w:pPr>
          </w:p>
          <w:p w14:paraId="3FB3FEE6">
            <w:pPr>
              <w:spacing w:line="360" w:lineRule="exact"/>
              <w:ind w:firstLine="240" w:firstLineChars="100"/>
              <w:rPr>
                <w:rFonts w:hint="eastAsia" w:ascii="宋体" w:hAnsi="宋体" w:eastAsia="宋体" w:cs="宋体"/>
                <w:sz w:val="24"/>
                <w:szCs w:val="24"/>
                <w:lang w:val="en-US" w:eastAsia="zh-CN"/>
              </w:rPr>
            </w:pPr>
          </w:p>
          <w:p w14:paraId="724641AE">
            <w:pPr>
              <w:spacing w:line="360" w:lineRule="exact"/>
              <w:ind w:firstLine="240" w:firstLineChars="100"/>
              <w:rPr>
                <w:rFonts w:hint="eastAsia" w:ascii="宋体" w:hAnsi="宋体" w:eastAsia="宋体" w:cs="宋体"/>
                <w:sz w:val="24"/>
                <w:szCs w:val="24"/>
                <w:lang w:val="en-US" w:eastAsia="zh-CN"/>
              </w:rPr>
            </w:pPr>
          </w:p>
          <w:p w14:paraId="33891289">
            <w:pPr>
              <w:spacing w:line="360" w:lineRule="exact"/>
              <w:ind w:firstLine="240" w:firstLineChars="100"/>
              <w:rPr>
                <w:rFonts w:hint="eastAsia" w:ascii="宋体" w:hAnsi="宋体" w:eastAsia="宋体" w:cs="宋体"/>
                <w:sz w:val="24"/>
                <w:szCs w:val="24"/>
                <w:lang w:val="en-US" w:eastAsia="zh-CN"/>
              </w:rPr>
            </w:pPr>
          </w:p>
          <w:p w14:paraId="7583D5B9">
            <w:pPr>
              <w:spacing w:line="360" w:lineRule="exact"/>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848" w:type="dxa"/>
            <w:noWrap/>
            <w:tcMar>
              <w:top w:w="15" w:type="dxa"/>
              <w:left w:w="15" w:type="dxa"/>
              <w:bottom w:w="0" w:type="dxa"/>
              <w:right w:w="15" w:type="dxa"/>
            </w:tcMar>
            <w:vAlign w:val="center"/>
          </w:tcPr>
          <w:p w14:paraId="187C508C">
            <w:pPr>
              <w:spacing w:line="360" w:lineRule="exact"/>
              <w:jc w:val="left"/>
              <w:rPr>
                <w:rFonts w:hint="eastAsia" w:ascii="宋体" w:hAnsi="宋体" w:eastAsia="宋体" w:cs="宋体"/>
                <w:i w:val="0"/>
                <w:iCs w:val="0"/>
                <w:color w:val="000000"/>
                <w:kern w:val="0"/>
                <w:sz w:val="22"/>
                <w:szCs w:val="22"/>
                <w:u w:val="none"/>
                <w:lang w:val="en-US" w:eastAsia="zh-CN" w:bidi="ar"/>
              </w:rPr>
            </w:pPr>
          </w:p>
          <w:p w14:paraId="27560324">
            <w:pPr>
              <w:spacing w:line="360" w:lineRule="exact"/>
              <w:jc w:val="left"/>
              <w:rPr>
                <w:rFonts w:hint="eastAsia" w:ascii="宋体" w:hAnsi="宋体" w:eastAsia="宋体" w:cs="宋体"/>
                <w:i w:val="0"/>
                <w:iCs w:val="0"/>
                <w:color w:val="000000"/>
                <w:kern w:val="0"/>
                <w:sz w:val="22"/>
                <w:szCs w:val="22"/>
                <w:u w:val="none"/>
                <w:lang w:val="en-US" w:eastAsia="zh-CN" w:bidi="ar"/>
              </w:rPr>
            </w:pPr>
          </w:p>
          <w:p w14:paraId="5C4B284C">
            <w:pPr>
              <w:spacing w:line="360" w:lineRule="exact"/>
              <w:jc w:val="left"/>
              <w:rPr>
                <w:rFonts w:hint="eastAsia" w:ascii="宋体" w:hAnsi="宋体" w:eastAsia="宋体" w:cs="宋体"/>
                <w:i w:val="0"/>
                <w:iCs w:val="0"/>
                <w:color w:val="000000"/>
                <w:kern w:val="0"/>
                <w:sz w:val="22"/>
                <w:szCs w:val="22"/>
                <w:u w:val="none"/>
                <w:lang w:val="en-US" w:eastAsia="zh-CN" w:bidi="ar"/>
              </w:rPr>
            </w:pPr>
          </w:p>
          <w:p w14:paraId="73679F97">
            <w:pPr>
              <w:spacing w:line="360" w:lineRule="exact"/>
              <w:jc w:val="left"/>
              <w:rPr>
                <w:rFonts w:hint="eastAsia" w:ascii="宋体" w:hAnsi="宋体" w:eastAsia="宋体" w:cs="宋体"/>
                <w:i w:val="0"/>
                <w:iCs w:val="0"/>
                <w:color w:val="000000"/>
                <w:kern w:val="0"/>
                <w:sz w:val="22"/>
                <w:szCs w:val="22"/>
                <w:u w:val="none"/>
                <w:lang w:val="en-US" w:eastAsia="zh-CN" w:bidi="ar"/>
              </w:rPr>
            </w:pPr>
          </w:p>
          <w:p w14:paraId="06E69F7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无纸化会议系统后台管理程序软件</w:t>
            </w:r>
          </w:p>
        </w:tc>
        <w:tc>
          <w:tcPr>
            <w:tcW w:w="7057" w:type="dxa"/>
            <w:noWrap/>
            <w:tcMar>
              <w:top w:w="15" w:type="dxa"/>
              <w:left w:w="15" w:type="dxa"/>
              <w:bottom w:w="0" w:type="dxa"/>
              <w:right w:w="15" w:type="dxa"/>
            </w:tcMar>
            <w:vAlign w:val="center"/>
          </w:tcPr>
          <w:p w14:paraId="6B356DB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1.基于CS架构+BS运用，可接入第三方软件协同运行，软件界面分辨率：1920*1080；</w:t>
            </w:r>
          </w:p>
          <w:p w14:paraId="5DBAAEC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★2.安全与保密：参会人员可输入密码进入系统召开会议，也可以通过微信扫码签到；（投标人须提供软件微信扫码登录界面的截图）</w:t>
            </w:r>
          </w:p>
          <w:p w14:paraId="7E600C3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的无纸化会议控制应用功能：包括人名导入、会议签到、个性化呼叫服务、发起同屏、投影、会议信息及与会者信息查看、会议记录、会议投票、上网服务、文件分发、电子白板、交流提示、文档资料导入导出；</w:t>
            </w:r>
          </w:p>
          <w:p w14:paraId="43E6AE1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4.支持同步演示、PC桌面共享模式、外部电脑接入；</w:t>
            </w:r>
          </w:p>
          <w:p w14:paraId="01C8901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多路多视窗功能：可远程视频会议高清1080P实时视频接入（1-4路），支持同时播放多个存储视频文件（1-8个），所有视频窗口可任意拖动、放大缩小，窗口悬浮在桌面最上层，即看文档的同时边观看视频或者图纸；（投标人须提供此软件功能多个视频的窗口界面截图照片）。</w:t>
            </w:r>
          </w:p>
          <w:p w14:paraId="5FC7E7B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6.支持中控功能：集控升降器升降、关闭与暂停；</w:t>
            </w:r>
          </w:p>
          <w:p w14:paraId="243D0D7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7.支持主持功能：会议主持人在会议进行时可以对所有终端进行控制，强制统一打开某个会议文件进行投影或同步；强切投票界面、统计签到投票数据、更新人名显示、设备集中控制管理等高级功能；</w:t>
            </w:r>
          </w:p>
          <w:p w14:paraId="267E5F8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8.支持音视频会议文件投影申请到投影机或大屏幕与投影申请端同步显示；</w:t>
            </w:r>
          </w:p>
          <w:p w14:paraId="75A0973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9.支持查看文字资料、图片资料、视频资料等不同的会议资料;文字材料支持原笔迹批注，常用文件格式Pdf、Word支持全文批注;图片材料支持手势移动、缩放、旋转、翻页；视频资料可点击播放；</w:t>
            </w:r>
          </w:p>
          <w:p w14:paraId="2DC549E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10.支持会议资料全文档批注,批注文件自动上传致服务器原笔迹保存；并且在不同的设备登录，可自动同步；</w:t>
            </w:r>
          </w:p>
          <w:p w14:paraId="162826C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11.支持参会人员可申请将自己的屏幕上的任意内容及音视频文件分享给其他的参会人，并支持外接U盘中音视频文件同屏给其他参会人，同屏端延时控制在毫秒以内，所有接收端音视频完全同步；</w:t>
            </w:r>
          </w:p>
          <w:p w14:paraId="3DD9ABC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12.支持将直播视频窗口的实时视频任意拖动、放大、缩小、全屏，并可再次扔到原始窗口内.支持云摄像头联机将远端视频会议图像接入会场，支持外接电脑或笔记本HDMI信号到无纸化终端屏幕；</w:t>
            </w:r>
          </w:p>
          <w:p w14:paraId="30DD810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13.支持悬浮按钮操作同屏、投影、打开记事本、进行批注、呼叫服务、打开软键盘、打开手写等功能。</w:t>
            </w:r>
          </w:p>
        </w:tc>
        <w:tc>
          <w:tcPr>
            <w:tcW w:w="527" w:type="dxa"/>
            <w:noWrap/>
            <w:tcMar>
              <w:top w:w="15" w:type="dxa"/>
              <w:left w:w="15" w:type="dxa"/>
              <w:bottom w:w="0" w:type="dxa"/>
              <w:right w:w="15" w:type="dxa"/>
            </w:tcMar>
            <w:vAlign w:val="center"/>
          </w:tcPr>
          <w:p w14:paraId="3DC778A1">
            <w:pPr>
              <w:spacing w:line="360" w:lineRule="exact"/>
              <w:jc w:val="left"/>
              <w:rPr>
                <w:rFonts w:hint="eastAsia" w:ascii="宋体" w:hAnsi="宋体" w:eastAsia="宋体" w:cs="宋体"/>
                <w:b/>
                <w:sz w:val="24"/>
                <w:szCs w:val="24"/>
              </w:rPr>
            </w:pPr>
          </w:p>
          <w:p w14:paraId="0EB61750">
            <w:pPr>
              <w:spacing w:line="360" w:lineRule="exact"/>
              <w:jc w:val="left"/>
              <w:rPr>
                <w:rFonts w:hint="eastAsia" w:ascii="宋体" w:hAnsi="宋体" w:eastAsia="宋体" w:cs="宋体"/>
                <w:b/>
                <w:sz w:val="24"/>
                <w:szCs w:val="24"/>
              </w:rPr>
            </w:pPr>
          </w:p>
          <w:p w14:paraId="1B40F273">
            <w:pPr>
              <w:spacing w:line="360" w:lineRule="exact"/>
              <w:jc w:val="left"/>
              <w:rPr>
                <w:rFonts w:hint="eastAsia" w:ascii="宋体" w:hAnsi="宋体" w:eastAsia="宋体" w:cs="宋体"/>
                <w:b/>
                <w:sz w:val="24"/>
                <w:szCs w:val="24"/>
              </w:rPr>
            </w:pPr>
          </w:p>
          <w:p w14:paraId="5BFBFC26">
            <w:pPr>
              <w:spacing w:line="360" w:lineRule="exact"/>
              <w:jc w:val="left"/>
              <w:rPr>
                <w:rFonts w:hint="eastAsia" w:ascii="宋体" w:hAnsi="宋体" w:eastAsia="宋体" w:cs="宋体"/>
                <w:b/>
                <w:sz w:val="24"/>
                <w:szCs w:val="24"/>
              </w:rPr>
            </w:pPr>
            <w:r>
              <w:rPr>
                <w:rFonts w:hint="eastAsia" w:ascii="宋体" w:hAnsi="宋体" w:eastAsia="宋体" w:cs="宋体"/>
                <w:kern w:val="2"/>
                <w:sz w:val="21"/>
                <w:szCs w:val="21"/>
              </w:rPr>
              <w:t>▲</w:t>
            </w:r>
          </w:p>
        </w:tc>
      </w:tr>
      <w:tr w14:paraId="274A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10D98BC7">
            <w:pPr>
              <w:spacing w:line="360" w:lineRule="exact"/>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848" w:type="dxa"/>
            <w:noWrap/>
            <w:tcMar>
              <w:top w:w="15" w:type="dxa"/>
              <w:left w:w="15" w:type="dxa"/>
              <w:bottom w:w="0" w:type="dxa"/>
              <w:right w:w="15" w:type="dxa"/>
            </w:tcMar>
            <w:vAlign w:val="center"/>
          </w:tcPr>
          <w:p w14:paraId="3F825F8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全高清电容式超薄会议升降终端（10台）</w:t>
            </w:r>
          </w:p>
        </w:tc>
        <w:tc>
          <w:tcPr>
            <w:tcW w:w="7057" w:type="dxa"/>
            <w:noWrap/>
            <w:tcMar>
              <w:top w:w="15" w:type="dxa"/>
              <w:left w:w="15" w:type="dxa"/>
              <w:bottom w:w="0" w:type="dxa"/>
              <w:right w:w="15" w:type="dxa"/>
            </w:tcMar>
            <w:vAlign w:val="center"/>
          </w:tcPr>
          <w:p w14:paraId="34860C3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产品概述：</w:t>
            </w:r>
          </w:p>
          <w:p w14:paraId="26A0539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该产品以节能环保理念设计，采用智能化的技术，一键操作即自动化完成启动、液晶屏上升、仰角等动作，桌面美观，大气，节省空间为目的，使用起来非常方便，具有防盗，防尘，美化桌面等功能。可广泛应用于会议、办公酒店、教学演播室等多种场合，满足客户系统拓展多样化，办公环境自动化的需求，是您办公、教学中的理想助手。</w:t>
            </w:r>
          </w:p>
          <w:p w14:paraId="2B823A52">
            <w:pPr>
              <w:pStyle w:val="2"/>
              <w:rPr>
                <w:rFonts w:hint="eastAsia"/>
                <w:lang w:val="en-US" w:eastAsia="zh-CN"/>
              </w:rPr>
            </w:pPr>
          </w:p>
          <w:p w14:paraId="36E075E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产品特点：</w:t>
            </w:r>
          </w:p>
          <w:p w14:paraId="0ADAEC1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1.采用机箱全铝结构设计，优质铝材加上CNC精雕加工，显示屏框架、机箱都为铝合金使得设备整体精致、轻便、美观、大气。</w:t>
            </w:r>
          </w:p>
          <w:p w14:paraId="4265784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2.采用高精密度导轨与直线轴承结合的传动方式，通过整体的优良设计把升降的噪音降到最低。</w:t>
            </w:r>
          </w:p>
          <w:p w14:paraId="4FC5B43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3.支持中控主机对接，协议兼容性较强，控制设备在上升后，屏幕自动供电，下降后，屏幕自行断电，节约环保。</w:t>
            </w:r>
          </w:p>
          <w:p w14:paraId="312DBBD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4.内置环通输出电源插座，可给终端供电减少终端电源插座布线，工程现场布线更加整洁美观。</w:t>
            </w:r>
          </w:p>
          <w:p w14:paraId="3B94E11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5.桌面面板带USB接口，通过连接U盘可浏览文件或上传文件。</w:t>
            </w:r>
          </w:p>
          <w:p w14:paraId="6488408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6.支持HDMI和VGA两路信号输入，当只有一路信号输入时，屏幕会自动识别信号，当两路信号同时输入时，可通过面板按键手动切换，当无信号输入时，屏幕自动进入省电模式。</w:t>
            </w:r>
          </w:p>
          <w:p w14:paraId="7483423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7.带麦克风的全高清电容式超薄会议升降终端，话筒升降具有自动扶直功能，当麦杆弯曲时，机器关闭可自动扶直麦杆，不会损坏麦杆。</w:t>
            </w:r>
          </w:p>
          <w:p w14:paraId="77535EF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话筒功能：</w:t>
            </w:r>
          </w:p>
          <w:p w14:paraId="7F644EC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1.驻极体心型指向性电容式话筒</w:t>
            </w:r>
          </w:p>
          <w:p w14:paraId="7592421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2.高密5芯航空接口</w:t>
            </w:r>
          </w:p>
          <w:p w14:paraId="73E03C4F">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3.双色（红/绿）开启和工作指示灯环</w:t>
            </w:r>
          </w:p>
          <w:p w14:paraId="2A66FC6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4.符合IEC60914国际标准</w:t>
            </w:r>
          </w:p>
          <w:p w14:paraId="2E0DA67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5.纯发言会议单元</w:t>
            </w:r>
          </w:p>
          <w:p w14:paraId="237E2E7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6.驻极体心型指向性电容式拾音器，带双色指示灯环（红色/绿色）。发言为红色，申请发言为绿色</w:t>
            </w:r>
          </w:p>
          <w:p w14:paraId="440052E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7.采用旋钮式插头话筒杆，迷你型麦克风，有黑色、银白色可选</w:t>
            </w:r>
          </w:p>
          <w:p w14:paraId="38F53F3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8.话筒杆在休会期间可以降至桌下隐藏</w:t>
            </w:r>
          </w:p>
          <w:p w14:paraId="20420E7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9.具有内磁式高保真扬声器，打开话筒后自动静音，不易产生啸叫</w:t>
            </w:r>
          </w:p>
          <w:p w14:paraId="7B76A5F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10.超强的抗手机干扰能力</w:t>
            </w:r>
          </w:p>
          <w:p w14:paraId="33793BA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11.具有话筒开关键，主席单元有主席优先键</w:t>
            </w:r>
          </w:p>
          <w:p w14:paraId="1D3085B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12.每个会议单元都有独一无二的ID编号</w:t>
            </w:r>
          </w:p>
          <w:p w14:paraId="2B07F11F">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13.配合摄像头，使用会议控制主机或PC控制软件设置后可进行摄像自动跟踪</w:t>
            </w:r>
          </w:p>
          <w:p w14:paraId="3C54029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14.配合控制主机，单元有自我检测功能。检测的项有：按键、话筒、LED指示灯</w:t>
            </w:r>
          </w:p>
          <w:p w14:paraId="2722BA4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15.单元为无源设备，由系统主机供电，输入电压为24V</w:t>
            </w:r>
          </w:p>
          <w:p w14:paraId="2AA89D76">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16.具有自动调节均衡功能，能抑制啸叫，当话筒打开时，本机扬声器自动关闭，防止声音回输</w:t>
            </w:r>
          </w:p>
          <w:p w14:paraId="371F380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17."手拉手"或"T型"、"+型"连接模式</w:t>
            </w:r>
          </w:p>
          <w:p w14:paraId="51AD24E9">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18.通过主机设置，主席单元具有优先权功能（可将所有代表单元静音或关闭）、讲台模式（主席单元始终处于打开状态）</w:t>
            </w:r>
          </w:p>
          <w:p w14:paraId="11C3946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19.主席单元具有批准代表的申请发言功能</w:t>
            </w:r>
          </w:p>
          <w:p w14:paraId="22E7CBF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20.主席单元不受发言人数限制可自由开启</w:t>
            </w:r>
          </w:p>
          <w:p w14:paraId="2EB4361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21.主席单元具有全权控制会议秩序的优先功能</w:t>
            </w:r>
          </w:p>
          <w:p w14:paraId="28E5327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22.主席单元的连接位置不受限制</w:t>
            </w:r>
          </w:p>
          <w:p w14:paraId="65B6796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会议升降终端参数：</w:t>
            </w:r>
          </w:p>
          <w:p w14:paraId="3D2DFAFF">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终端显示尺寸 17.3寸 高清屏</w:t>
            </w:r>
          </w:p>
          <w:p w14:paraId="5A78284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视角水平视角(度)0~176度，垂直视角（度）30~150度</w:t>
            </w:r>
          </w:p>
          <w:p w14:paraId="541AA12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屏幕比例 16:9</w:t>
            </w:r>
          </w:p>
          <w:p w14:paraId="6954253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液晶屏分辨率 1920*1080</w:t>
            </w:r>
          </w:p>
          <w:p w14:paraId="029C751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触控技术/表面硬度 电容式/莫式7级</w:t>
            </w:r>
          </w:p>
          <w:p w14:paraId="1035AD0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触控点数/感应力度 10点/&lt;7g</w:t>
            </w:r>
          </w:p>
          <w:p w14:paraId="53AFFBE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触摸反应时间 5ms</w:t>
            </w:r>
          </w:p>
          <w:p w14:paraId="49FE026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显示屏升降角度 机械自动调节30度</w:t>
            </w:r>
          </w:p>
          <w:p w14:paraId="6B113D5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输入接口 VGA*1，HDMI*1,中控接口*1、USB*2、开关接口*1</w:t>
            </w:r>
          </w:p>
          <w:p w14:paraId="20780D9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输出接口 中控接口*1,电源输出接口*1</w:t>
            </w:r>
          </w:p>
          <w:p w14:paraId="611FF0D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升降话筒 异步升降</w:t>
            </w:r>
          </w:p>
          <w:p w14:paraId="488870D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频响 100~20K</w:t>
            </w:r>
          </w:p>
          <w:p w14:paraId="7867A54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总谐波失真 小于0.5%</w:t>
            </w:r>
          </w:p>
          <w:p w14:paraId="5D63339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输入灵敏度 35mv</w:t>
            </w:r>
          </w:p>
          <w:p w14:paraId="13B27D9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升降器面板接口 带USB接口*1带USB防尘盖</w:t>
            </w:r>
          </w:p>
          <w:p w14:paraId="5BE5D07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外壳材质 铝合金</w:t>
            </w:r>
          </w:p>
          <w:p w14:paraId="603A22A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 黑色/银色</w:t>
            </w:r>
          </w:p>
          <w:p w14:paraId="5B7BD4E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电源需求 AC220/50HZ</w:t>
            </w:r>
          </w:p>
          <w:p w14:paraId="091AF5E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功耗 100W</w:t>
            </w:r>
          </w:p>
          <w:p w14:paraId="1245197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工作温度 -10℃～45℃</w:t>
            </w:r>
          </w:p>
          <w:p w14:paraId="73FC45A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工作湿度 10%~95% </w:t>
            </w:r>
          </w:p>
          <w:p w14:paraId="5F7FC5A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安装方式 嵌入电动升降式安装。</w:t>
            </w:r>
          </w:p>
          <w:p w14:paraId="7374111F">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升降器尺寸（L×D×H/MM) 601*70*650MM</w:t>
            </w:r>
          </w:p>
          <w:p w14:paraId="7DF6826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桌面开孔尺寸：586*60MM（建议实物开孔）</w:t>
            </w:r>
          </w:p>
          <w:p w14:paraId="6721FE6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面板沉台尺寸 601*70*3MM（建议实物开孔）</w:t>
            </w:r>
          </w:p>
          <w:p w14:paraId="5B9C76B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机箱尺寸 586*60*647mm</w:t>
            </w:r>
          </w:p>
          <w:p w14:paraId="756C479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净重 13.7Kg</w:t>
            </w:r>
          </w:p>
          <w:p w14:paraId="1BF313F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毛重 15.7Kg</w:t>
            </w:r>
          </w:p>
        </w:tc>
        <w:tc>
          <w:tcPr>
            <w:tcW w:w="527" w:type="dxa"/>
            <w:noWrap/>
            <w:tcMar>
              <w:top w:w="15" w:type="dxa"/>
              <w:left w:w="15" w:type="dxa"/>
              <w:bottom w:w="0" w:type="dxa"/>
              <w:right w:w="15" w:type="dxa"/>
            </w:tcMar>
            <w:vAlign w:val="center"/>
          </w:tcPr>
          <w:p w14:paraId="2EAC9EF0">
            <w:pPr>
              <w:spacing w:line="360" w:lineRule="exact"/>
              <w:jc w:val="left"/>
              <w:rPr>
                <w:rFonts w:hint="eastAsia" w:ascii="宋体" w:hAnsi="宋体" w:eastAsia="宋体" w:cs="宋体"/>
                <w:b/>
                <w:sz w:val="24"/>
                <w:szCs w:val="24"/>
              </w:rPr>
            </w:pPr>
          </w:p>
        </w:tc>
      </w:tr>
      <w:tr w14:paraId="1318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1034710B">
            <w:pPr>
              <w:spacing w:line="360" w:lineRule="exact"/>
              <w:ind w:firstLine="210" w:firstLineChars="100"/>
              <w:rPr>
                <w:rFonts w:hint="eastAsia"/>
                <w:lang w:val="en-US" w:eastAsia="zh-CN"/>
              </w:rPr>
            </w:pPr>
          </w:p>
          <w:p w14:paraId="4A819C61">
            <w:pPr>
              <w:pStyle w:val="2"/>
              <w:rPr>
                <w:rFonts w:hint="eastAsia"/>
                <w:lang w:val="en-US" w:eastAsia="zh-CN"/>
              </w:rPr>
            </w:pPr>
          </w:p>
          <w:p w14:paraId="473AF232">
            <w:pPr>
              <w:rPr>
                <w:rFonts w:hint="eastAsia"/>
                <w:lang w:val="en-US" w:eastAsia="zh-CN"/>
              </w:rPr>
            </w:pPr>
          </w:p>
          <w:p w14:paraId="329C28B7">
            <w:pPr>
              <w:pStyle w:val="2"/>
              <w:rPr>
                <w:rFonts w:hint="eastAsia"/>
                <w:lang w:val="en-US" w:eastAsia="zh-CN"/>
              </w:rPr>
            </w:pPr>
          </w:p>
          <w:p w14:paraId="29B20992">
            <w:pPr>
              <w:rPr>
                <w:rFonts w:hint="eastAsia"/>
                <w:lang w:val="en-US" w:eastAsia="zh-CN"/>
              </w:rPr>
            </w:pPr>
          </w:p>
          <w:p w14:paraId="57D67141">
            <w:pPr>
              <w:pStyle w:val="2"/>
              <w:rPr>
                <w:rFonts w:hint="eastAsia"/>
                <w:lang w:val="en-US" w:eastAsia="zh-CN"/>
              </w:rPr>
            </w:pPr>
          </w:p>
          <w:p w14:paraId="36B58706">
            <w:pPr>
              <w:rPr>
                <w:rFonts w:hint="eastAsia"/>
                <w:lang w:val="en-US" w:eastAsia="zh-CN"/>
              </w:rPr>
            </w:pPr>
          </w:p>
          <w:p w14:paraId="4D3C1F6E">
            <w:pPr>
              <w:pStyle w:val="2"/>
              <w:rPr>
                <w:rFonts w:hint="eastAsia"/>
                <w:lang w:val="en-US" w:eastAsia="zh-CN"/>
              </w:rPr>
            </w:pPr>
          </w:p>
          <w:p w14:paraId="7841B40F">
            <w:pPr>
              <w:rPr>
                <w:rFonts w:hint="eastAsia" w:ascii="宋体" w:hAnsi="宋体" w:eastAsia="宋体" w:cs="宋体"/>
                <w:sz w:val="24"/>
                <w:szCs w:val="24"/>
                <w:lang w:val="en-US" w:eastAsia="zh-CN"/>
              </w:rPr>
            </w:pPr>
          </w:p>
          <w:p w14:paraId="641662EE">
            <w:pPr>
              <w:rPr>
                <w:rFonts w:hint="eastAsia" w:ascii="宋体" w:hAnsi="宋体" w:eastAsia="宋体" w:cs="宋体"/>
                <w:sz w:val="24"/>
                <w:szCs w:val="24"/>
                <w:lang w:val="en-US" w:eastAsia="zh-CN"/>
              </w:rPr>
            </w:pPr>
          </w:p>
          <w:p w14:paraId="2E28A8E5">
            <w:pPr>
              <w:rPr>
                <w:rFonts w:hint="eastAsia" w:ascii="宋体" w:hAnsi="宋体" w:eastAsia="宋体" w:cs="宋体"/>
                <w:sz w:val="24"/>
                <w:szCs w:val="24"/>
                <w:lang w:val="en-US" w:eastAsia="zh-CN"/>
              </w:rPr>
            </w:pPr>
          </w:p>
          <w:p w14:paraId="34F2794D">
            <w:pPr>
              <w:rPr>
                <w:rFonts w:hint="eastAsia" w:ascii="宋体" w:hAnsi="宋体" w:eastAsia="宋体" w:cs="宋体"/>
                <w:sz w:val="24"/>
                <w:szCs w:val="24"/>
                <w:lang w:val="en-US" w:eastAsia="zh-CN"/>
              </w:rPr>
            </w:pPr>
          </w:p>
          <w:p w14:paraId="3395D2FC">
            <w:pPr>
              <w:rPr>
                <w:rFonts w:hint="eastAsia" w:ascii="宋体" w:hAnsi="宋体" w:eastAsia="宋体" w:cs="宋体"/>
                <w:sz w:val="24"/>
                <w:szCs w:val="24"/>
                <w:lang w:val="en-US" w:eastAsia="zh-CN"/>
              </w:rPr>
            </w:pPr>
          </w:p>
          <w:p w14:paraId="5E9B87DD">
            <w:pPr>
              <w:rPr>
                <w:rFonts w:hint="eastAsia" w:ascii="宋体" w:hAnsi="宋体" w:eastAsia="宋体" w:cs="宋体"/>
                <w:sz w:val="24"/>
                <w:szCs w:val="24"/>
                <w:lang w:val="en-US" w:eastAsia="zh-CN"/>
              </w:rPr>
            </w:pPr>
          </w:p>
          <w:p w14:paraId="4D466695">
            <w:pPr>
              <w:rPr>
                <w:rFonts w:hint="eastAsia" w:ascii="宋体" w:hAnsi="宋体" w:eastAsia="宋体" w:cs="宋体"/>
                <w:sz w:val="24"/>
                <w:szCs w:val="24"/>
                <w:lang w:val="en-US" w:eastAsia="zh-CN"/>
              </w:rPr>
            </w:pPr>
          </w:p>
          <w:p w14:paraId="39863E8D">
            <w:pPr>
              <w:rPr>
                <w:rFonts w:hint="eastAsia" w:ascii="宋体" w:hAnsi="宋体" w:eastAsia="宋体" w:cs="宋体"/>
                <w:sz w:val="24"/>
                <w:szCs w:val="24"/>
                <w:lang w:val="en-US" w:eastAsia="zh-CN"/>
              </w:rPr>
            </w:pPr>
          </w:p>
          <w:p w14:paraId="22E2DBF4">
            <w:pPr>
              <w:rPr>
                <w:rFonts w:hint="eastAsia" w:ascii="宋体" w:hAnsi="宋体" w:eastAsia="宋体" w:cs="宋体"/>
                <w:sz w:val="24"/>
                <w:szCs w:val="24"/>
                <w:lang w:val="en-US" w:eastAsia="zh-CN"/>
              </w:rPr>
            </w:pPr>
          </w:p>
          <w:p w14:paraId="63D82379">
            <w:pPr>
              <w:rPr>
                <w:rFonts w:hint="eastAsia" w:ascii="宋体" w:hAnsi="宋体" w:eastAsia="宋体" w:cs="宋体"/>
                <w:sz w:val="24"/>
                <w:szCs w:val="24"/>
                <w:lang w:val="en-US" w:eastAsia="zh-CN"/>
              </w:rPr>
            </w:pPr>
          </w:p>
          <w:p w14:paraId="65DFBC73">
            <w:pPr>
              <w:rPr>
                <w:rFonts w:hint="eastAsia" w:ascii="宋体" w:hAnsi="宋体" w:eastAsia="宋体" w:cs="宋体"/>
                <w:sz w:val="24"/>
                <w:szCs w:val="24"/>
                <w:lang w:val="en-US" w:eastAsia="zh-CN"/>
              </w:rPr>
            </w:pPr>
          </w:p>
          <w:p w14:paraId="78007B70">
            <w:pPr>
              <w:rPr>
                <w:rFonts w:hint="eastAsia" w:ascii="宋体" w:hAnsi="宋体" w:eastAsia="宋体" w:cs="宋体"/>
                <w:sz w:val="24"/>
                <w:szCs w:val="24"/>
                <w:lang w:val="en-US" w:eastAsia="zh-CN"/>
              </w:rPr>
            </w:pPr>
          </w:p>
          <w:p w14:paraId="6194AC9A">
            <w:pPr>
              <w:rPr>
                <w:rFonts w:hint="eastAsia" w:ascii="宋体" w:hAnsi="宋体" w:eastAsia="宋体" w:cs="宋体"/>
                <w:sz w:val="24"/>
                <w:szCs w:val="24"/>
                <w:lang w:val="en-US" w:eastAsia="zh-CN"/>
              </w:rPr>
            </w:pPr>
          </w:p>
          <w:p w14:paraId="55E3B5E4">
            <w:pPr>
              <w:rPr>
                <w:rFonts w:hint="eastAsia" w:ascii="宋体" w:hAnsi="宋体" w:eastAsia="宋体" w:cs="宋体"/>
                <w:sz w:val="24"/>
                <w:szCs w:val="24"/>
                <w:lang w:val="en-US" w:eastAsia="zh-CN"/>
              </w:rPr>
            </w:pPr>
          </w:p>
          <w:p w14:paraId="30185ECE">
            <w:pPr>
              <w:rPr>
                <w:rFonts w:hint="eastAsia" w:ascii="宋体" w:hAnsi="宋体" w:eastAsia="宋体" w:cs="宋体"/>
                <w:sz w:val="24"/>
                <w:szCs w:val="24"/>
                <w:lang w:val="en-US" w:eastAsia="zh-CN"/>
              </w:rPr>
            </w:pPr>
          </w:p>
          <w:p w14:paraId="5782F446">
            <w:pPr>
              <w:rPr>
                <w:rFonts w:hint="default"/>
                <w:lang w:val="en-US" w:eastAsia="zh-CN"/>
              </w:rPr>
            </w:pPr>
            <w:r>
              <w:rPr>
                <w:rFonts w:hint="eastAsia" w:ascii="宋体" w:hAnsi="宋体" w:eastAsia="宋体" w:cs="宋体"/>
                <w:sz w:val="24"/>
                <w:szCs w:val="24"/>
                <w:lang w:val="en-US" w:eastAsia="zh-CN"/>
              </w:rPr>
              <w:t>8</w:t>
            </w:r>
          </w:p>
        </w:tc>
        <w:tc>
          <w:tcPr>
            <w:tcW w:w="848" w:type="dxa"/>
            <w:noWrap/>
            <w:tcMar>
              <w:top w:w="15" w:type="dxa"/>
              <w:left w:w="15" w:type="dxa"/>
              <w:bottom w:w="0" w:type="dxa"/>
              <w:right w:w="15" w:type="dxa"/>
            </w:tcMar>
            <w:vAlign w:val="center"/>
          </w:tcPr>
          <w:p w14:paraId="172DEB14">
            <w:pPr>
              <w:spacing w:line="360" w:lineRule="exact"/>
              <w:jc w:val="left"/>
              <w:rPr>
                <w:rFonts w:hint="eastAsia" w:ascii="宋体" w:hAnsi="宋体" w:eastAsia="宋体" w:cs="宋体"/>
                <w:i w:val="0"/>
                <w:iCs w:val="0"/>
                <w:color w:val="000000"/>
                <w:kern w:val="0"/>
                <w:sz w:val="22"/>
                <w:szCs w:val="22"/>
                <w:u w:val="none"/>
                <w:lang w:val="en-US" w:eastAsia="zh-CN" w:bidi="ar"/>
              </w:rPr>
            </w:pPr>
          </w:p>
          <w:p w14:paraId="728BBC63">
            <w:pPr>
              <w:spacing w:line="360" w:lineRule="exact"/>
              <w:jc w:val="left"/>
              <w:rPr>
                <w:rFonts w:hint="eastAsia" w:ascii="宋体" w:hAnsi="宋体" w:eastAsia="宋体" w:cs="宋体"/>
                <w:i w:val="0"/>
                <w:iCs w:val="0"/>
                <w:color w:val="000000"/>
                <w:kern w:val="0"/>
                <w:sz w:val="22"/>
                <w:szCs w:val="22"/>
                <w:u w:val="none"/>
                <w:lang w:val="en-US" w:eastAsia="zh-CN" w:bidi="ar"/>
              </w:rPr>
            </w:pPr>
          </w:p>
          <w:p w14:paraId="0BED4201">
            <w:pPr>
              <w:spacing w:line="360" w:lineRule="exact"/>
              <w:jc w:val="left"/>
              <w:rPr>
                <w:rFonts w:hint="eastAsia" w:ascii="宋体" w:hAnsi="宋体" w:eastAsia="宋体" w:cs="宋体"/>
                <w:i w:val="0"/>
                <w:iCs w:val="0"/>
                <w:color w:val="000000"/>
                <w:kern w:val="0"/>
                <w:sz w:val="22"/>
                <w:szCs w:val="22"/>
                <w:u w:val="none"/>
                <w:lang w:val="en-US" w:eastAsia="zh-CN" w:bidi="ar"/>
              </w:rPr>
            </w:pPr>
          </w:p>
          <w:p w14:paraId="4A52E72A">
            <w:pPr>
              <w:spacing w:line="360" w:lineRule="exact"/>
              <w:jc w:val="left"/>
              <w:rPr>
                <w:rFonts w:hint="eastAsia" w:ascii="宋体" w:hAnsi="宋体" w:eastAsia="宋体" w:cs="宋体"/>
                <w:i w:val="0"/>
                <w:iCs w:val="0"/>
                <w:color w:val="000000"/>
                <w:kern w:val="0"/>
                <w:sz w:val="22"/>
                <w:szCs w:val="22"/>
                <w:u w:val="none"/>
                <w:lang w:val="en-US" w:eastAsia="zh-CN" w:bidi="ar"/>
              </w:rPr>
            </w:pPr>
          </w:p>
          <w:p w14:paraId="2EF0121D">
            <w:pPr>
              <w:spacing w:line="360" w:lineRule="exact"/>
              <w:jc w:val="left"/>
              <w:rPr>
                <w:rFonts w:hint="eastAsia" w:ascii="宋体" w:hAnsi="宋体" w:eastAsia="宋体" w:cs="宋体"/>
                <w:i w:val="0"/>
                <w:iCs w:val="0"/>
                <w:color w:val="000000"/>
                <w:kern w:val="0"/>
                <w:sz w:val="22"/>
                <w:szCs w:val="22"/>
                <w:u w:val="none"/>
                <w:lang w:val="en-US" w:eastAsia="zh-CN" w:bidi="ar"/>
              </w:rPr>
            </w:pPr>
          </w:p>
          <w:p w14:paraId="786DAF31">
            <w:pPr>
              <w:spacing w:line="360" w:lineRule="exact"/>
              <w:jc w:val="left"/>
              <w:rPr>
                <w:rFonts w:hint="eastAsia" w:ascii="宋体" w:hAnsi="宋体" w:eastAsia="宋体" w:cs="宋体"/>
                <w:i w:val="0"/>
                <w:iCs w:val="0"/>
                <w:color w:val="000000"/>
                <w:kern w:val="0"/>
                <w:sz w:val="22"/>
                <w:szCs w:val="22"/>
                <w:u w:val="none"/>
                <w:lang w:val="en-US" w:eastAsia="zh-CN" w:bidi="ar"/>
              </w:rPr>
            </w:pPr>
          </w:p>
          <w:p w14:paraId="215E1788">
            <w:pPr>
              <w:spacing w:line="360" w:lineRule="exact"/>
              <w:jc w:val="left"/>
              <w:rPr>
                <w:rFonts w:hint="eastAsia" w:ascii="宋体" w:hAnsi="宋体" w:eastAsia="宋体" w:cs="宋体"/>
                <w:i w:val="0"/>
                <w:iCs w:val="0"/>
                <w:color w:val="000000"/>
                <w:kern w:val="0"/>
                <w:sz w:val="22"/>
                <w:szCs w:val="22"/>
                <w:u w:val="none"/>
                <w:lang w:val="en-US" w:eastAsia="zh-CN" w:bidi="ar"/>
              </w:rPr>
            </w:pPr>
          </w:p>
          <w:p w14:paraId="155444E0">
            <w:pPr>
              <w:spacing w:line="360" w:lineRule="exact"/>
              <w:jc w:val="left"/>
              <w:rPr>
                <w:rFonts w:hint="eastAsia" w:ascii="宋体" w:hAnsi="宋体" w:eastAsia="宋体" w:cs="宋体"/>
                <w:i w:val="0"/>
                <w:iCs w:val="0"/>
                <w:color w:val="000000"/>
                <w:kern w:val="0"/>
                <w:sz w:val="22"/>
                <w:szCs w:val="22"/>
                <w:u w:val="none"/>
                <w:lang w:val="en-US" w:eastAsia="zh-CN" w:bidi="ar"/>
              </w:rPr>
            </w:pPr>
          </w:p>
          <w:p w14:paraId="0813234E">
            <w:pPr>
              <w:spacing w:line="360" w:lineRule="exact"/>
              <w:jc w:val="left"/>
              <w:rPr>
                <w:rFonts w:hint="eastAsia" w:ascii="宋体" w:hAnsi="宋体" w:eastAsia="宋体" w:cs="宋体"/>
                <w:i w:val="0"/>
                <w:iCs w:val="0"/>
                <w:color w:val="000000"/>
                <w:kern w:val="0"/>
                <w:sz w:val="22"/>
                <w:szCs w:val="22"/>
                <w:u w:val="none"/>
                <w:lang w:val="en-US" w:eastAsia="zh-CN" w:bidi="ar"/>
              </w:rPr>
            </w:pPr>
          </w:p>
          <w:p w14:paraId="7ACEB24D">
            <w:pPr>
              <w:spacing w:line="360" w:lineRule="exact"/>
              <w:jc w:val="left"/>
              <w:rPr>
                <w:rFonts w:hint="eastAsia" w:ascii="宋体" w:hAnsi="宋体" w:eastAsia="宋体" w:cs="宋体"/>
                <w:i w:val="0"/>
                <w:iCs w:val="0"/>
                <w:color w:val="000000"/>
                <w:kern w:val="0"/>
                <w:sz w:val="22"/>
                <w:szCs w:val="22"/>
                <w:u w:val="none"/>
                <w:lang w:val="en-US" w:eastAsia="zh-CN" w:bidi="ar"/>
              </w:rPr>
            </w:pPr>
          </w:p>
          <w:p w14:paraId="6CB2700E">
            <w:pPr>
              <w:spacing w:line="360" w:lineRule="exact"/>
              <w:jc w:val="left"/>
              <w:rPr>
                <w:rFonts w:hint="eastAsia" w:ascii="宋体" w:hAnsi="宋体" w:eastAsia="宋体" w:cs="宋体"/>
                <w:i w:val="0"/>
                <w:iCs w:val="0"/>
                <w:color w:val="000000"/>
                <w:kern w:val="0"/>
                <w:sz w:val="22"/>
                <w:szCs w:val="22"/>
                <w:u w:val="none"/>
                <w:lang w:val="en-US" w:eastAsia="zh-CN" w:bidi="ar"/>
              </w:rPr>
            </w:pPr>
          </w:p>
          <w:p w14:paraId="6E2F59B3">
            <w:pPr>
              <w:spacing w:line="360" w:lineRule="exact"/>
              <w:jc w:val="left"/>
              <w:rPr>
                <w:rFonts w:hint="eastAsia" w:ascii="宋体" w:hAnsi="宋体" w:eastAsia="宋体" w:cs="宋体"/>
                <w:i w:val="0"/>
                <w:iCs w:val="0"/>
                <w:color w:val="000000"/>
                <w:kern w:val="0"/>
                <w:sz w:val="22"/>
                <w:szCs w:val="22"/>
                <w:u w:val="none"/>
                <w:lang w:val="en-US" w:eastAsia="zh-CN" w:bidi="ar"/>
              </w:rPr>
            </w:pPr>
          </w:p>
          <w:p w14:paraId="7480FB3F">
            <w:pPr>
              <w:spacing w:line="360" w:lineRule="exact"/>
              <w:jc w:val="left"/>
              <w:rPr>
                <w:rFonts w:hint="eastAsia" w:ascii="宋体" w:hAnsi="宋体" w:eastAsia="宋体" w:cs="宋体"/>
                <w:i w:val="0"/>
                <w:iCs w:val="0"/>
                <w:color w:val="000000"/>
                <w:kern w:val="0"/>
                <w:sz w:val="22"/>
                <w:szCs w:val="22"/>
                <w:u w:val="none"/>
                <w:lang w:val="en-US" w:eastAsia="zh-CN" w:bidi="ar"/>
              </w:rPr>
            </w:pPr>
          </w:p>
          <w:p w14:paraId="5CCC8F78">
            <w:pPr>
              <w:spacing w:line="360" w:lineRule="exact"/>
              <w:jc w:val="left"/>
              <w:rPr>
                <w:rFonts w:hint="eastAsia" w:ascii="宋体" w:hAnsi="宋体" w:eastAsia="宋体" w:cs="宋体"/>
                <w:i w:val="0"/>
                <w:iCs w:val="0"/>
                <w:color w:val="000000"/>
                <w:kern w:val="0"/>
                <w:sz w:val="22"/>
                <w:szCs w:val="22"/>
                <w:u w:val="none"/>
                <w:lang w:val="en-US" w:eastAsia="zh-CN" w:bidi="ar"/>
              </w:rPr>
            </w:pPr>
          </w:p>
          <w:p w14:paraId="4BFDF021">
            <w:pPr>
              <w:spacing w:line="360" w:lineRule="exact"/>
              <w:jc w:val="left"/>
              <w:rPr>
                <w:rFonts w:hint="eastAsia" w:ascii="宋体" w:hAnsi="宋体" w:eastAsia="宋体" w:cs="宋体"/>
                <w:i w:val="0"/>
                <w:iCs w:val="0"/>
                <w:color w:val="000000"/>
                <w:kern w:val="0"/>
                <w:sz w:val="22"/>
                <w:szCs w:val="22"/>
                <w:u w:val="none"/>
                <w:lang w:val="en-US" w:eastAsia="zh-CN" w:bidi="ar"/>
              </w:rPr>
            </w:pPr>
          </w:p>
          <w:p w14:paraId="42A9909B">
            <w:pPr>
              <w:spacing w:line="360" w:lineRule="exact"/>
              <w:jc w:val="left"/>
              <w:rPr>
                <w:rFonts w:hint="eastAsia" w:ascii="宋体" w:hAnsi="宋体" w:eastAsia="宋体" w:cs="宋体"/>
                <w:i w:val="0"/>
                <w:iCs w:val="0"/>
                <w:color w:val="000000"/>
                <w:kern w:val="0"/>
                <w:sz w:val="22"/>
                <w:szCs w:val="22"/>
                <w:u w:val="none"/>
                <w:lang w:val="en-US" w:eastAsia="zh-CN" w:bidi="ar"/>
              </w:rPr>
            </w:pPr>
          </w:p>
          <w:p w14:paraId="1BF2036B">
            <w:pPr>
              <w:spacing w:line="360" w:lineRule="exact"/>
              <w:jc w:val="left"/>
              <w:rPr>
                <w:rFonts w:hint="eastAsia" w:ascii="宋体" w:hAnsi="宋体" w:eastAsia="宋体" w:cs="宋体"/>
                <w:i w:val="0"/>
                <w:iCs w:val="0"/>
                <w:color w:val="000000"/>
                <w:kern w:val="0"/>
                <w:sz w:val="22"/>
                <w:szCs w:val="22"/>
                <w:u w:val="none"/>
                <w:lang w:val="en-US" w:eastAsia="zh-CN" w:bidi="ar"/>
              </w:rPr>
            </w:pPr>
          </w:p>
          <w:p w14:paraId="04857F4E">
            <w:pPr>
              <w:spacing w:line="360" w:lineRule="exact"/>
              <w:jc w:val="left"/>
              <w:rPr>
                <w:rFonts w:hint="eastAsia" w:ascii="宋体" w:hAnsi="宋体" w:eastAsia="宋体" w:cs="宋体"/>
                <w:i w:val="0"/>
                <w:iCs w:val="0"/>
                <w:color w:val="000000"/>
                <w:kern w:val="0"/>
                <w:sz w:val="22"/>
                <w:szCs w:val="22"/>
                <w:u w:val="none"/>
                <w:lang w:val="en-US" w:eastAsia="zh-CN" w:bidi="ar"/>
              </w:rPr>
            </w:pPr>
          </w:p>
          <w:p w14:paraId="5D0B2356">
            <w:pPr>
              <w:spacing w:line="360" w:lineRule="exact"/>
              <w:jc w:val="left"/>
              <w:rPr>
                <w:rFonts w:hint="eastAsia" w:ascii="宋体" w:hAnsi="宋体" w:eastAsia="宋体" w:cs="宋体"/>
                <w:i w:val="0"/>
                <w:iCs w:val="0"/>
                <w:color w:val="000000"/>
                <w:kern w:val="0"/>
                <w:sz w:val="22"/>
                <w:szCs w:val="22"/>
                <w:u w:val="none"/>
                <w:lang w:val="en-US" w:eastAsia="zh-CN" w:bidi="ar"/>
              </w:rPr>
            </w:pPr>
          </w:p>
          <w:p w14:paraId="3EE898E0">
            <w:pPr>
              <w:spacing w:line="360" w:lineRule="exact"/>
              <w:jc w:val="left"/>
              <w:rPr>
                <w:rFonts w:hint="eastAsia" w:ascii="宋体" w:hAnsi="宋体" w:eastAsia="宋体" w:cs="宋体"/>
                <w:i w:val="0"/>
                <w:iCs w:val="0"/>
                <w:color w:val="000000"/>
                <w:kern w:val="0"/>
                <w:sz w:val="22"/>
                <w:szCs w:val="22"/>
                <w:u w:val="none"/>
                <w:lang w:val="en-US" w:eastAsia="zh-CN" w:bidi="ar"/>
              </w:rPr>
            </w:pPr>
          </w:p>
          <w:p w14:paraId="3218E9A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迷你会议小主机</w:t>
            </w:r>
          </w:p>
        </w:tc>
        <w:tc>
          <w:tcPr>
            <w:tcW w:w="7057" w:type="dxa"/>
            <w:noWrap/>
            <w:tcMar>
              <w:top w:w="15" w:type="dxa"/>
              <w:left w:w="15" w:type="dxa"/>
              <w:bottom w:w="0" w:type="dxa"/>
              <w:right w:w="15" w:type="dxa"/>
            </w:tcMar>
            <w:vAlign w:val="center"/>
          </w:tcPr>
          <w:p w14:paraId="3BAEB0BF">
            <w:pPr>
              <w:spacing w:line="360" w:lineRule="exact"/>
              <w:jc w:val="left"/>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无纸化会议系统终端客户端软件(PC版)：</w:t>
            </w:r>
          </w:p>
          <w:p w14:paraId="7C259E1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1.支持快速进入会议交流模块、会议材料、未读消息提示等。</w:t>
            </w:r>
          </w:p>
          <w:p w14:paraId="27BCEFD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2.支持双屏显示，副屏幕显示姓名/职务/单位名称/LOGO/会徽/会标等（需要硬件支持）。</w:t>
            </w:r>
          </w:p>
          <w:p w14:paraId="7C3A041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3.支持直接在无纸化会议终端上进行手动签到和扫码签到，并支持定制刷卡或指纹和人脸签到进入会议（需要硬件支持）。</w:t>
            </w:r>
          </w:p>
          <w:p w14:paraId="67F71E8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4.支持在会议终端上查看本次会议的参会人员以及其所坐的座位，真实的还原现场。</w:t>
            </w:r>
          </w:p>
          <w:p w14:paraId="74A9F3F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5.支持会议议程以表格的形式将当前会议各项议程展现出来，并可以随时快速地查看对应议程的相关资料。</w:t>
            </w:r>
          </w:p>
          <w:p w14:paraId="38D742B6">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查看文字资料、图片资料、视频资料等不同的会议资料;文字材料支持截图批注，常用文件格式Excel、Word支持全文批注；批注文件自动上传致服务器原笔迹保存；并且在不同的设备登录，可自动同步，批注文件可进行再次批注，图片材料支持手势移动、缩放、旋转、翻页；视频资料可点击播放，。</w:t>
            </w:r>
          </w:p>
          <w:p w14:paraId="0156575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7.支持会议过程中参会人员可快速呼叫常用服务如茶水、笔、纸等，也可自定义呼叫内容。</w:t>
            </w:r>
          </w:p>
          <w:p w14:paraId="616F3DDF">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8.支持匿名与实名制进行投票表决。</w:t>
            </w:r>
          </w:p>
          <w:p w14:paraId="0C8B971F">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9.支持音视频会议文件投影申请到投影机或大屏幕与投影申请端同步显示。</w:t>
            </w:r>
          </w:p>
          <w:p w14:paraId="2DC9009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10.支持参会人员可申请将自己的屏幕上的任意内容及音视频文件分享给其他的参会人，并支持外接U盘中音视频文件同屏给其他参会人，同屏端延时控制在毫秒以内，所有接收端音视频完全同步。</w:t>
            </w:r>
          </w:p>
          <w:p w14:paraId="267D4656">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11.支持在会议进行的过程中参会人之间可以进行点对点的文字、表情、文件等互动，并可选择一点对一点，一点对多点和群发。文字和文件在会议终端打开查看。</w:t>
            </w:r>
          </w:p>
          <w:p w14:paraId="32D3D32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12.支持一键切换系统语言，如中文简体、英文等。</w:t>
            </w:r>
          </w:p>
          <w:p w14:paraId="5350CC9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13.支持参会人可点播观看实时视频.和批注的文件。</w:t>
            </w:r>
          </w:p>
          <w:p w14:paraId="1802111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14.支持将直播视频窗口的实时视频任意拖动、放大、缩小、全屏，并可再次扔到原始窗口内，支持外接电脑或笔记本HDMI信号到无纸化终端屏幕。</w:t>
            </w:r>
          </w:p>
          <w:p w14:paraId="20ECA7C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支持同时观看多个视频文件，任意拖动窗口位置、缩放改变窗口大小、双击单路全屏观看控制进度并可分享给其他参会人；窗口悬浮在桌面最上层，即可边看文档边观看视频，多层面多通道理解会议内容和对会议资料进行高效研判。</w:t>
            </w:r>
          </w:p>
          <w:p w14:paraId="42CC2EC6">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16.支持终端在电子白板讨论组内进行互动、多人对同一文档进行批注,使用橡皮擦/铅笔,清空白板,保存白板界面等功能。</w:t>
            </w:r>
          </w:p>
          <w:p w14:paraId="023E25D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17.支持会中u盘导入资料并分享给其他参会人观看。</w:t>
            </w:r>
          </w:p>
          <w:p w14:paraId="322F8E0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18.支持悬浮按钮操作同屏、投影、打开记事本、进行批注、呼叫服务、打开软键盘等功能。</w:t>
            </w:r>
          </w:p>
          <w:p w14:paraId="4684C84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19.会议秘书支持会议控制功能，实现一键开启、暂停、结束会议；实现会议终端签到、表决的投影开始和结束；实现会议录播一键开启和停止；实现同屏开启、停止及同屏的参会人设置；</w:t>
            </w:r>
          </w:p>
          <w:p w14:paraId="203FBDC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20.会议秘书支持远程控制设备，实现所有设备开关机操作、熄屏与开屏、打开和关闭客户端软件，以及远程监测设备工作状态。</w:t>
            </w:r>
          </w:p>
          <w:p w14:paraId="0439514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21.会议秘书支持远程操作参会人员，实现所有参会人统一登录会议、切换到统一界面、打开统一的文档、临时排位、设置人员权限等功能；此功能可以实现参会人只需入座，无需参会人做任何软件操作。</w:t>
            </w:r>
          </w:p>
          <w:p w14:paraId="05AD841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22.会议秘书支持会议资料管理（上传、删除）、创建资料目录、资料拖拽排序、设置资料权限等，资料设置完毕后自动下发到终端。</w:t>
            </w:r>
          </w:p>
          <w:p w14:paraId="59EBDA5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23.会议秘书支持会中进行议程、表决管理，打开关闭议程和表决，可实时查看表决过程。</w:t>
            </w:r>
          </w:p>
          <w:p w14:paraId="32AA6A9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24.会议秘书支持会中发布标语通知，可创建多个标语通知，通过打开和关闭进行标语切换。</w:t>
            </w:r>
          </w:p>
          <w:p w14:paraId="1745454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25.会议秘书支持会中进行会议背景图设置、铭牌终端显示设置、会议记录等。</w:t>
            </w:r>
          </w:p>
          <w:p w14:paraId="1318AE0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26.支持一场会议按照议程分批指定不同的参会人，议程开始时，客户端软件根据后台配置自动切换到新的参会人界面，参会人按照人名指引入会。</w:t>
            </w:r>
          </w:p>
          <w:p w14:paraId="3C80DFB9">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27.支持会议实时字幕在屏幕上显示，灵活配置文字显示属性、底图等。（需搭配AI语音转文字会议系统使用）</w:t>
            </w:r>
          </w:p>
          <w:p w14:paraId="7A2147F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28.支持每个会议独立设置终端界面主题包，系统默认提供3个主题包，也可定制个性化界面主题包（需购买定制主题包）。</w:t>
            </w:r>
          </w:p>
          <w:p w14:paraId="3B071911">
            <w:pPr>
              <w:spacing w:line="360" w:lineRule="exact"/>
              <w:jc w:val="left"/>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无纸化主机参数：</w:t>
            </w:r>
          </w:p>
          <w:p w14:paraId="2EE30AB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1.CPU：Intel酷睿I5四代（因产品不断升级，性能会不断优化）</w:t>
            </w:r>
          </w:p>
          <w:p w14:paraId="5FD57EF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2.内存：DDR3 4GB</w:t>
            </w:r>
          </w:p>
          <w:p w14:paraId="21C4EC3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3.硬盘容量：128GB SSD</w:t>
            </w:r>
          </w:p>
          <w:p w14:paraId="71C32BE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4.网卡：1×千兆网卡，RJ45接口</w:t>
            </w:r>
          </w:p>
          <w:p w14:paraId="436C5E6F">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5.标准接口：4×USB（3.0/2.0）、1×HDMI、1×VGA、1×LAN、1×MIC-IN端口、1×LINE-OUT端口、1×DC端口、1×COM口</w:t>
            </w:r>
          </w:p>
          <w:p w14:paraId="220D6669">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6.工作环境：环境温度：-10℃～50℃；相对湿度：0% ~ 95%，无结露</w:t>
            </w:r>
          </w:p>
          <w:p w14:paraId="173E36F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7.工作电源：DC 17V/6.5A 120W</w:t>
            </w:r>
          </w:p>
          <w:p w14:paraId="5332864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8.功耗：65W</w:t>
            </w:r>
          </w:p>
          <w:p w14:paraId="67A461B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9.尺寸（L×W×H）：216×191×61mm</w:t>
            </w:r>
          </w:p>
          <w:p w14:paraId="3AB21F7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10.重量：1.309kg</w:t>
            </w:r>
          </w:p>
          <w:p w14:paraId="7FB3E6F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11.颜色：黑色</w:t>
            </w:r>
          </w:p>
        </w:tc>
        <w:tc>
          <w:tcPr>
            <w:tcW w:w="527" w:type="dxa"/>
            <w:noWrap/>
            <w:tcMar>
              <w:top w:w="15" w:type="dxa"/>
              <w:left w:w="15" w:type="dxa"/>
              <w:bottom w:w="0" w:type="dxa"/>
              <w:right w:w="15" w:type="dxa"/>
            </w:tcMar>
            <w:vAlign w:val="center"/>
          </w:tcPr>
          <w:p w14:paraId="49BA1376">
            <w:pPr>
              <w:spacing w:line="360" w:lineRule="exact"/>
              <w:jc w:val="left"/>
              <w:rPr>
                <w:rFonts w:hint="eastAsia" w:ascii="宋体" w:hAnsi="宋体" w:eastAsia="宋体" w:cs="宋体"/>
                <w:b/>
                <w:sz w:val="24"/>
                <w:szCs w:val="24"/>
              </w:rPr>
            </w:pPr>
          </w:p>
        </w:tc>
      </w:tr>
      <w:tr w14:paraId="7EA2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487" w:type="dxa"/>
            <w:noWrap w:val="0"/>
            <w:tcMar>
              <w:top w:w="15" w:type="dxa"/>
              <w:left w:w="15" w:type="dxa"/>
              <w:bottom w:w="0" w:type="dxa"/>
              <w:right w:w="15" w:type="dxa"/>
            </w:tcMar>
            <w:vAlign w:val="center"/>
          </w:tcPr>
          <w:p w14:paraId="41C8F09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848" w:type="dxa"/>
            <w:noWrap/>
            <w:tcMar>
              <w:top w:w="15" w:type="dxa"/>
              <w:left w:w="15" w:type="dxa"/>
              <w:bottom w:w="0" w:type="dxa"/>
              <w:right w:w="15" w:type="dxa"/>
            </w:tcMar>
            <w:vAlign w:val="center"/>
          </w:tcPr>
          <w:p w14:paraId="1D0A125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投影申请器</w:t>
            </w:r>
          </w:p>
        </w:tc>
        <w:tc>
          <w:tcPr>
            <w:tcW w:w="7057" w:type="dxa"/>
            <w:noWrap/>
            <w:tcMar>
              <w:top w:w="15" w:type="dxa"/>
              <w:left w:w="15" w:type="dxa"/>
              <w:bottom w:w="0" w:type="dxa"/>
              <w:right w:w="15" w:type="dxa"/>
            </w:tcMar>
            <w:vAlign w:val="center"/>
          </w:tcPr>
          <w:p w14:paraId="3F98401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参会人员通过本设备可自行将讲稿内容投影到会议室大屏幕，或者有秘书终端管理后再投影。会议秘书还可根据本单位的要求选择宣传片、音乐进行投影播放。</w:t>
            </w:r>
          </w:p>
          <w:p w14:paraId="4FE48D09">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1.低功耗高效率设计，安全稳定可靠；</w:t>
            </w:r>
          </w:p>
          <w:p w14:paraId="0F47A41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2.支持多个用户投影申请，最多支持8个；</w:t>
            </w:r>
          </w:p>
          <w:p w14:paraId="6176F80F">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3.处理器 i5 </w:t>
            </w:r>
          </w:p>
          <w:p w14:paraId="4037877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4.内存 DDR3/4G</w:t>
            </w:r>
          </w:p>
          <w:p w14:paraId="35C4F909">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5.硬盘 128G(SSD固态硬盘）</w:t>
            </w:r>
          </w:p>
          <w:p w14:paraId="7518272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6.输入接口 DC*1、RJ45*1、USB2.0*4、COM*1</w:t>
            </w:r>
          </w:p>
          <w:p w14:paraId="1763930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7.输出接口 VGA*1、HDMI*1、AUDIO*1</w:t>
            </w:r>
          </w:p>
          <w:p w14:paraId="7E6F635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8.外壳材质 铝合金</w:t>
            </w:r>
          </w:p>
          <w:p w14:paraId="7D7ED43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9.电源需求 DC12V   </w:t>
            </w:r>
          </w:p>
          <w:p w14:paraId="64975F4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10.净重 1Kg</w:t>
            </w:r>
          </w:p>
          <w:p w14:paraId="5E09C28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11.毛重 1.2Kg</w:t>
            </w:r>
          </w:p>
          <w:p w14:paraId="440ADC06">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12.工作温度 -10℃～45℃</w:t>
            </w:r>
          </w:p>
          <w:p w14:paraId="0EC0AB6D">
            <w:pPr>
              <w:spacing w:line="360" w:lineRule="exact"/>
              <w:jc w:val="left"/>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13.工作湿度 10%~95%</w:t>
            </w:r>
          </w:p>
        </w:tc>
        <w:tc>
          <w:tcPr>
            <w:tcW w:w="527" w:type="dxa"/>
            <w:noWrap/>
            <w:tcMar>
              <w:top w:w="15" w:type="dxa"/>
              <w:left w:w="15" w:type="dxa"/>
              <w:bottom w:w="0" w:type="dxa"/>
              <w:right w:w="15" w:type="dxa"/>
            </w:tcMar>
            <w:vAlign w:val="center"/>
          </w:tcPr>
          <w:p w14:paraId="7CF831F8">
            <w:pPr>
              <w:spacing w:line="360" w:lineRule="exact"/>
              <w:jc w:val="left"/>
              <w:rPr>
                <w:rFonts w:hint="eastAsia" w:ascii="宋体" w:hAnsi="宋体" w:eastAsia="宋体" w:cs="宋体"/>
                <w:b/>
                <w:sz w:val="24"/>
                <w:szCs w:val="24"/>
              </w:rPr>
            </w:pPr>
          </w:p>
        </w:tc>
      </w:tr>
      <w:tr w14:paraId="5E7F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5555FE1F">
            <w:pPr>
              <w:rPr>
                <w:rFonts w:hint="eastAsia"/>
                <w:lang w:val="en-US" w:eastAsia="zh-CN"/>
              </w:rPr>
            </w:pPr>
          </w:p>
          <w:p w14:paraId="2F843AB9">
            <w:pPr>
              <w:pStyle w:val="2"/>
              <w:rPr>
                <w:rFonts w:hint="eastAsia"/>
                <w:lang w:val="en-US" w:eastAsia="zh-CN"/>
              </w:rPr>
            </w:pPr>
          </w:p>
          <w:p w14:paraId="04E193F5">
            <w:pPr>
              <w:rPr>
                <w:rFonts w:hint="eastAsia"/>
                <w:lang w:val="en-US" w:eastAsia="zh-CN"/>
              </w:rPr>
            </w:pPr>
          </w:p>
          <w:p w14:paraId="6D104130">
            <w:pPr>
              <w:pStyle w:val="2"/>
              <w:rPr>
                <w:rFonts w:hint="eastAsia"/>
                <w:lang w:val="en-US" w:eastAsia="zh-CN"/>
              </w:rPr>
            </w:pPr>
          </w:p>
          <w:p w14:paraId="7702738D">
            <w:pPr>
              <w:rPr>
                <w:rFonts w:hint="eastAsia"/>
                <w:lang w:val="en-US" w:eastAsia="zh-CN"/>
              </w:rPr>
            </w:pPr>
          </w:p>
          <w:p w14:paraId="2CFD654E">
            <w:pPr>
              <w:pStyle w:val="2"/>
              <w:rPr>
                <w:rFonts w:hint="eastAsia"/>
                <w:lang w:val="en-US" w:eastAsia="zh-CN"/>
              </w:rPr>
            </w:pPr>
          </w:p>
          <w:p w14:paraId="612F6319">
            <w:pPr>
              <w:rPr>
                <w:rFonts w:hint="eastAsia"/>
                <w:lang w:val="en-US" w:eastAsia="zh-CN"/>
              </w:rPr>
            </w:pPr>
          </w:p>
          <w:p w14:paraId="3CD6A165">
            <w:pPr>
              <w:pStyle w:val="2"/>
              <w:rPr>
                <w:rFonts w:hint="eastAsia"/>
                <w:lang w:val="en-US" w:eastAsia="zh-CN"/>
              </w:rPr>
            </w:pPr>
          </w:p>
          <w:p w14:paraId="39E84786">
            <w:pPr>
              <w:rPr>
                <w:rFonts w:hint="eastAsia"/>
                <w:lang w:val="en-US" w:eastAsia="zh-CN"/>
              </w:rPr>
            </w:pPr>
          </w:p>
          <w:p w14:paraId="0738907F">
            <w:pPr>
              <w:pStyle w:val="2"/>
              <w:rPr>
                <w:rFonts w:hint="eastAsia"/>
                <w:lang w:val="en-US" w:eastAsia="zh-CN"/>
              </w:rPr>
            </w:pPr>
          </w:p>
          <w:p w14:paraId="50A6F071">
            <w:pPr>
              <w:rPr>
                <w:rFonts w:hint="default"/>
                <w:lang w:val="en-US" w:eastAsia="zh-CN"/>
              </w:rPr>
            </w:pPr>
            <w:r>
              <w:rPr>
                <w:rFonts w:hint="eastAsia"/>
                <w:lang w:val="en-US" w:eastAsia="zh-CN"/>
              </w:rPr>
              <w:t>10</w:t>
            </w:r>
          </w:p>
          <w:p w14:paraId="3E7536CB">
            <w:pPr>
              <w:pStyle w:val="2"/>
              <w:rPr>
                <w:rFonts w:hint="eastAsia"/>
                <w:lang w:val="en-US" w:eastAsia="zh-CN"/>
              </w:rPr>
            </w:pPr>
          </w:p>
          <w:p w14:paraId="1633C526">
            <w:pPr>
              <w:rPr>
                <w:rFonts w:hint="eastAsia"/>
                <w:lang w:val="en-US" w:eastAsia="zh-CN"/>
              </w:rPr>
            </w:pPr>
          </w:p>
          <w:p w14:paraId="3B347E09">
            <w:pPr>
              <w:pStyle w:val="2"/>
              <w:ind w:left="0" w:leftChars="0" w:firstLine="0" w:firstLineChars="0"/>
              <w:rPr>
                <w:rFonts w:hint="default"/>
                <w:lang w:val="en-US" w:eastAsia="zh-CN"/>
              </w:rPr>
            </w:pPr>
          </w:p>
        </w:tc>
        <w:tc>
          <w:tcPr>
            <w:tcW w:w="848" w:type="dxa"/>
            <w:noWrap/>
            <w:tcMar>
              <w:top w:w="15" w:type="dxa"/>
              <w:left w:w="15" w:type="dxa"/>
              <w:bottom w:w="0" w:type="dxa"/>
              <w:right w:w="15" w:type="dxa"/>
            </w:tcMar>
            <w:vAlign w:val="center"/>
          </w:tcPr>
          <w:p w14:paraId="5D9AE517">
            <w:pPr>
              <w:spacing w:line="360" w:lineRule="exact"/>
              <w:jc w:val="left"/>
              <w:rPr>
                <w:rFonts w:hint="eastAsia"/>
                <w:lang w:val="en-US" w:eastAsia="zh-CN"/>
              </w:rPr>
            </w:pPr>
          </w:p>
          <w:p w14:paraId="0D67C29B">
            <w:pPr>
              <w:pStyle w:val="2"/>
              <w:rPr>
                <w:rFonts w:hint="eastAsia"/>
                <w:lang w:val="en-US" w:eastAsia="zh-CN"/>
              </w:rPr>
            </w:pPr>
          </w:p>
          <w:p w14:paraId="526E6E77">
            <w:pPr>
              <w:rPr>
                <w:rFonts w:hint="eastAsia"/>
                <w:lang w:val="en-US" w:eastAsia="zh-CN"/>
              </w:rPr>
            </w:pPr>
          </w:p>
          <w:p w14:paraId="3E82D1FF">
            <w:pPr>
              <w:pStyle w:val="2"/>
              <w:rPr>
                <w:rFonts w:hint="eastAsia"/>
                <w:lang w:val="en-US" w:eastAsia="zh-CN"/>
              </w:rPr>
            </w:pPr>
          </w:p>
          <w:p w14:paraId="263EC878">
            <w:pPr>
              <w:rPr>
                <w:rFonts w:hint="eastAsia"/>
                <w:lang w:val="en-US" w:eastAsia="zh-CN"/>
              </w:rPr>
            </w:pPr>
          </w:p>
          <w:p w14:paraId="2F9E3E90">
            <w:pPr>
              <w:pStyle w:val="2"/>
              <w:rPr>
                <w:rFonts w:hint="eastAsia"/>
                <w:lang w:val="en-US" w:eastAsia="zh-CN"/>
              </w:rPr>
            </w:pPr>
          </w:p>
          <w:p w14:paraId="60C15F9F">
            <w:pPr>
              <w:rPr>
                <w:rFonts w:hint="eastAsia"/>
                <w:lang w:val="en-US" w:eastAsia="zh-CN"/>
              </w:rPr>
            </w:pPr>
          </w:p>
          <w:p w14:paraId="1E8ECF37">
            <w:pPr>
              <w:pStyle w:val="2"/>
              <w:rPr>
                <w:rFonts w:hint="eastAsia"/>
                <w:lang w:val="en-US" w:eastAsia="zh-CN"/>
              </w:rPr>
            </w:pPr>
          </w:p>
          <w:p w14:paraId="43F57CD4">
            <w:pP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全高清流媒体编码主机</w:t>
            </w:r>
          </w:p>
        </w:tc>
        <w:tc>
          <w:tcPr>
            <w:tcW w:w="7057" w:type="dxa"/>
            <w:noWrap/>
            <w:tcMar>
              <w:top w:w="15" w:type="dxa"/>
              <w:left w:w="15" w:type="dxa"/>
              <w:bottom w:w="0" w:type="dxa"/>
              <w:right w:w="15" w:type="dxa"/>
            </w:tcMar>
            <w:vAlign w:val="center"/>
          </w:tcPr>
          <w:p w14:paraId="3F9495C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1．采用工业级铝合金外壳设计，体积小，方便安装；</w:t>
            </w:r>
          </w:p>
          <w:p w14:paraId="2D0C37B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2．支持高清1080P@60Hz采集；</w:t>
            </w:r>
          </w:p>
          <w:p w14:paraId="666445A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3．支持HDMI高清接口，配置简便；</w:t>
            </w:r>
          </w:p>
          <w:p w14:paraId="125B7C1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4.支持主、次码流输出模式，支持TS(单播/组播)、RTSP(TCP/UDP)、RTMP、HTTP、服务器(SDK)等多种流媒体协议；</w:t>
            </w:r>
          </w:p>
          <w:p w14:paraId="1784FA2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5.内置液晶屏：0.96寸OLED屏幕，实时显示本机IP及运行信息；</w:t>
            </w:r>
          </w:p>
          <w:p w14:paraId="76127A79">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6.视频输入接口：HDMI；</w:t>
            </w:r>
          </w:p>
          <w:p w14:paraId="6CACBE5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7.音频输入接口：凤凰端子LINE IN、HDMI IN；</w:t>
            </w:r>
          </w:p>
          <w:p w14:paraId="1EFAB3B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8.视频编码方式：H.264/H.265；</w:t>
            </w:r>
          </w:p>
          <w:p w14:paraId="4A38AE4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9.音频编码方式：AAC-LC、G711；</w:t>
            </w:r>
          </w:p>
          <w:p w14:paraId="084A986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10.音频采样率：32K、44.1K、48K；</w:t>
            </w:r>
          </w:p>
          <w:p w14:paraId="192B3CA6">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11.支持分辨率：1080P@60；</w:t>
            </w:r>
          </w:p>
          <w:p w14:paraId="5B2799E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12.码率范围：64Kpbs-40Mbps；</w:t>
            </w:r>
          </w:p>
          <w:p w14:paraId="5BC95EB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13.码率控制：CBR、VBR；</w:t>
            </w:r>
          </w:p>
          <w:p w14:paraId="1CC180D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14.预处理：OSD字幕/时间等；</w:t>
            </w:r>
          </w:p>
          <w:p w14:paraId="091C990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15.传输协议：UDP、TS、RTSP、RTMP、HTTP；</w:t>
            </w:r>
          </w:p>
          <w:p w14:paraId="7EFC634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16.网络接口：2路千兆网络（一光一路口）组成网络链路双备份保护；</w:t>
            </w:r>
          </w:p>
          <w:p w14:paraId="565037B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17.电源接口：DC插座,DC12V；</w:t>
            </w:r>
          </w:p>
          <w:p w14:paraId="38616E2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18.功率：8W；</w:t>
            </w:r>
          </w:p>
          <w:p w14:paraId="600912B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19.重量：约1Kg；</w:t>
            </w:r>
          </w:p>
          <w:p w14:paraId="291C97B9">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20.外形尺寸：190W X 41H x 150D（mm）。</w:t>
            </w:r>
          </w:p>
        </w:tc>
        <w:tc>
          <w:tcPr>
            <w:tcW w:w="527" w:type="dxa"/>
            <w:noWrap/>
            <w:tcMar>
              <w:top w:w="15" w:type="dxa"/>
              <w:left w:w="15" w:type="dxa"/>
              <w:bottom w:w="0" w:type="dxa"/>
              <w:right w:w="15" w:type="dxa"/>
            </w:tcMar>
            <w:vAlign w:val="center"/>
          </w:tcPr>
          <w:p w14:paraId="21669FA2">
            <w:pPr>
              <w:spacing w:line="360" w:lineRule="exact"/>
              <w:jc w:val="left"/>
              <w:rPr>
                <w:rFonts w:hint="eastAsia" w:ascii="宋体" w:hAnsi="宋体" w:eastAsia="宋体" w:cs="宋体"/>
                <w:b/>
                <w:sz w:val="24"/>
                <w:szCs w:val="24"/>
              </w:rPr>
            </w:pPr>
          </w:p>
        </w:tc>
      </w:tr>
      <w:tr w14:paraId="711E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6CD3B273">
            <w:pPr>
              <w:pStyle w:val="2"/>
              <w:ind w:left="0" w:leftChars="0" w:firstLine="0" w:firstLineChars="0"/>
              <w:rPr>
                <w:rFonts w:hint="default"/>
                <w:lang w:val="en-US" w:eastAsia="zh-CN"/>
              </w:rPr>
            </w:pPr>
            <w:r>
              <w:rPr>
                <w:rFonts w:hint="eastAsia"/>
                <w:lang w:val="en-US" w:eastAsia="zh-CN"/>
              </w:rPr>
              <w:t>11</w:t>
            </w:r>
          </w:p>
        </w:tc>
        <w:tc>
          <w:tcPr>
            <w:tcW w:w="848" w:type="dxa"/>
            <w:noWrap/>
            <w:tcMar>
              <w:top w:w="15" w:type="dxa"/>
              <w:left w:w="15" w:type="dxa"/>
              <w:bottom w:w="0" w:type="dxa"/>
              <w:right w:w="15" w:type="dxa"/>
            </w:tcMar>
            <w:vAlign w:val="center"/>
          </w:tcPr>
          <w:p w14:paraId="0B2C618D">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智能网络拓展器</w:t>
            </w:r>
          </w:p>
        </w:tc>
        <w:tc>
          <w:tcPr>
            <w:tcW w:w="7057" w:type="dxa"/>
            <w:noWrap/>
            <w:tcMar>
              <w:top w:w="15" w:type="dxa"/>
              <w:left w:w="15" w:type="dxa"/>
              <w:bottom w:w="0" w:type="dxa"/>
              <w:right w:w="15" w:type="dxa"/>
            </w:tcMar>
            <w:vAlign w:val="center"/>
          </w:tcPr>
          <w:p w14:paraId="6C8E77E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1.符合IEEE 802.3, IEEE 802.3u和IEEE 802.3ab 标准  </w:t>
            </w:r>
          </w:p>
          <w:p w14:paraId="49ABFD7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2.24个10/100/1000Mbps自适应 RJ45 ，支持自动翻转(Auto-MDI/MDIX)</w:t>
            </w:r>
          </w:p>
          <w:p w14:paraId="2D1D0C1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3.支持8K MAC地址</w:t>
            </w:r>
          </w:p>
          <w:p w14:paraId="7854A12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4.支持EEPROM配置</w:t>
            </w:r>
          </w:p>
          <w:p w14:paraId="380B370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5.支持堆叠和QoS</w:t>
            </w:r>
          </w:p>
          <w:p w14:paraId="7355A1C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6.所有端口支持 IEEE 802.3x 半双工流量控制和全双工回压模式</w:t>
            </w:r>
          </w:p>
          <w:p w14:paraId="7BD7927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7.无阻塞交换架构,全线速转发和最大吞吐量过滤数据包</w:t>
            </w:r>
          </w:p>
          <w:p w14:paraId="2B8DB2A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8.支持MAC地址学习，自动调整传输方式和传输速率；</w:t>
            </w:r>
          </w:p>
          <w:p w14:paraId="63844B1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9.LED 指示电源,link and activity，提供简单的工作状态提示及故障排除；</w:t>
            </w:r>
          </w:p>
          <w:p w14:paraId="45296CA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10.19寸标准五金钢壳外壳设计</w:t>
            </w:r>
          </w:p>
          <w:p w14:paraId="4BCE947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w:t>
            </w:r>
          </w:p>
          <w:p w14:paraId="20BBD6B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1.标准:</w:t>
            </w:r>
          </w:p>
          <w:p w14:paraId="0808F2C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IEEE 802.3 10Base-T 以太网</w:t>
            </w:r>
          </w:p>
          <w:p w14:paraId="11D8099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IEEE 802.3u 100Base-TX 快速以太网</w:t>
            </w:r>
          </w:p>
          <w:p w14:paraId="2F67CD4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IEEE 802.3ab 1000Base-T 千兆以太网 ANSI/IEEE 标准 802.3 自动调整</w:t>
            </w:r>
          </w:p>
          <w:p w14:paraId="5DF75BE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2.IEEE 802.3x 流量控制</w:t>
            </w:r>
          </w:p>
          <w:p w14:paraId="2F48A68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3.协议:CSMA/CD</w:t>
            </w:r>
          </w:p>
          <w:p w14:paraId="76A21CB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4.转发速率:</w:t>
            </w:r>
          </w:p>
          <w:p w14:paraId="6EF7A1C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千兆以太网2000Mbps (全双工),1000Mbps :1488000pps</w:t>
            </w:r>
          </w:p>
          <w:p w14:paraId="6552AD7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5.端口数:24个 10/100M RJ45端口+2个千兆SFP 光口</w:t>
            </w:r>
          </w:p>
          <w:p w14:paraId="706DC9A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6.光纤接口：SFP 速率：1.25Gbps  </w:t>
            </w:r>
          </w:p>
          <w:p w14:paraId="1022DAD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7.光波：1310/1550nm</w:t>
            </w:r>
          </w:p>
          <w:p w14:paraId="200FDD99">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8.光纤类型：多模62.5/125µm 单模8.3/125µm</w:t>
            </w:r>
          </w:p>
          <w:p w14:paraId="6BBF97A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9.传输距离：多模 550m  单模 10/40/80Km</w:t>
            </w:r>
          </w:p>
          <w:p w14:paraId="1129EF6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10.背板带宽:52G</w:t>
            </w:r>
          </w:p>
          <w:p w14:paraId="70A3877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11.产品尺寸:440x200x44mm</w:t>
            </w:r>
          </w:p>
          <w:p w14:paraId="35D0F57F">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12.产品净重:2.0KG</w:t>
            </w:r>
          </w:p>
          <w:p w14:paraId="2E70F2B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13.运行环境：</w:t>
            </w:r>
          </w:p>
          <w:p w14:paraId="66F8B2E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工作温度: -10 C～+65 C  存储温度: -40 C～+75 C</w:t>
            </w:r>
          </w:p>
          <w:p w14:paraId="6E84020F">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工作湿度:10%～90% 不凝结  存储湿度:5%～95 %  不凝结</w:t>
            </w:r>
          </w:p>
        </w:tc>
        <w:tc>
          <w:tcPr>
            <w:tcW w:w="527" w:type="dxa"/>
            <w:noWrap/>
            <w:tcMar>
              <w:top w:w="15" w:type="dxa"/>
              <w:left w:w="15" w:type="dxa"/>
              <w:bottom w:w="0" w:type="dxa"/>
              <w:right w:w="15" w:type="dxa"/>
            </w:tcMar>
            <w:vAlign w:val="center"/>
          </w:tcPr>
          <w:p w14:paraId="3FB8F0FB">
            <w:pPr>
              <w:spacing w:line="360" w:lineRule="exact"/>
              <w:jc w:val="left"/>
              <w:rPr>
                <w:rFonts w:hint="eastAsia" w:ascii="宋体" w:hAnsi="宋体" w:eastAsia="宋体" w:cs="宋体"/>
                <w:b/>
                <w:sz w:val="24"/>
                <w:szCs w:val="24"/>
              </w:rPr>
            </w:pPr>
          </w:p>
        </w:tc>
      </w:tr>
      <w:tr w14:paraId="0A03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2B489F00">
            <w:pPr>
              <w:pStyle w:val="2"/>
              <w:ind w:left="0" w:leftChars="0" w:firstLine="0" w:firstLineChars="0"/>
              <w:rPr>
                <w:rFonts w:hint="default"/>
                <w:lang w:val="en-US" w:eastAsia="zh-CN"/>
              </w:rPr>
            </w:pPr>
            <w:r>
              <w:rPr>
                <w:rFonts w:hint="eastAsia"/>
                <w:lang w:val="en-US" w:eastAsia="zh-CN"/>
              </w:rPr>
              <w:t>12</w:t>
            </w:r>
          </w:p>
        </w:tc>
        <w:tc>
          <w:tcPr>
            <w:tcW w:w="848" w:type="dxa"/>
            <w:noWrap/>
            <w:tcMar>
              <w:top w:w="15" w:type="dxa"/>
              <w:left w:w="15" w:type="dxa"/>
              <w:bottom w:w="0" w:type="dxa"/>
              <w:right w:w="15" w:type="dxa"/>
            </w:tcMar>
            <w:vAlign w:val="center"/>
          </w:tcPr>
          <w:p w14:paraId="42C368ED">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会议吸顶音箱</w:t>
            </w:r>
          </w:p>
        </w:tc>
        <w:tc>
          <w:tcPr>
            <w:tcW w:w="7057" w:type="dxa"/>
            <w:noWrap/>
            <w:tcMar>
              <w:top w:w="15" w:type="dxa"/>
              <w:left w:w="15" w:type="dxa"/>
              <w:bottom w:w="0" w:type="dxa"/>
              <w:right w:w="15" w:type="dxa"/>
            </w:tcMar>
            <w:vAlign w:val="center"/>
          </w:tcPr>
          <w:p w14:paraId="451335A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1.频宽(-10dB):50Hz-20,000Hz</w:t>
            </w:r>
          </w:p>
          <w:p w14:paraId="1245252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2.灵敏度（1m，1W）:91dB</w:t>
            </w:r>
          </w:p>
          <w:p w14:paraId="1A2F637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3.最大声压级(1m):107dB</w:t>
            </w:r>
          </w:p>
          <w:p w14:paraId="686FBE3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4.输入阻抗:8欧</w:t>
            </w:r>
          </w:p>
          <w:p w14:paraId="02FC1C5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5.系统输入功率:40W</w:t>
            </w:r>
          </w:p>
          <w:p w14:paraId="1035EF6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6.结构组成:6.5′低音×1(低、中频)1.5′高音×1(高频)</w:t>
            </w:r>
          </w:p>
          <w:p w14:paraId="05EFDE3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7.适应环境温度:-10℃~+40℃</w:t>
            </w:r>
          </w:p>
          <w:p w14:paraId="08FBE75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8.尺寸241mm×Ø231mm</w:t>
            </w:r>
          </w:p>
          <w:p w14:paraId="6D0B7E1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9.安装孔尺寸Ø198mm-Ø203mm</w:t>
            </w:r>
          </w:p>
          <w:p w14:paraId="21A7184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10.净重3.5kg(7.8lbs)</w:t>
            </w:r>
          </w:p>
        </w:tc>
        <w:tc>
          <w:tcPr>
            <w:tcW w:w="527" w:type="dxa"/>
            <w:noWrap/>
            <w:tcMar>
              <w:top w:w="15" w:type="dxa"/>
              <w:left w:w="15" w:type="dxa"/>
              <w:bottom w:w="0" w:type="dxa"/>
              <w:right w:w="15" w:type="dxa"/>
            </w:tcMar>
            <w:vAlign w:val="center"/>
          </w:tcPr>
          <w:p w14:paraId="43D24509">
            <w:pPr>
              <w:spacing w:line="360" w:lineRule="exact"/>
              <w:jc w:val="left"/>
              <w:rPr>
                <w:rFonts w:hint="eastAsia" w:ascii="宋体" w:hAnsi="宋体" w:eastAsia="宋体" w:cs="宋体"/>
                <w:b/>
                <w:sz w:val="24"/>
                <w:szCs w:val="24"/>
              </w:rPr>
            </w:pPr>
          </w:p>
        </w:tc>
      </w:tr>
      <w:tr w14:paraId="34C4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9" w:hRule="atLeast"/>
        </w:trPr>
        <w:tc>
          <w:tcPr>
            <w:tcW w:w="487" w:type="dxa"/>
            <w:noWrap w:val="0"/>
            <w:tcMar>
              <w:top w:w="15" w:type="dxa"/>
              <w:left w:w="15" w:type="dxa"/>
              <w:bottom w:w="0" w:type="dxa"/>
              <w:right w:w="15" w:type="dxa"/>
            </w:tcMar>
            <w:vAlign w:val="center"/>
          </w:tcPr>
          <w:p w14:paraId="341A7E09">
            <w:pPr>
              <w:pStyle w:val="2"/>
              <w:ind w:left="0" w:leftChars="0" w:firstLine="0" w:firstLineChars="0"/>
              <w:rPr>
                <w:rFonts w:hint="default"/>
                <w:lang w:val="en-US" w:eastAsia="zh-CN"/>
              </w:rPr>
            </w:pPr>
            <w:r>
              <w:rPr>
                <w:rFonts w:hint="eastAsia"/>
                <w:lang w:val="en-US" w:eastAsia="zh-CN"/>
              </w:rPr>
              <w:t>13</w:t>
            </w:r>
          </w:p>
        </w:tc>
        <w:tc>
          <w:tcPr>
            <w:tcW w:w="848" w:type="dxa"/>
            <w:noWrap/>
            <w:tcMar>
              <w:top w:w="15" w:type="dxa"/>
              <w:left w:w="15" w:type="dxa"/>
              <w:bottom w:w="0" w:type="dxa"/>
              <w:right w:w="15" w:type="dxa"/>
            </w:tcMar>
            <w:vAlign w:val="center"/>
          </w:tcPr>
          <w:p w14:paraId="57585EE3">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话筒前级功放</w:t>
            </w:r>
          </w:p>
        </w:tc>
        <w:tc>
          <w:tcPr>
            <w:tcW w:w="7057" w:type="dxa"/>
            <w:noWrap/>
            <w:tcMar>
              <w:top w:w="15" w:type="dxa"/>
              <w:left w:w="15" w:type="dxa"/>
              <w:bottom w:w="0" w:type="dxa"/>
              <w:right w:w="15" w:type="dxa"/>
            </w:tcMar>
            <w:vAlign w:val="center"/>
          </w:tcPr>
          <w:p w14:paraId="4CFC4FA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1.方便可靠的工作模式，一体化的功能设计</w:t>
            </w:r>
          </w:p>
          <w:p w14:paraId="217265D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2.4个线路输入，一个线路输出，6个话筒输入（平衡，不接地，配有24V幻像电源）</w:t>
            </w:r>
          </w:p>
          <w:p w14:paraId="6DEB4A8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3.4个音源通道智能自动检测输出，信号优先播放</w:t>
            </w:r>
          </w:p>
          <w:p w14:paraId="60A08A6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4.话筒1和钟声输入具有默音功能，便于强插</w:t>
            </w:r>
          </w:p>
          <w:p w14:paraId="1C2B3F19">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5.具备一路话筒优先发言功能，方便不同场合使用。</w:t>
            </w:r>
          </w:p>
          <w:p w14:paraId="67F804B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6.具有话筒移频功能，移频频率可调</w:t>
            </w:r>
          </w:p>
          <w:p w14:paraId="7575857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7.内置钟声发生器，钟声输出音量可调</w:t>
            </w:r>
          </w:p>
          <w:p w14:paraId="51F01FF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8.话筒和音源通道音量独立控制，功放输出音量综合控制</w:t>
            </w:r>
          </w:p>
          <w:p w14:paraId="10B60A9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9.7段均衡，调节方便，均衡/直通切换选择输出</w:t>
            </w:r>
          </w:p>
          <w:p w14:paraId="11675E5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10.100V、70V定压输出，4-16Ω定阻输出</w:t>
            </w:r>
          </w:p>
          <w:p w14:paraId="1301195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11.额定功率350W</w:t>
            </w:r>
          </w:p>
          <w:p w14:paraId="21BC8C5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★12.支持智能保护模式，具有短路保护、直流保护、电源通断多种保护和告警功能；（投标时需提供“一种功放保护电路”的证明文件以说明功放具有保护电路的功能）</w:t>
            </w:r>
          </w:p>
        </w:tc>
        <w:tc>
          <w:tcPr>
            <w:tcW w:w="527" w:type="dxa"/>
            <w:noWrap/>
            <w:tcMar>
              <w:top w:w="15" w:type="dxa"/>
              <w:left w:w="15" w:type="dxa"/>
              <w:bottom w:w="0" w:type="dxa"/>
              <w:right w:w="15" w:type="dxa"/>
            </w:tcMar>
            <w:vAlign w:val="center"/>
          </w:tcPr>
          <w:p w14:paraId="2772C56B">
            <w:pPr>
              <w:spacing w:line="360" w:lineRule="exact"/>
              <w:jc w:val="left"/>
              <w:rPr>
                <w:rFonts w:hint="eastAsia" w:ascii="宋体" w:hAnsi="宋体" w:eastAsia="宋体" w:cs="宋体"/>
                <w:b/>
                <w:sz w:val="24"/>
                <w:szCs w:val="24"/>
              </w:rPr>
            </w:pPr>
            <w:r>
              <w:rPr>
                <w:rFonts w:hint="eastAsia" w:ascii="宋体" w:hAnsi="宋体" w:eastAsia="宋体" w:cs="宋体"/>
                <w:kern w:val="2"/>
                <w:sz w:val="21"/>
                <w:szCs w:val="21"/>
              </w:rPr>
              <w:t>▲</w:t>
            </w:r>
          </w:p>
        </w:tc>
      </w:tr>
      <w:tr w14:paraId="69B1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3C4488D0">
            <w:pPr>
              <w:pStyle w:val="2"/>
              <w:ind w:left="0" w:leftChars="0" w:firstLine="0" w:firstLineChars="0"/>
              <w:rPr>
                <w:rFonts w:hint="eastAsia"/>
                <w:lang w:val="en-US" w:eastAsia="zh-CN"/>
              </w:rPr>
            </w:pPr>
          </w:p>
          <w:p w14:paraId="37E33FF6">
            <w:pPr>
              <w:rPr>
                <w:rFonts w:hint="eastAsia"/>
                <w:lang w:val="en-US" w:eastAsia="zh-CN"/>
              </w:rPr>
            </w:pPr>
          </w:p>
          <w:p w14:paraId="531921CA">
            <w:pPr>
              <w:pStyle w:val="2"/>
              <w:rPr>
                <w:rFonts w:hint="eastAsia"/>
                <w:lang w:val="en-US" w:eastAsia="zh-CN"/>
              </w:rPr>
            </w:pPr>
          </w:p>
          <w:p w14:paraId="453D9E2B">
            <w:pPr>
              <w:rPr>
                <w:rFonts w:hint="eastAsia"/>
                <w:lang w:val="en-US" w:eastAsia="zh-CN"/>
              </w:rPr>
            </w:pPr>
          </w:p>
          <w:p w14:paraId="272DC7C9">
            <w:pPr>
              <w:pStyle w:val="2"/>
              <w:rPr>
                <w:rFonts w:hint="eastAsia"/>
                <w:lang w:val="en-US" w:eastAsia="zh-CN"/>
              </w:rPr>
            </w:pPr>
          </w:p>
          <w:p w14:paraId="4EC6A451">
            <w:pPr>
              <w:rPr>
                <w:rFonts w:hint="default"/>
                <w:lang w:val="en-US" w:eastAsia="zh-CN"/>
              </w:rPr>
            </w:pPr>
            <w:r>
              <w:rPr>
                <w:rFonts w:hint="eastAsia"/>
                <w:lang w:val="en-US" w:eastAsia="zh-CN"/>
              </w:rPr>
              <w:t>14</w:t>
            </w:r>
          </w:p>
        </w:tc>
        <w:tc>
          <w:tcPr>
            <w:tcW w:w="848" w:type="dxa"/>
            <w:noWrap/>
            <w:tcMar>
              <w:top w:w="15" w:type="dxa"/>
              <w:left w:w="15" w:type="dxa"/>
              <w:bottom w:w="0" w:type="dxa"/>
              <w:right w:w="15" w:type="dxa"/>
            </w:tcMar>
            <w:vAlign w:val="center"/>
          </w:tcPr>
          <w:p w14:paraId="08F81568">
            <w:pPr>
              <w:rPr>
                <w:rFonts w:hint="eastAsia"/>
                <w:lang w:val="en-US" w:eastAsia="zh-CN"/>
              </w:rPr>
            </w:pPr>
          </w:p>
          <w:p w14:paraId="23A28407">
            <w:pPr>
              <w:pStyle w:val="2"/>
              <w:rPr>
                <w:rFonts w:hint="eastAsia"/>
                <w:lang w:val="en-US" w:eastAsia="zh-CN"/>
              </w:rPr>
            </w:pPr>
          </w:p>
          <w:p w14:paraId="55A64384">
            <w:pPr>
              <w:rPr>
                <w:rFonts w:hint="eastAsia"/>
                <w:lang w:val="en-US" w:eastAsia="zh-CN"/>
              </w:rPr>
            </w:pPr>
          </w:p>
          <w:p w14:paraId="796E161E">
            <w:pPr>
              <w:pStyle w:val="2"/>
              <w:rPr>
                <w:rFonts w:hint="eastAsia"/>
                <w:lang w:val="en-US" w:eastAsia="zh-CN"/>
              </w:rPr>
            </w:pPr>
          </w:p>
          <w:p w14:paraId="65CC64FF">
            <w:pPr>
              <w:rPr>
                <w:rFonts w:hint="eastAsia"/>
                <w:lang w:val="en-US" w:eastAsia="zh-CN"/>
              </w:rPr>
            </w:pPr>
          </w:p>
          <w:p w14:paraId="40E68591">
            <w:pPr>
              <w:pStyle w:val="2"/>
              <w:rPr>
                <w:rFonts w:hint="eastAsia"/>
                <w:lang w:val="en-US" w:eastAsia="zh-CN"/>
              </w:rPr>
            </w:pPr>
          </w:p>
          <w:p w14:paraId="4D994E18">
            <w:pP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专业音频处理器</w:t>
            </w:r>
          </w:p>
        </w:tc>
        <w:tc>
          <w:tcPr>
            <w:tcW w:w="7057" w:type="dxa"/>
            <w:noWrap/>
            <w:tcMar>
              <w:top w:w="15" w:type="dxa"/>
              <w:left w:w="15" w:type="dxa"/>
              <w:bottom w:w="0" w:type="dxa"/>
              <w:right w:w="15" w:type="dxa"/>
            </w:tcMar>
            <w:vAlign w:val="center"/>
          </w:tcPr>
          <w:p w14:paraId="6D843D0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1、4路模拟输入8路模拟输出</w:t>
            </w:r>
          </w:p>
          <w:p w14:paraId="08A9EE6F">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2、支持麦克风输入和线路输入自由切换</w:t>
            </w:r>
          </w:p>
          <w:p w14:paraId="3E233F1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3、每路输入带48V幻象电源，通过网页开关控制</w:t>
            </w:r>
          </w:p>
          <w:p w14:paraId="7EFE64C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4、输入电平设置、信号发生器、噪声门、延时、压限器、限幅器</w:t>
            </w:r>
          </w:p>
          <w:p w14:paraId="4DE5D14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5、每路输入带反馈抑制功能开关</w:t>
            </w:r>
          </w:p>
          <w:p w14:paraId="4B31916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6、矩阵混音功能</w:t>
            </w:r>
          </w:p>
          <w:p w14:paraId="1B3ED65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7、TCP/IP，网页端进行各种参数调节控制</w:t>
            </w:r>
          </w:p>
          <w:p w14:paraId="00DD7D59">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8、RS-232、RS-485、GPIO接口提供完善的控制功能</w:t>
            </w:r>
          </w:p>
          <w:p w14:paraId="233F5DE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9、输入5段EQ可调，输出31段EQ可调</w:t>
            </w:r>
          </w:p>
          <w:p w14:paraId="57C43C4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10、多种模式场景快速切换</w:t>
            </w:r>
          </w:p>
          <w:p w14:paraId="336A412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11、供电范围：AC100V---240V  50/60 Hz</w:t>
            </w:r>
          </w:p>
          <w:p w14:paraId="0532E69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12、尺寸：44.5mmx482mmx265mm</w:t>
            </w:r>
          </w:p>
          <w:p w14:paraId="09EDB116">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13、净重：2.8kg，3.3kg</w:t>
            </w:r>
          </w:p>
          <w:p w14:paraId="609B447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14、工作温度：-20℃--80℃</w:t>
            </w:r>
          </w:p>
        </w:tc>
        <w:tc>
          <w:tcPr>
            <w:tcW w:w="527" w:type="dxa"/>
            <w:noWrap/>
            <w:tcMar>
              <w:top w:w="15" w:type="dxa"/>
              <w:left w:w="15" w:type="dxa"/>
              <w:bottom w:w="0" w:type="dxa"/>
              <w:right w:w="15" w:type="dxa"/>
            </w:tcMar>
            <w:vAlign w:val="center"/>
          </w:tcPr>
          <w:p w14:paraId="3F403526">
            <w:pPr>
              <w:spacing w:line="360" w:lineRule="exact"/>
              <w:jc w:val="left"/>
              <w:rPr>
                <w:rFonts w:hint="eastAsia" w:ascii="宋体" w:hAnsi="宋体" w:eastAsia="宋体" w:cs="宋体"/>
                <w:b/>
                <w:sz w:val="24"/>
                <w:szCs w:val="24"/>
              </w:rPr>
            </w:pPr>
          </w:p>
        </w:tc>
      </w:tr>
      <w:tr w14:paraId="5A70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660A184A">
            <w:pPr>
              <w:rPr>
                <w:rFonts w:hint="default"/>
                <w:lang w:val="en-US" w:eastAsia="zh-CN"/>
              </w:rPr>
            </w:pPr>
            <w:r>
              <w:rPr>
                <w:rFonts w:hint="eastAsia"/>
                <w:lang w:val="en-US" w:eastAsia="zh-CN"/>
              </w:rPr>
              <w:t>15</w:t>
            </w:r>
          </w:p>
        </w:tc>
        <w:tc>
          <w:tcPr>
            <w:tcW w:w="848" w:type="dxa"/>
            <w:noWrap/>
            <w:tcMar>
              <w:top w:w="15" w:type="dxa"/>
              <w:left w:w="15" w:type="dxa"/>
              <w:bottom w:w="0" w:type="dxa"/>
              <w:right w:w="15" w:type="dxa"/>
            </w:tcMar>
            <w:vAlign w:val="center"/>
          </w:tcPr>
          <w:p w14:paraId="6E279B41">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模拟调音台</w:t>
            </w:r>
          </w:p>
        </w:tc>
        <w:tc>
          <w:tcPr>
            <w:tcW w:w="7057" w:type="dxa"/>
            <w:noWrap/>
            <w:tcMar>
              <w:top w:w="15" w:type="dxa"/>
              <w:left w:w="15" w:type="dxa"/>
              <w:bottom w:w="0" w:type="dxa"/>
              <w:right w:w="15" w:type="dxa"/>
            </w:tcMar>
            <w:vAlign w:val="center"/>
          </w:tcPr>
          <w:p w14:paraId="26268FD6">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1、10路XLR平衡单声道输入+2路立体声输入</w:t>
            </w:r>
          </w:p>
          <w:p w14:paraId="380BCF7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2、每通道3段均衡调节，MUTE静音开关，PFL耳机开关，平滑60MM行程推子器，</w:t>
            </w:r>
          </w:p>
          <w:p w14:paraId="453126D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3、2编组输出 +2组AUX输出（包括FX),</w:t>
            </w:r>
          </w:p>
          <w:p w14:paraId="0FAD6AC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4、1组返回，1组监听耳机输出</w:t>
            </w:r>
          </w:p>
          <w:p w14:paraId="23ACBD4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5、内置48V幻象电源供电；</w:t>
            </w:r>
          </w:p>
          <w:p w14:paraId="677C363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6、24种DSP数字效果器,</w:t>
            </w:r>
          </w:p>
          <w:p w14:paraId="63E1322F">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7、内置USB音频播放MP3；</w:t>
            </w:r>
          </w:p>
          <w:p w14:paraId="12DD4B5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8、USB录音、也可连电脑播放音乐</w:t>
            </w:r>
          </w:p>
          <w:p w14:paraId="737EA6E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9、内置蓝牙接收模块</w:t>
            </w:r>
          </w:p>
          <w:p w14:paraId="19567B1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10、LED大显示屏清淅显示播放状态;</w:t>
            </w:r>
          </w:p>
          <w:p w14:paraId="0F62746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11、十段三色电平灯显示信号状态</w:t>
            </w:r>
          </w:p>
          <w:p w14:paraId="526381E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12、XLR平衡输入话放噪声极低，超低噪音线路设计，动态余量大</w:t>
            </w:r>
          </w:p>
          <w:p w14:paraId="708949E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13、适用全球供电电压功率30瓦；使用灵活。具有无噪声、瞬间反应好、电耗低的特性</w:t>
            </w:r>
          </w:p>
        </w:tc>
        <w:tc>
          <w:tcPr>
            <w:tcW w:w="527" w:type="dxa"/>
            <w:noWrap/>
            <w:tcMar>
              <w:top w:w="15" w:type="dxa"/>
              <w:left w:w="15" w:type="dxa"/>
              <w:bottom w:w="0" w:type="dxa"/>
              <w:right w:w="15" w:type="dxa"/>
            </w:tcMar>
            <w:vAlign w:val="center"/>
          </w:tcPr>
          <w:p w14:paraId="1EB14DA8">
            <w:pPr>
              <w:spacing w:line="360" w:lineRule="exact"/>
              <w:jc w:val="left"/>
              <w:rPr>
                <w:rFonts w:hint="eastAsia" w:ascii="宋体" w:hAnsi="宋体" w:eastAsia="宋体" w:cs="宋体"/>
                <w:b/>
                <w:sz w:val="24"/>
                <w:szCs w:val="24"/>
              </w:rPr>
            </w:pPr>
          </w:p>
        </w:tc>
      </w:tr>
      <w:tr w14:paraId="3C68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5F3BD695">
            <w:pPr>
              <w:rPr>
                <w:rFonts w:hint="default"/>
                <w:lang w:val="en-US" w:eastAsia="zh-CN"/>
              </w:rPr>
            </w:pPr>
            <w:r>
              <w:rPr>
                <w:rFonts w:hint="eastAsia"/>
                <w:lang w:val="en-US" w:eastAsia="zh-CN"/>
              </w:rPr>
              <w:t>16</w:t>
            </w:r>
          </w:p>
        </w:tc>
        <w:tc>
          <w:tcPr>
            <w:tcW w:w="848" w:type="dxa"/>
            <w:noWrap/>
            <w:tcMar>
              <w:top w:w="15" w:type="dxa"/>
              <w:left w:w="15" w:type="dxa"/>
              <w:bottom w:w="0" w:type="dxa"/>
              <w:right w:w="15" w:type="dxa"/>
            </w:tcMar>
            <w:vAlign w:val="center"/>
          </w:tcPr>
          <w:p w14:paraId="32C92745">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反馈抑制器</w:t>
            </w:r>
          </w:p>
        </w:tc>
        <w:tc>
          <w:tcPr>
            <w:tcW w:w="7057" w:type="dxa"/>
            <w:noWrap/>
            <w:tcMar>
              <w:top w:w="15" w:type="dxa"/>
              <w:left w:w="15" w:type="dxa"/>
              <w:bottom w:w="0" w:type="dxa"/>
              <w:right w:w="15" w:type="dxa"/>
            </w:tcMar>
            <w:vAlign w:val="center"/>
          </w:tcPr>
          <w:p w14:paraId="2A646166">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1.64/128超取样24-bitA/D和D/A转换，高解析度</w:t>
            </w:r>
          </w:p>
          <w:p w14:paraId="7C5E804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2.每个声道12个频道反馈自动搜寻，智能处理</w:t>
            </w:r>
          </w:p>
          <w:p w14:paraId="626BF4F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3.及时方便的缺省处置，完备的反馈抑制性能</w:t>
            </w:r>
          </w:p>
          <w:p w14:paraId="77793E8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4.单点模式自动搜寻并处理和锁定陷波频点，直到手动复位或重新设置</w:t>
            </w:r>
          </w:p>
          <w:p w14:paraId="775FE01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5.手动模式可设置2×12个滤波器的所有参数，包括频率、Q值等</w:t>
            </w:r>
          </w:p>
          <w:p w14:paraId="74C61EA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6.伺服平衡输入和输出，镀金XLR和TRS端子</w:t>
            </w:r>
          </w:p>
          <w:p w14:paraId="74D74C4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7.每个滤波器均有单点、自动两种模式</w:t>
            </w:r>
          </w:p>
          <w:p w14:paraId="2C9AF42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8.两个并行处理块，左右声道可单独或并联调整</w:t>
            </w:r>
          </w:p>
          <w:p w14:paraId="062BDCB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9.24-bit高性能DSP处理器，保证了信号的解析度和动态范围</w:t>
            </w:r>
          </w:p>
          <w:p w14:paraId="3E464AE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10.开关软启动，无冲击声，噪声门功能</w:t>
            </w:r>
          </w:p>
          <w:p w14:paraId="68F046C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11.背光2×16字符LCD显示</w:t>
            </w:r>
          </w:p>
          <w:p w14:paraId="265B392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12.2×8LED电平显示，可显示输入或输出电平</w:t>
            </w:r>
          </w:p>
          <w:p w14:paraId="3DA6625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13.采用高质量贴片元件和贴片自动焊接和在线检测工艺，保证了产品的品质和可靠性</w:t>
            </w:r>
          </w:p>
          <w:p w14:paraId="291BECF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14.采用专业设计内部供电系统</w:t>
            </w:r>
          </w:p>
        </w:tc>
        <w:tc>
          <w:tcPr>
            <w:tcW w:w="527" w:type="dxa"/>
            <w:noWrap/>
            <w:tcMar>
              <w:top w:w="15" w:type="dxa"/>
              <w:left w:w="15" w:type="dxa"/>
              <w:bottom w:w="0" w:type="dxa"/>
              <w:right w:w="15" w:type="dxa"/>
            </w:tcMar>
            <w:vAlign w:val="center"/>
          </w:tcPr>
          <w:p w14:paraId="6436697D">
            <w:pPr>
              <w:spacing w:line="360" w:lineRule="exact"/>
              <w:jc w:val="left"/>
              <w:rPr>
                <w:rFonts w:hint="eastAsia" w:ascii="宋体" w:hAnsi="宋体" w:eastAsia="宋体" w:cs="宋体"/>
                <w:b/>
                <w:sz w:val="24"/>
                <w:szCs w:val="24"/>
              </w:rPr>
            </w:pPr>
          </w:p>
        </w:tc>
      </w:tr>
      <w:tr w14:paraId="0650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6C7101FC">
            <w:pPr>
              <w:rPr>
                <w:rFonts w:hint="default"/>
                <w:lang w:val="en-US" w:eastAsia="zh-CN"/>
              </w:rPr>
            </w:pPr>
            <w:r>
              <w:rPr>
                <w:rFonts w:hint="eastAsia"/>
                <w:lang w:val="en-US" w:eastAsia="zh-CN"/>
              </w:rPr>
              <w:t>17</w:t>
            </w:r>
          </w:p>
        </w:tc>
        <w:tc>
          <w:tcPr>
            <w:tcW w:w="848" w:type="dxa"/>
            <w:noWrap/>
            <w:tcMar>
              <w:top w:w="15" w:type="dxa"/>
              <w:left w:w="15" w:type="dxa"/>
              <w:bottom w:w="0" w:type="dxa"/>
              <w:right w:w="15" w:type="dxa"/>
            </w:tcMar>
            <w:vAlign w:val="center"/>
          </w:tcPr>
          <w:p w14:paraId="4E6D9B07">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专业电容式会议麦克风</w:t>
            </w:r>
          </w:p>
        </w:tc>
        <w:tc>
          <w:tcPr>
            <w:tcW w:w="7057" w:type="dxa"/>
            <w:noWrap/>
            <w:tcMar>
              <w:top w:w="15" w:type="dxa"/>
              <w:left w:w="15" w:type="dxa"/>
              <w:bottom w:w="0" w:type="dxa"/>
              <w:right w:w="15" w:type="dxa"/>
            </w:tcMar>
            <w:vAlign w:val="center"/>
          </w:tcPr>
          <w:p w14:paraId="61A997E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1.机构形式：卡龙插拔倒扣式结构</w:t>
            </w:r>
          </w:p>
          <w:p w14:paraId="6C174E54">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2.底座材质：锌基合金</w:t>
            </w:r>
          </w:p>
          <w:p w14:paraId="229E5E7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3.产品类别：9.7背极电容式</w:t>
            </w:r>
          </w:p>
          <w:p w14:paraId="1BB779D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4.指向类型：超心型</w:t>
            </w:r>
          </w:p>
          <w:p w14:paraId="1B6CEA2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5.灵敏度：－35dB±3dB</w:t>
            </w:r>
          </w:p>
          <w:p w14:paraId="08D3D91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6.频率响应：100-12000Hz</w:t>
            </w:r>
          </w:p>
          <w:p w14:paraId="4CD48891">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7.输出抗阻：200Ω平衡式</w:t>
            </w:r>
          </w:p>
          <w:p w14:paraId="10CB0506">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8.输出量：15mV(1KHz/94dB)</w:t>
            </w:r>
          </w:p>
          <w:p w14:paraId="71D997EF">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9.供电：DC1.5V/48V自动切换</w:t>
            </w:r>
          </w:p>
          <w:p w14:paraId="499D213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10.建议拾音距离：(20-50)cm</w:t>
            </w:r>
          </w:p>
        </w:tc>
        <w:tc>
          <w:tcPr>
            <w:tcW w:w="527" w:type="dxa"/>
            <w:noWrap/>
            <w:tcMar>
              <w:top w:w="15" w:type="dxa"/>
              <w:left w:w="15" w:type="dxa"/>
              <w:bottom w:w="0" w:type="dxa"/>
              <w:right w:w="15" w:type="dxa"/>
            </w:tcMar>
            <w:vAlign w:val="center"/>
          </w:tcPr>
          <w:p w14:paraId="54BDCDCA">
            <w:pPr>
              <w:spacing w:line="360" w:lineRule="exact"/>
              <w:jc w:val="left"/>
              <w:rPr>
                <w:rFonts w:hint="eastAsia" w:ascii="宋体" w:hAnsi="宋体" w:eastAsia="宋体" w:cs="宋体"/>
                <w:b/>
                <w:sz w:val="24"/>
                <w:szCs w:val="24"/>
              </w:rPr>
            </w:pPr>
          </w:p>
        </w:tc>
      </w:tr>
      <w:tr w14:paraId="4D21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7562E8ED">
            <w:pPr>
              <w:rPr>
                <w:rFonts w:hint="default"/>
                <w:lang w:val="en-US" w:eastAsia="zh-CN"/>
              </w:rPr>
            </w:pPr>
            <w:r>
              <w:rPr>
                <w:rFonts w:hint="eastAsia"/>
                <w:lang w:val="en-US" w:eastAsia="zh-CN"/>
              </w:rPr>
              <w:t>18</w:t>
            </w:r>
          </w:p>
        </w:tc>
        <w:tc>
          <w:tcPr>
            <w:tcW w:w="848" w:type="dxa"/>
            <w:noWrap/>
            <w:tcMar>
              <w:top w:w="15" w:type="dxa"/>
              <w:left w:w="15" w:type="dxa"/>
              <w:bottom w:w="0" w:type="dxa"/>
              <w:right w:w="15" w:type="dxa"/>
            </w:tcMar>
            <w:vAlign w:val="center"/>
          </w:tcPr>
          <w:p w14:paraId="0270D5BB">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电源时序器</w:t>
            </w:r>
          </w:p>
        </w:tc>
        <w:tc>
          <w:tcPr>
            <w:tcW w:w="7057" w:type="dxa"/>
            <w:noWrap/>
            <w:tcMar>
              <w:top w:w="15" w:type="dxa"/>
              <w:left w:w="15" w:type="dxa"/>
              <w:bottom w:w="0" w:type="dxa"/>
              <w:right w:w="15" w:type="dxa"/>
            </w:tcMar>
            <w:vAlign w:val="center"/>
          </w:tcPr>
          <w:p w14:paraId="6AAB5E2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1.电源输出：8路，万能插座</w:t>
            </w:r>
          </w:p>
          <w:p w14:paraId="63766DC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2.单路最大负荷：10A</w:t>
            </w:r>
          </w:p>
          <w:p w14:paraId="3860D5AF">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3.控制方式：手动顺序启动、外接短路信号触发启动</w:t>
            </w:r>
          </w:p>
          <w:p w14:paraId="1D3BCD26">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4.电源容量：总容量220V，16A</w:t>
            </w:r>
          </w:p>
          <w:p w14:paraId="5F949F7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5.输入电源：AC220/50Hz</w:t>
            </w:r>
          </w:p>
          <w:p w14:paraId="11E7D24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6.时序间隔：0.4-0.5s</w:t>
            </w:r>
          </w:p>
        </w:tc>
        <w:tc>
          <w:tcPr>
            <w:tcW w:w="527" w:type="dxa"/>
            <w:noWrap/>
            <w:tcMar>
              <w:top w:w="15" w:type="dxa"/>
              <w:left w:w="15" w:type="dxa"/>
              <w:bottom w:w="0" w:type="dxa"/>
              <w:right w:w="15" w:type="dxa"/>
            </w:tcMar>
            <w:vAlign w:val="center"/>
          </w:tcPr>
          <w:p w14:paraId="5A137B16">
            <w:pPr>
              <w:spacing w:line="360" w:lineRule="exact"/>
              <w:jc w:val="left"/>
              <w:rPr>
                <w:rFonts w:hint="eastAsia" w:ascii="宋体" w:hAnsi="宋体" w:eastAsia="宋体" w:cs="宋体"/>
                <w:b/>
                <w:sz w:val="24"/>
                <w:szCs w:val="24"/>
              </w:rPr>
            </w:pPr>
          </w:p>
        </w:tc>
      </w:tr>
      <w:tr w14:paraId="15D8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trPr>
        <w:tc>
          <w:tcPr>
            <w:tcW w:w="8919" w:type="dxa"/>
            <w:gridSpan w:val="4"/>
            <w:noWrap w:val="0"/>
            <w:tcMar>
              <w:top w:w="15" w:type="dxa"/>
              <w:left w:w="15" w:type="dxa"/>
              <w:bottom w:w="0" w:type="dxa"/>
              <w:right w:w="15" w:type="dxa"/>
            </w:tcMar>
            <w:vAlign w:val="center"/>
          </w:tcPr>
          <w:p w14:paraId="4F570FD3">
            <w:pPr>
              <w:spacing w:line="360" w:lineRule="exact"/>
              <w:ind w:firstLine="1446" w:firstLineChars="600"/>
              <w:jc w:val="left"/>
              <w:rPr>
                <w:rFonts w:hint="eastAsia" w:ascii="宋体" w:hAnsi="宋体" w:eastAsia="宋体" w:cs="宋体"/>
                <w:b/>
                <w:sz w:val="24"/>
                <w:szCs w:val="24"/>
              </w:rPr>
            </w:pPr>
            <w:r>
              <w:rPr>
                <w:rFonts w:hint="eastAsia" w:ascii="宋体" w:hAnsi="宋体" w:eastAsia="宋体" w:cs="宋体"/>
                <w:b/>
                <w:bCs/>
                <w:i w:val="0"/>
                <w:iCs w:val="0"/>
                <w:color w:val="000000"/>
                <w:kern w:val="0"/>
                <w:sz w:val="24"/>
                <w:szCs w:val="24"/>
                <w:u w:val="none"/>
                <w:lang w:val="en-US" w:eastAsia="zh-CN" w:bidi="ar"/>
              </w:rPr>
              <w:t>三、森林防火预警监测信息中心装修改造及办公设备</w:t>
            </w:r>
          </w:p>
        </w:tc>
      </w:tr>
      <w:tr w14:paraId="3645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6E300D13">
            <w:pPr>
              <w:rPr>
                <w:rFonts w:hint="default"/>
                <w:lang w:val="en-US" w:eastAsia="zh-CN"/>
              </w:rPr>
            </w:pPr>
            <w:r>
              <w:rPr>
                <w:rFonts w:hint="eastAsia"/>
                <w:lang w:val="en-US" w:eastAsia="zh-CN"/>
              </w:rPr>
              <w:t>19</w:t>
            </w:r>
          </w:p>
        </w:tc>
        <w:tc>
          <w:tcPr>
            <w:tcW w:w="848" w:type="dxa"/>
            <w:noWrap/>
            <w:tcMar>
              <w:top w:w="15" w:type="dxa"/>
              <w:left w:w="15" w:type="dxa"/>
              <w:bottom w:w="0" w:type="dxa"/>
              <w:right w:w="15" w:type="dxa"/>
            </w:tcMar>
            <w:vAlign w:val="center"/>
          </w:tcPr>
          <w:p w14:paraId="323B6DEA">
            <w:pPr>
              <w:rPr>
                <w:rFonts w:hint="eastAsia" w:ascii="宋体" w:hAnsi="宋体" w:eastAsia="宋体" w:cs="宋体"/>
                <w:i w:val="0"/>
                <w:iCs w:val="0"/>
                <w:color w:val="000000"/>
                <w:kern w:val="0"/>
                <w:sz w:val="22"/>
                <w:szCs w:val="22"/>
                <w:u w:val="none"/>
                <w:lang w:val="en-US" w:eastAsia="zh-CN" w:bidi="ar"/>
              </w:rPr>
            </w:pPr>
          </w:p>
          <w:p w14:paraId="40B5007F">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定制操作台</w:t>
            </w:r>
          </w:p>
          <w:p w14:paraId="753B4678">
            <w:pPr>
              <w:pStyle w:val="2"/>
              <w:rPr>
                <w:rFonts w:hint="eastAsia"/>
                <w:lang w:val="en-US" w:eastAsia="zh-CN"/>
              </w:rPr>
            </w:pPr>
          </w:p>
          <w:p w14:paraId="74544DAE">
            <w:pPr>
              <w:pStyle w:val="2"/>
              <w:rPr>
                <w:rFonts w:hint="eastAsia"/>
                <w:lang w:val="en-US" w:eastAsia="zh-CN"/>
              </w:rPr>
            </w:pPr>
          </w:p>
        </w:tc>
        <w:tc>
          <w:tcPr>
            <w:tcW w:w="7057" w:type="dxa"/>
            <w:noWrap/>
            <w:tcMar>
              <w:top w:w="15" w:type="dxa"/>
              <w:left w:w="15" w:type="dxa"/>
              <w:bottom w:w="0" w:type="dxa"/>
              <w:right w:w="15" w:type="dxa"/>
            </w:tcMar>
            <w:vAlign w:val="center"/>
          </w:tcPr>
          <w:p w14:paraId="37EAB80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电脑专用操作台（三联操作台）</w:t>
            </w:r>
          </w:p>
        </w:tc>
        <w:tc>
          <w:tcPr>
            <w:tcW w:w="527" w:type="dxa"/>
            <w:noWrap/>
            <w:tcMar>
              <w:top w:w="15" w:type="dxa"/>
              <w:left w:w="15" w:type="dxa"/>
              <w:bottom w:w="0" w:type="dxa"/>
              <w:right w:w="15" w:type="dxa"/>
            </w:tcMar>
            <w:vAlign w:val="center"/>
          </w:tcPr>
          <w:p w14:paraId="631EE6D5">
            <w:pPr>
              <w:spacing w:line="360" w:lineRule="exact"/>
              <w:jc w:val="left"/>
              <w:rPr>
                <w:rFonts w:hint="eastAsia" w:ascii="宋体" w:hAnsi="宋体" w:eastAsia="宋体" w:cs="宋体"/>
                <w:b/>
                <w:sz w:val="24"/>
                <w:szCs w:val="24"/>
              </w:rPr>
            </w:pPr>
          </w:p>
        </w:tc>
      </w:tr>
      <w:tr w14:paraId="5A0F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474EB683">
            <w:pPr>
              <w:rPr>
                <w:rFonts w:hint="default"/>
                <w:lang w:val="en-US" w:eastAsia="zh-CN"/>
              </w:rPr>
            </w:pPr>
            <w:r>
              <w:rPr>
                <w:rFonts w:hint="eastAsia"/>
                <w:lang w:val="en-US" w:eastAsia="zh-CN"/>
              </w:rPr>
              <w:t>20</w:t>
            </w:r>
          </w:p>
        </w:tc>
        <w:tc>
          <w:tcPr>
            <w:tcW w:w="848" w:type="dxa"/>
            <w:noWrap/>
            <w:tcMar>
              <w:top w:w="15" w:type="dxa"/>
              <w:left w:w="15" w:type="dxa"/>
              <w:bottom w:w="0" w:type="dxa"/>
              <w:right w:w="15" w:type="dxa"/>
            </w:tcMar>
            <w:vAlign w:val="center"/>
          </w:tcPr>
          <w:p w14:paraId="4CC1E269">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办公操作桌椅</w:t>
            </w:r>
          </w:p>
        </w:tc>
        <w:tc>
          <w:tcPr>
            <w:tcW w:w="7057" w:type="dxa"/>
            <w:noWrap/>
            <w:tcMar>
              <w:top w:w="15" w:type="dxa"/>
              <w:left w:w="15" w:type="dxa"/>
              <w:bottom w:w="0" w:type="dxa"/>
              <w:right w:w="15" w:type="dxa"/>
            </w:tcMar>
            <w:vAlign w:val="center"/>
          </w:tcPr>
          <w:p w14:paraId="4FBD9E9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10个实木会商桌椅</w:t>
            </w:r>
          </w:p>
        </w:tc>
        <w:tc>
          <w:tcPr>
            <w:tcW w:w="527" w:type="dxa"/>
            <w:noWrap/>
            <w:tcMar>
              <w:top w:w="15" w:type="dxa"/>
              <w:left w:w="15" w:type="dxa"/>
              <w:bottom w:w="0" w:type="dxa"/>
              <w:right w:w="15" w:type="dxa"/>
            </w:tcMar>
            <w:vAlign w:val="center"/>
          </w:tcPr>
          <w:p w14:paraId="26DA5611">
            <w:pPr>
              <w:spacing w:line="360" w:lineRule="exact"/>
              <w:jc w:val="left"/>
              <w:rPr>
                <w:rFonts w:hint="eastAsia" w:ascii="宋体" w:hAnsi="宋体" w:eastAsia="宋体" w:cs="宋体"/>
                <w:b/>
                <w:sz w:val="24"/>
                <w:szCs w:val="24"/>
              </w:rPr>
            </w:pPr>
          </w:p>
        </w:tc>
      </w:tr>
      <w:tr w14:paraId="306F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00540CF9">
            <w:pPr>
              <w:rPr>
                <w:rFonts w:hint="default"/>
                <w:lang w:val="en-US" w:eastAsia="zh-CN"/>
              </w:rPr>
            </w:pPr>
            <w:r>
              <w:rPr>
                <w:rFonts w:hint="eastAsia"/>
                <w:lang w:val="en-US" w:eastAsia="zh-CN"/>
              </w:rPr>
              <w:t>21</w:t>
            </w:r>
          </w:p>
        </w:tc>
        <w:tc>
          <w:tcPr>
            <w:tcW w:w="848" w:type="dxa"/>
            <w:noWrap/>
            <w:tcMar>
              <w:top w:w="15" w:type="dxa"/>
              <w:left w:w="15" w:type="dxa"/>
              <w:bottom w:w="0" w:type="dxa"/>
              <w:right w:w="15" w:type="dxa"/>
            </w:tcMar>
            <w:vAlign w:val="center"/>
          </w:tcPr>
          <w:p w14:paraId="07A3BCDD">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装修改造</w:t>
            </w:r>
          </w:p>
          <w:p w14:paraId="498A6883">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（吊顶、墙面、地面）</w:t>
            </w:r>
          </w:p>
        </w:tc>
        <w:tc>
          <w:tcPr>
            <w:tcW w:w="7057" w:type="dxa"/>
            <w:noWrap/>
            <w:tcMar>
              <w:top w:w="15" w:type="dxa"/>
              <w:left w:w="15" w:type="dxa"/>
              <w:bottom w:w="0" w:type="dxa"/>
              <w:right w:w="15" w:type="dxa"/>
            </w:tcMar>
            <w:vAlign w:val="center"/>
          </w:tcPr>
          <w:p w14:paraId="7BF18AD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E0级环保装修标准</w:t>
            </w:r>
          </w:p>
        </w:tc>
        <w:tc>
          <w:tcPr>
            <w:tcW w:w="527" w:type="dxa"/>
            <w:noWrap/>
            <w:tcMar>
              <w:top w:w="15" w:type="dxa"/>
              <w:left w:w="15" w:type="dxa"/>
              <w:bottom w:w="0" w:type="dxa"/>
              <w:right w:w="15" w:type="dxa"/>
            </w:tcMar>
            <w:vAlign w:val="center"/>
          </w:tcPr>
          <w:p w14:paraId="3B865A50">
            <w:pPr>
              <w:spacing w:line="360" w:lineRule="exact"/>
              <w:jc w:val="left"/>
              <w:rPr>
                <w:rFonts w:hint="eastAsia" w:ascii="宋体" w:hAnsi="宋体" w:eastAsia="宋体" w:cs="宋体"/>
                <w:b/>
                <w:sz w:val="24"/>
                <w:szCs w:val="24"/>
              </w:rPr>
            </w:pPr>
          </w:p>
        </w:tc>
      </w:tr>
      <w:tr w14:paraId="14CA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2BB4DE2C">
            <w:pPr>
              <w:rPr>
                <w:rFonts w:hint="default"/>
                <w:lang w:val="en-US" w:eastAsia="zh-CN"/>
              </w:rPr>
            </w:pPr>
            <w:r>
              <w:rPr>
                <w:rFonts w:hint="eastAsia"/>
                <w:lang w:val="en-US" w:eastAsia="zh-CN"/>
              </w:rPr>
              <w:t>22</w:t>
            </w:r>
          </w:p>
        </w:tc>
        <w:tc>
          <w:tcPr>
            <w:tcW w:w="848" w:type="dxa"/>
            <w:noWrap/>
            <w:tcMar>
              <w:top w:w="15" w:type="dxa"/>
              <w:left w:w="15" w:type="dxa"/>
              <w:bottom w:w="0" w:type="dxa"/>
              <w:right w:w="15" w:type="dxa"/>
            </w:tcMar>
            <w:vAlign w:val="center"/>
          </w:tcPr>
          <w:p w14:paraId="5BB7F5F2">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玻璃隔断</w:t>
            </w:r>
          </w:p>
        </w:tc>
        <w:tc>
          <w:tcPr>
            <w:tcW w:w="7057" w:type="dxa"/>
            <w:noWrap/>
            <w:tcMar>
              <w:top w:w="15" w:type="dxa"/>
              <w:left w:w="15" w:type="dxa"/>
              <w:bottom w:w="0" w:type="dxa"/>
              <w:right w:w="15" w:type="dxa"/>
            </w:tcMar>
            <w:vAlign w:val="center"/>
          </w:tcPr>
          <w:p w14:paraId="3D60E51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电调玻璃，正常状态是雾状不透明，通电后透明</w:t>
            </w:r>
          </w:p>
        </w:tc>
        <w:tc>
          <w:tcPr>
            <w:tcW w:w="527" w:type="dxa"/>
            <w:noWrap/>
            <w:tcMar>
              <w:top w:w="15" w:type="dxa"/>
              <w:left w:w="15" w:type="dxa"/>
              <w:bottom w:w="0" w:type="dxa"/>
              <w:right w:w="15" w:type="dxa"/>
            </w:tcMar>
            <w:vAlign w:val="center"/>
          </w:tcPr>
          <w:p w14:paraId="7B3D5301">
            <w:pPr>
              <w:spacing w:line="360" w:lineRule="exact"/>
              <w:jc w:val="left"/>
              <w:rPr>
                <w:rFonts w:hint="eastAsia" w:ascii="宋体" w:hAnsi="宋体" w:eastAsia="宋体" w:cs="宋体"/>
                <w:b/>
                <w:sz w:val="24"/>
                <w:szCs w:val="24"/>
              </w:rPr>
            </w:pPr>
          </w:p>
        </w:tc>
      </w:tr>
      <w:tr w14:paraId="3107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1AB4C17C">
            <w:pPr>
              <w:rPr>
                <w:rFonts w:hint="default"/>
                <w:lang w:val="en-US" w:eastAsia="zh-CN"/>
              </w:rPr>
            </w:pPr>
            <w:r>
              <w:rPr>
                <w:rFonts w:hint="eastAsia"/>
                <w:lang w:val="en-US" w:eastAsia="zh-CN"/>
              </w:rPr>
              <w:t>23</w:t>
            </w:r>
          </w:p>
        </w:tc>
        <w:tc>
          <w:tcPr>
            <w:tcW w:w="848" w:type="dxa"/>
            <w:noWrap/>
            <w:tcMar>
              <w:top w:w="15" w:type="dxa"/>
              <w:left w:w="15" w:type="dxa"/>
              <w:bottom w:w="0" w:type="dxa"/>
              <w:right w:w="15" w:type="dxa"/>
            </w:tcMar>
            <w:vAlign w:val="center"/>
          </w:tcPr>
          <w:p w14:paraId="62C20BA7">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电动玻璃滑门</w:t>
            </w:r>
          </w:p>
        </w:tc>
        <w:tc>
          <w:tcPr>
            <w:tcW w:w="7057" w:type="dxa"/>
            <w:noWrap/>
            <w:tcMar>
              <w:top w:w="15" w:type="dxa"/>
              <w:left w:w="15" w:type="dxa"/>
              <w:bottom w:w="0" w:type="dxa"/>
              <w:right w:w="15" w:type="dxa"/>
            </w:tcMar>
            <w:vAlign w:val="center"/>
          </w:tcPr>
          <w:p w14:paraId="6D1F9FA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自动玻璃门及人脸门禁系统</w:t>
            </w:r>
          </w:p>
        </w:tc>
        <w:tc>
          <w:tcPr>
            <w:tcW w:w="527" w:type="dxa"/>
            <w:noWrap/>
            <w:tcMar>
              <w:top w:w="15" w:type="dxa"/>
              <w:left w:w="15" w:type="dxa"/>
              <w:bottom w:w="0" w:type="dxa"/>
              <w:right w:w="15" w:type="dxa"/>
            </w:tcMar>
            <w:vAlign w:val="center"/>
          </w:tcPr>
          <w:p w14:paraId="03E76001">
            <w:pPr>
              <w:spacing w:line="360" w:lineRule="exact"/>
              <w:jc w:val="left"/>
              <w:rPr>
                <w:rFonts w:hint="eastAsia" w:ascii="宋体" w:hAnsi="宋体" w:eastAsia="宋体" w:cs="宋体"/>
                <w:b/>
                <w:sz w:val="24"/>
                <w:szCs w:val="24"/>
              </w:rPr>
            </w:pPr>
          </w:p>
        </w:tc>
      </w:tr>
      <w:tr w14:paraId="2568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8919" w:type="dxa"/>
            <w:gridSpan w:val="4"/>
            <w:noWrap w:val="0"/>
            <w:tcMar>
              <w:top w:w="15" w:type="dxa"/>
              <w:left w:w="15" w:type="dxa"/>
              <w:bottom w:w="0" w:type="dxa"/>
              <w:right w:w="15" w:type="dxa"/>
            </w:tcMar>
            <w:vAlign w:val="center"/>
          </w:tcPr>
          <w:p w14:paraId="52C0D0D7">
            <w:pPr>
              <w:spacing w:line="360" w:lineRule="exact"/>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四、其他要求</w:t>
            </w:r>
          </w:p>
        </w:tc>
      </w:tr>
      <w:tr w14:paraId="34A8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057ED242">
            <w:pPr>
              <w:rPr>
                <w:rFonts w:hint="default"/>
                <w:lang w:val="en-US" w:eastAsia="zh-CN"/>
              </w:rPr>
            </w:pPr>
            <w:r>
              <w:rPr>
                <w:rFonts w:hint="eastAsia"/>
                <w:lang w:val="en-US" w:eastAsia="zh-CN"/>
              </w:rPr>
              <w:t>24</w:t>
            </w:r>
          </w:p>
        </w:tc>
        <w:tc>
          <w:tcPr>
            <w:tcW w:w="848" w:type="dxa"/>
            <w:noWrap/>
            <w:tcMar>
              <w:top w:w="15" w:type="dxa"/>
              <w:left w:w="15" w:type="dxa"/>
              <w:bottom w:w="0" w:type="dxa"/>
              <w:right w:w="15" w:type="dxa"/>
            </w:tcMar>
            <w:vAlign w:val="center"/>
          </w:tcPr>
          <w:p w14:paraId="2486E62D">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企业实力</w:t>
            </w:r>
          </w:p>
        </w:tc>
        <w:tc>
          <w:tcPr>
            <w:tcW w:w="7057" w:type="dxa"/>
            <w:noWrap/>
            <w:tcMar>
              <w:top w:w="15" w:type="dxa"/>
              <w:left w:w="15" w:type="dxa"/>
              <w:bottom w:w="0" w:type="dxa"/>
              <w:right w:w="15" w:type="dxa"/>
            </w:tcMar>
            <w:vAlign w:val="center"/>
          </w:tcPr>
          <w:p w14:paraId="7396F22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1、业实力具有中国信息安全测评中心颁发的信息安全服务资质（安全工程类）证书；</w:t>
            </w:r>
          </w:p>
          <w:p w14:paraId="3B65F59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2、为确保音箱设备，生产厂家具备对产品的自主检测及质量复检实力，投标的音箱设备生产厂家须具备通过JJF 1147-2006 消声室和半消声室声学特性校准规范校准的消音室，投标人应提供第三方权威机构出具的相关检测报告复印件或相关证明并加盖设备制造商公章；</w:t>
            </w:r>
          </w:p>
          <w:p w14:paraId="0835BA3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3、为了保证会议系统的稳定性，所投产品厂家须获得中国绿色低碳节能环保第一品牌，提供相关证书复印件并加盖原厂公章；</w:t>
            </w:r>
          </w:p>
          <w:p w14:paraId="07336CF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4、为了保证会议系统的稳定性，所投会议系统设备厂家须提供诚信管理体系认证证书，提供相关证书复印件并加盖原厂公章。</w:t>
            </w:r>
          </w:p>
        </w:tc>
        <w:tc>
          <w:tcPr>
            <w:tcW w:w="527" w:type="dxa"/>
            <w:noWrap/>
            <w:tcMar>
              <w:top w:w="15" w:type="dxa"/>
              <w:left w:w="15" w:type="dxa"/>
              <w:bottom w:w="0" w:type="dxa"/>
              <w:right w:w="15" w:type="dxa"/>
            </w:tcMar>
            <w:vAlign w:val="center"/>
          </w:tcPr>
          <w:p w14:paraId="5C73904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2"/>
                <w:sz w:val="21"/>
                <w:szCs w:val="21"/>
              </w:rPr>
              <w:t>▲</w:t>
            </w:r>
          </w:p>
        </w:tc>
      </w:tr>
    </w:tbl>
    <w:p w14:paraId="355CF811">
      <w:pPr>
        <w:pStyle w:val="4"/>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五、商务要求</w:t>
      </w:r>
      <w:bookmarkEnd w:id="42"/>
      <w:bookmarkEnd w:id="43"/>
    </w:p>
    <w:p w14:paraId="5AABE8FC">
      <w:pPr>
        <w:keepNext w:val="0"/>
        <w:keepLines w:val="0"/>
        <w:pageBreakBefore w:val="0"/>
        <w:widowControl w:val="0"/>
        <w:kinsoku/>
        <w:wordWrap/>
        <w:overflowPunct/>
        <w:topLinePunct w:val="0"/>
        <w:bidi w:val="0"/>
        <w:adjustRightInd/>
        <w:snapToGrid/>
        <w:spacing w:line="360" w:lineRule="auto"/>
        <w:ind w:left="1255" w:leftChars="26" w:right="0" w:rightChars="0" w:hanging="1200" w:hangingChars="4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说明：</w:t>
      </w:r>
      <w:r>
        <w:rPr>
          <w:rFonts w:hint="eastAsia" w:asciiTheme="minorEastAsia" w:hAnsiTheme="minorEastAsia" w:eastAsiaTheme="minorEastAsia" w:cstheme="minorEastAsia"/>
          <w:color w:val="auto"/>
          <w:sz w:val="24"/>
          <w:szCs w:val="24"/>
        </w:rPr>
        <w:t>1、投标人在投标文件《商务（合同草案条款）响应、偏离情况说明表》中未对以下技术、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服务要求逐条说明响应或偏离情况的，其投标</w:t>
      </w:r>
      <w:r>
        <w:rPr>
          <w:rFonts w:hint="eastAsia" w:asciiTheme="minorEastAsia" w:hAnsiTheme="minorEastAsia" w:eastAsiaTheme="minorEastAsia" w:cstheme="minorEastAsia"/>
          <w:b/>
          <w:bCs/>
          <w:color w:val="auto"/>
          <w:sz w:val="24"/>
          <w:szCs w:val="24"/>
        </w:rPr>
        <w:t>按无效投标处理</w:t>
      </w:r>
      <w:r>
        <w:rPr>
          <w:rFonts w:hint="eastAsia" w:asciiTheme="minorEastAsia" w:hAnsiTheme="minorEastAsia" w:eastAsiaTheme="minorEastAsia" w:cstheme="minorEastAsia"/>
          <w:color w:val="auto"/>
          <w:sz w:val="24"/>
          <w:szCs w:val="24"/>
        </w:rPr>
        <w:t>。</w:t>
      </w:r>
    </w:p>
    <w:p w14:paraId="3CC7928C">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下表标注有</w:t>
      </w:r>
      <w:r>
        <w:rPr>
          <w:rFonts w:hint="eastAsia" w:asciiTheme="minorEastAsia" w:hAnsiTheme="minorEastAsia" w:eastAsiaTheme="minorEastAsia" w:cstheme="minorEastAsia"/>
          <w:b/>
          <w:color w:val="auto"/>
          <w:sz w:val="24"/>
          <w:szCs w:val="24"/>
        </w:rPr>
        <w:t>“</w:t>
      </w:r>
      <w:r>
        <w:rPr>
          <w:rFonts w:hint="eastAsia" w:ascii="宋体" w:hAnsi="宋体" w:eastAsia="宋体" w:cs="宋体"/>
          <w:kern w:val="2"/>
          <w:sz w:val="21"/>
          <w:szCs w:val="21"/>
        </w:rPr>
        <w:t>▲</w:t>
      </w:r>
      <w:r>
        <w:rPr>
          <w:rFonts w:hint="eastAsia" w:asciiTheme="minorEastAsia" w:hAnsiTheme="minorEastAsia" w:eastAsiaTheme="minorEastAsia" w:cstheme="minorEastAsia"/>
          <w:b/>
          <w:color w:val="auto"/>
          <w:sz w:val="24"/>
          <w:szCs w:val="24"/>
        </w:rPr>
        <w:t>”号</w:t>
      </w:r>
      <w:r>
        <w:rPr>
          <w:rFonts w:hint="eastAsia" w:asciiTheme="minorEastAsia" w:hAnsiTheme="minorEastAsia" w:eastAsiaTheme="minorEastAsia" w:cstheme="minorEastAsia"/>
          <w:color w:val="auto"/>
          <w:sz w:val="24"/>
          <w:szCs w:val="24"/>
        </w:rPr>
        <w:t>的条款，为</w:t>
      </w:r>
      <w:r>
        <w:rPr>
          <w:rFonts w:hint="eastAsia" w:asciiTheme="minorEastAsia" w:hAnsiTheme="minorEastAsia" w:eastAsiaTheme="minorEastAsia" w:cstheme="minorEastAsia"/>
          <w:b/>
          <w:color w:val="auto"/>
          <w:sz w:val="24"/>
          <w:szCs w:val="24"/>
        </w:rPr>
        <w:t xml:space="preserve"> “评审因素及评分标准”</w:t>
      </w:r>
      <w:r>
        <w:rPr>
          <w:rFonts w:hint="eastAsia" w:asciiTheme="minorEastAsia" w:hAnsiTheme="minorEastAsia" w:eastAsiaTheme="minorEastAsia" w:cstheme="minorEastAsia"/>
          <w:color w:val="auto"/>
          <w:sz w:val="24"/>
          <w:szCs w:val="24"/>
        </w:rPr>
        <w:t>中的评分内容</w:t>
      </w:r>
      <w:r>
        <w:rPr>
          <w:rFonts w:hint="eastAsia" w:asciiTheme="minorEastAsia" w:hAnsiTheme="minorEastAsia" w:cstheme="minorEastAsia"/>
          <w:color w:val="auto"/>
          <w:sz w:val="24"/>
          <w:szCs w:val="24"/>
          <w:lang w:eastAsia="zh-CN"/>
        </w:rPr>
        <w:t>。</w:t>
      </w:r>
    </w:p>
    <w:p w14:paraId="23E98FE1">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3.1  工期：自合同签订后1</w:t>
      </w:r>
      <w:r>
        <w:rPr>
          <w:rFonts w:hint="eastAsia" w:eastAsia="宋体" w:cs="宋体"/>
          <w:kern w:val="2"/>
          <w:sz w:val="24"/>
          <w:szCs w:val="24"/>
          <w:lang w:val="en-US" w:eastAsia="zh-CN"/>
        </w:rPr>
        <w:t>个月</w:t>
      </w:r>
      <w:r>
        <w:rPr>
          <w:rFonts w:hint="eastAsia" w:ascii="宋体" w:hAnsi="宋体" w:eastAsia="宋体" w:cs="宋体"/>
          <w:kern w:val="2"/>
          <w:sz w:val="24"/>
          <w:szCs w:val="24"/>
        </w:rPr>
        <w:t>内完成建设，并移交采购人使用。</w:t>
      </w:r>
    </w:p>
    <w:p w14:paraId="04ADBC31">
      <w:pPr>
        <w:pStyle w:val="198"/>
        <w:spacing w:line="360" w:lineRule="auto"/>
        <w:ind w:right="264"/>
        <w:rPr>
          <w:rFonts w:hint="default" w:ascii="宋体" w:hAnsi="宋体" w:eastAsia="宋体" w:cs="宋体"/>
          <w:kern w:val="2"/>
          <w:sz w:val="24"/>
          <w:szCs w:val="24"/>
          <w:lang w:val="en-US" w:eastAsia="zh-CN"/>
        </w:rPr>
      </w:pPr>
      <w:r>
        <w:rPr>
          <w:rFonts w:hint="eastAsia" w:eastAsia="宋体" w:cs="宋体"/>
          <w:kern w:val="2"/>
          <w:sz w:val="24"/>
          <w:szCs w:val="24"/>
          <w:lang w:val="en-US" w:eastAsia="zh-CN"/>
        </w:rPr>
        <w:t>3.2  交付地点：采购人指定地点。</w:t>
      </w:r>
    </w:p>
    <w:p w14:paraId="5D39FCE4">
      <w:pPr>
        <w:pStyle w:val="198"/>
        <w:spacing w:line="360" w:lineRule="auto"/>
        <w:ind w:right="264"/>
        <w:rPr>
          <w:rFonts w:hint="eastAsia" w:eastAsia="宋体" w:cs="宋体"/>
          <w:sz w:val="24"/>
          <w:szCs w:val="24"/>
          <w:lang w:eastAsia="zh-CN"/>
        </w:rPr>
      </w:pPr>
      <w:r>
        <w:rPr>
          <w:rFonts w:hint="eastAsia" w:ascii="宋体" w:hAnsi="宋体" w:eastAsia="宋体" w:cs="宋体"/>
          <w:kern w:val="2"/>
          <w:sz w:val="21"/>
          <w:szCs w:val="21"/>
        </w:rPr>
        <w:t>▲</w:t>
      </w:r>
      <w:r>
        <w:rPr>
          <w:rFonts w:hint="eastAsia" w:ascii="宋体" w:hAnsi="宋体" w:eastAsia="宋体" w:cs="宋体"/>
          <w:kern w:val="2"/>
          <w:sz w:val="24"/>
          <w:szCs w:val="24"/>
        </w:rPr>
        <w:t>3.</w:t>
      </w:r>
      <w:r>
        <w:rPr>
          <w:rFonts w:hint="eastAsia" w:eastAsia="宋体" w:cs="宋体"/>
          <w:kern w:val="2"/>
          <w:sz w:val="24"/>
          <w:szCs w:val="24"/>
          <w:lang w:val="en-US" w:eastAsia="zh-CN"/>
        </w:rPr>
        <w:t>3</w:t>
      </w:r>
      <w:r>
        <w:rPr>
          <w:rFonts w:hint="eastAsia" w:ascii="宋体" w:hAnsi="宋体" w:eastAsia="宋体" w:cs="宋体"/>
          <w:kern w:val="2"/>
          <w:sz w:val="24"/>
          <w:szCs w:val="24"/>
        </w:rPr>
        <w:t xml:space="preserve"> 项目</w:t>
      </w:r>
      <w:r>
        <w:rPr>
          <w:rFonts w:hint="eastAsia" w:eastAsia="宋体" w:cs="宋体"/>
          <w:kern w:val="2"/>
          <w:sz w:val="24"/>
          <w:szCs w:val="24"/>
          <w:lang w:eastAsia="zh-CN"/>
        </w:rPr>
        <w:t>实施方案：</w:t>
      </w:r>
      <w:r>
        <w:rPr>
          <w:rFonts w:ascii="宋体" w:hAnsi="宋体" w:eastAsia="宋体" w:cs="宋体"/>
          <w:sz w:val="24"/>
          <w:szCs w:val="24"/>
        </w:rPr>
        <w:t>投标人</w:t>
      </w:r>
      <w:r>
        <w:rPr>
          <w:rFonts w:hint="eastAsia" w:eastAsia="宋体" w:cs="宋体"/>
          <w:sz w:val="24"/>
          <w:szCs w:val="24"/>
          <w:lang w:eastAsia="zh-CN"/>
        </w:rPr>
        <w:t>针对该项目制定合理的实施方案。</w:t>
      </w:r>
    </w:p>
    <w:p w14:paraId="3F5CB8DA">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rPr>
          <w:rFonts w:hint="eastAsia" w:ascii="宋体" w:hAnsi="宋体" w:eastAsia="宋体" w:cs="宋体"/>
          <w:kern w:val="2"/>
          <w:sz w:val="24"/>
          <w:szCs w:val="24"/>
        </w:rPr>
      </w:pPr>
      <w:r>
        <w:rPr>
          <w:rFonts w:hint="eastAsia" w:ascii="宋体" w:hAnsi="宋体" w:eastAsia="宋体" w:cs="宋体"/>
          <w:kern w:val="2"/>
          <w:sz w:val="21"/>
          <w:szCs w:val="21"/>
        </w:rPr>
        <w:t>▲</w:t>
      </w:r>
      <w:r>
        <w:rPr>
          <w:rFonts w:hint="eastAsia" w:ascii="宋体" w:hAnsi="宋体" w:eastAsia="宋体" w:cs="宋体"/>
          <w:kern w:val="2"/>
          <w:sz w:val="24"/>
          <w:szCs w:val="24"/>
        </w:rPr>
        <w:t>3.</w:t>
      </w:r>
      <w:r>
        <w:rPr>
          <w:rFonts w:hint="eastAsia" w:eastAsia="宋体" w:cs="宋体"/>
          <w:kern w:val="2"/>
          <w:sz w:val="24"/>
          <w:szCs w:val="24"/>
          <w:lang w:val="en-US" w:eastAsia="zh-CN"/>
        </w:rPr>
        <w:t>4</w:t>
      </w:r>
      <w:r>
        <w:rPr>
          <w:rFonts w:hint="eastAsia" w:ascii="宋体" w:hAnsi="宋体" w:eastAsia="宋体" w:cs="宋体"/>
          <w:kern w:val="2"/>
          <w:sz w:val="24"/>
          <w:szCs w:val="24"/>
        </w:rPr>
        <w:t xml:space="preserve">  售后服务要求:</w:t>
      </w:r>
    </w:p>
    <w:p w14:paraId="26FA9F8D">
      <w:pPr>
        <w:keepNext w:val="0"/>
        <w:keepLines w:val="0"/>
        <w:pageBreakBefore w:val="0"/>
        <w:widowControl w:val="0"/>
        <w:numPr>
          <w:ilvl w:val="0"/>
          <w:numId w:val="12"/>
        </w:numPr>
        <w:kinsoku/>
        <w:wordWrap/>
        <w:overflowPunct/>
        <w:topLinePunct w:val="0"/>
        <w:bidi w:val="0"/>
        <w:adjustRightInd/>
        <w:snapToGrid/>
        <w:spacing w:line="360" w:lineRule="auto"/>
        <w:ind w:leftChars="0" w:right="0" w:rightChars="0"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对于核心产品投标人需提供产品制造商原厂质保函原件印复印件或扫描件。</w:t>
      </w:r>
    </w:p>
    <w:p w14:paraId="252DAD8C">
      <w:pPr>
        <w:keepNext w:val="0"/>
        <w:keepLines w:val="0"/>
        <w:pageBreakBefore w:val="0"/>
        <w:widowControl w:val="0"/>
        <w:numPr>
          <w:ilvl w:val="0"/>
          <w:numId w:val="12"/>
        </w:numPr>
        <w:kinsoku/>
        <w:wordWrap/>
        <w:overflowPunct/>
        <w:topLinePunct w:val="0"/>
        <w:bidi w:val="0"/>
        <w:adjustRightInd/>
        <w:snapToGrid/>
        <w:spacing w:line="360" w:lineRule="auto"/>
        <w:ind w:leftChars="0" w:right="0" w:rightChars="0"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中标者需在当地有分公司或相关的售后服务机构，有稳定的技术服务人员，接到售后服务要求后快速反应解决问题。</w:t>
      </w:r>
    </w:p>
    <w:p w14:paraId="28B28FA3">
      <w:pPr>
        <w:keepNext w:val="0"/>
        <w:keepLines w:val="0"/>
        <w:pageBreakBefore w:val="0"/>
        <w:widowControl w:val="0"/>
        <w:numPr>
          <w:ilvl w:val="0"/>
          <w:numId w:val="12"/>
        </w:numPr>
        <w:kinsoku/>
        <w:wordWrap/>
        <w:overflowPunct/>
        <w:topLinePunct w:val="0"/>
        <w:bidi w:val="0"/>
        <w:adjustRightInd/>
        <w:snapToGrid/>
        <w:spacing w:line="360" w:lineRule="auto"/>
        <w:ind w:leftChars="0" w:right="0" w:rightChars="0"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投标人需提供提供完整的、有针对性、可行性及合理性的售后服务方案。</w:t>
      </w:r>
    </w:p>
    <w:p w14:paraId="0E892D97">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3.5 质保期：</w:t>
      </w:r>
      <w:r>
        <w:rPr>
          <w:rFonts w:hint="eastAsia" w:ascii="宋体" w:hAnsi="宋体" w:eastAsia="宋体" w:cs="宋体"/>
          <w:kern w:val="2"/>
          <w:sz w:val="24"/>
          <w:szCs w:val="24"/>
        </w:rPr>
        <w:t>采购人验收合格之日起一年</w:t>
      </w:r>
      <w:r>
        <w:rPr>
          <w:rFonts w:hint="eastAsia" w:ascii="宋体" w:hAnsi="宋体" w:eastAsia="宋体" w:cs="宋体"/>
          <w:kern w:val="2"/>
          <w:sz w:val="24"/>
          <w:szCs w:val="24"/>
          <w:lang w:val="en-US" w:eastAsia="zh-CN"/>
        </w:rPr>
        <w:t>。</w:t>
      </w:r>
    </w:p>
    <w:p w14:paraId="3F19E1EC">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3.6</w:t>
      </w:r>
      <w:r>
        <w:rPr>
          <w:rFonts w:hint="eastAsia" w:ascii="宋体" w:hAnsi="宋体" w:eastAsia="宋体" w:cs="宋体"/>
          <w:kern w:val="2"/>
          <w:sz w:val="24"/>
          <w:szCs w:val="24"/>
        </w:rPr>
        <w:t xml:space="preserve"> </w:t>
      </w:r>
      <w:r>
        <w:rPr>
          <w:rFonts w:hint="eastAsia" w:ascii="宋体" w:hAnsi="宋体" w:eastAsia="宋体" w:cs="宋体"/>
          <w:kern w:val="2"/>
          <w:sz w:val="24"/>
          <w:szCs w:val="24"/>
          <w:lang w:val="en-US" w:eastAsia="zh-CN"/>
        </w:rPr>
        <w:t>报价要求：</w:t>
      </w:r>
    </w:p>
    <w:p w14:paraId="54162C85">
      <w:pPr>
        <w:pStyle w:val="198"/>
        <w:spacing w:line="360" w:lineRule="auto"/>
        <w:ind w:right="264"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1、投标人的报价应包含为完成本招标文件提出的货物或服务等全部相关工作所有可能发生的费用，即投标总报价为“交钥匙”价。对在合同实施过程中可能发生的其他费用，采购人概不负责。</w:t>
      </w:r>
    </w:p>
    <w:p w14:paraId="3D52526E">
      <w:pPr>
        <w:pStyle w:val="198"/>
        <w:spacing w:line="360" w:lineRule="auto"/>
        <w:ind w:right="264"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2、对本文件未列明，而投标人认为必需的费用也需列入投标总报价。在合同实施时，采购人将不予支付中标人没有列入的项目费用，并认为此项目的费用已包含在投标总报价中。</w:t>
      </w:r>
    </w:p>
    <w:p w14:paraId="2A8A02AF">
      <w:pPr>
        <w:pStyle w:val="198"/>
        <w:spacing w:line="360" w:lineRule="auto"/>
        <w:ind w:right="264"/>
        <w:rPr>
          <w:rFonts w:hint="eastAsia" w:eastAsia="宋体" w:cs="宋体"/>
          <w:kern w:val="2"/>
          <w:sz w:val="24"/>
          <w:szCs w:val="24"/>
          <w:lang w:val="en-US" w:eastAsia="zh-CN"/>
        </w:rPr>
      </w:pPr>
      <w:r>
        <w:rPr>
          <w:rFonts w:hint="eastAsia" w:eastAsia="宋体" w:cs="宋体"/>
          <w:kern w:val="2"/>
          <w:sz w:val="24"/>
          <w:szCs w:val="24"/>
          <w:lang w:val="en-US" w:eastAsia="zh-CN"/>
        </w:rPr>
        <w:t>3.7  付款方式：</w:t>
      </w:r>
    </w:p>
    <w:p w14:paraId="4B7F062C">
      <w:pPr>
        <w:pStyle w:val="198"/>
        <w:spacing w:line="360" w:lineRule="auto"/>
        <w:ind w:left="0" w:leftChars="0" w:right="264" w:firstLine="420" w:firstLineChars="175"/>
        <w:rPr>
          <w:rFonts w:hint="eastAsia" w:ascii="宋体" w:hAnsi="宋体" w:eastAsia="宋体" w:cs="宋体"/>
          <w:kern w:val="2"/>
          <w:sz w:val="24"/>
          <w:szCs w:val="24"/>
        </w:rPr>
      </w:pPr>
      <w:r>
        <w:rPr>
          <w:rFonts w:hint="eastAsia" w:ascii="宋体" w:hAnsi="宋体" w:eastAsia="宋体" w:cs="宋体"/>
          <w:kern w:val="2"/>
          <w:sz w:val="24"/>
          <w:szCs w:val="24"/>
        </w:rPr>
        <w:t>1、合同款支付：按合同约定的付款方式付款。</w:t>
      </w:r>
    </w:p>
    <w:p w14:paraId="01E5C7B1">
      <w:pPr>
        <w:pStyle w:val="198"/>
        <w:spacing w:line="360" w:lineRule="auto"/>
        <w:ind w:left="0" w:leftChars="0" w:right="264" w:firstLine="420" w:firstLineChars="175"/>
        <w:rPr>
          <w:rFonts w:hint="eastAsia" w:ascii="宋体" w:hAnsi="宋体" w:eastAsia="宋体" w:cs="宋体"/>
          <w:kern w:val="2"/>
          <w:sz w:val="24"/>
          <w:szCs w:val="24"/>
        </w:rPr>
      </w:pPr>
      <w:r>
        <w:rPr>
          <w:rFonts w:hint="eastAsia" w:ascii="宋体" w:hAnsi="宋体" w:eastAsia="宋体" w:cs="宋体"/>
          <w:kern w:val="2"/>
          <w:sz w:val="24"/>
          <w:szCs w:val="24"/>
        </w:rPr>
        <w:t>2、中标人必须按国家有关财税规定开具发票。</w:t>
      </w:r>
    </w:p>
    <w:p w14:paraId="230A04C8">
      <w:pPr>
        <w:pStyle w:val="198"/>
        <w:spacing w:line="360" w:lineRule="auto"/>
        <w:ind w:right="264"/>
        <w:rPr>
          <w:rFonts w:hint="eastAsia" w:eastAsia="宋体" w:cs="宋体"/>
          <w:kern w:val="2"/>
          <w:sz w:val="24"/>
          <w:szCs w:val="24"/>
          <w:lang w:val="en-US" w:eastAsia="zh-CN"/>
        </w:rPr>
      </w:pPr>
      <w:r>
        <w:rPr>
          <w:rFonts w:hint="eastAsia" w:eastAsia="宋体" w:cs="宋体"/>
          <w:kern w:val="2"/>
          <w:sz w:val="24"/>
          <w:szCs w:val="24"/>
          <w:lang w:val="en-US" w:eastAsia="zh-CN"/>
        </w:rPr>
        <w:t>3.8  验收要求：</w:t>
      </w:r>
    </w:p>
    <w:p w14:paraId="4E364187">
      <w:pPr>
        <w:pStyle w:val="198"/>
        <w:spacing w:line="360" w:lineRule="auto"/>
        <w:ind w:right="264" w:firstLine="480" w:firstLineChars="200"/>
        <w:rPr>
          <w:rFonts w:hint="eastAsia" w:ascii="宋体" w:hAnsi="宋体" w:eastAsia="宋体" w:cs="宋体"/>
          <w:kern w:val="2"/>
          <w:sz w:val="24"/>
          <w:szCs w:val="24"/>
        </w:rPr>
      </w:pPr>
      <w:r>
        <w:rPr>
          <w:rFonts w:hint="eastAsia" w:eastAsia="宋体" w:cs="宋体"/>
          <w:kern w:val="2"/>
          <w:sz w:val="24"/>
          <w:szCs w:val="24"/>
          <w:lang w:val="en-US" w:eastAsia="zh-CN"/>
        </w:rPr>
        <w:t>1、</w:t>
      </w:r>
      <w:r>
        <w:rPr>
          <w:rFonts w:hint="eastAsia" w:ascii="宋体" w:hAnsi="宋体" w:eastAsia="宋体" w:cs="宋体"/>
          <w:kern w:val="2"/>
          <w:sz w:val="24"/>
          <w:szCs w:val="24"/>
        </w:rPr>
        <w:t>中标人完成工作内容后向采购人提验收申请，由相关部门对产品进行检测，出具验收合格报告后，经采购人组织评审通过视为验收合格。</w:t>
      </w:r>
    </w:p>
    <w:p w14:paraId="57AD1F25">
      <w:pPr>
        <w:pStyle w:val="198"/>
        <w:spacing w:line="360" w:lineRule="auto"/>
        <w:ind w:right="264" w:firstLine="480" w:firstLineChars="200"/>
        <w:rPr>
          <w:rFonts w:hint="eastAsia" w:ascii="宋体" w:hAnsi="宋体"/>
        </w:rPr>
      </w:pPr>
      <w:r>
        <w:rPr>
          <w:rFonts w:hint="eastAsia" w:eastAsia="宋体" w:cs="宋体"/>
          <w:kern w:val="2"/>
          <w:sz w:val="24"/>
          <w:szCs w:val="24"/>
          <w:lang w:val="en-US" w:eastAsia="zh-CN"/>
        </w:rPr>
        <w:t>2、</w:t>
      </w:r>
      <w:r>
        <w:rPr>
          <w:rFonts w:hint="eastAsia" w:ascii="宋体" w:hAnsi="宋体"/>
        </w:rPr>
        <w:t>项目实施、验收等相关流程、制度和标准，以国家相关法律、法规和上级机关的规章、制度为准。</w:t>
      </w:r>
    </w:p>
    <w:p w14:paraId="1DA3E471">
      <w:pPr>
        <w:pStyle w:val="198"/>
        <w:spacing w:line="360" w:lineRule="auto"/>
        <w:ind w:right="264" w:firstLine="480" w:firstLineChars="200"/>
        <w:rPr>
          <w:rFonts w:hint="eastAsia"/>
          <w:lang w:eastAsia="zh-CN"/>
        </w:rPr>
      </w:pPr>
      <w:r>
        <w:rPr>
          <w:rFonts w:hint="eastAsia"/>
          <w:lang w:val="en-US" w:eastAsia="zh-CN"/>
        </w:rPr>
        <w:t>3、</w:t>
      </w:r>
      <w:r>
        <w:rPr>
          <w:rFonts w:hint="eastAsia" w:ascii="宋体" w:hAnsi="宋体"/>
        </w:rPr>
        <w:t>所有设备需满足系统功能要求，完成设备的安装调试，并提供相关的耗材、辅材及辅助设备</w:t>
      </w:r>
      <w:r>
        <w:rPr>
          <w:rFonts w:hint="eastAsia"/>
          <w:lang w:eastAsia="zh-CN"/>
        </w:rPr>
        <w:t>。</w:t>
      </w:r>
    </w:p>
    <w:p w14:paraId="02DBB308">
      <w:pPr>
        <w:pStyle w:val="198"/>
        <w:spacing w:line="360" w:lineRule="auto"/>
        <w:ind w:right="264" w:firstLine="480" w:firstLineChars="200"/>
        <w:rPr>
          <w:rFonts w:hint="default"/>
          <w:lang w:val="en-US" w:eastAsia="zh-CN"/>
        </w:rPr>
      </w:pPr>
      <w:r>
        <w:rPr>
          <w:rFonts w:hint="eastAsia"/>
          <w:lang w:val="en-US" w:eastAsia="zh-CN"/>
        </w:rPr>
        <w:t>4、</w:t>
      </w:r>
      <w:r>
        <w:rPr>
          <w:rFonts w:hint="eastAsia" w:ascii="宋体" w:hAnsi="宋体"/>
        </w:rPr>
        <w:t>中标人违约承担违约责任。所有中标内容均需按照招标文件指标要求进行检查核对后方可进行报验，不满足招标文件“★”指标和投标承诺的，采购人有权不对其进行验收；同时中标人对不满足要求的内容承担违约责任。</w:t>
      </w:r>
    </w:p>
    <w:p w14:paraId="51E3F6BC">
      <w:pPr>
        <w:pStyle w:val="198"/>
        <w:spacing w:line="360" w:lineRule="auto"/>
        <w:ind w:right="264"/>
        <w:rPr>
          <w:rFonts w:hint="eastAsia" w:ascii="宋体" w:hAnsi="宋体" w:eastAsia="仿宋" w:cs="宋体"/>
          <w:kern w:val="2"/>
          <w:sz w:val="24"/>
          <w:szCs w:val="24"/>
          <w:lang w:val="en-US" w:eastAsia="zh-CN"/>
        </w:rPr>
      </w:pPr>
      <w:r>
        <w:rPr>
          <w:rFonts w:hint="eastAsia" w:eastAsia="宋体" w:cs="宋体"/>
          <w:kern w:val="2"/>
          <w:sz w:val="24"/>
          <w:szCs w:val="24"/>
          <w:lang w:val="en-US" w:eastAsia="zh-CN"/>
        </w:rPr>
        <w:t xml:space="preserve">3.9  </w:t>
      </w:r>
      <w:r>
        <w:rPr>
          <w:rFonts w:hint="eastAsia" w:ascii="宋体" w:hAnsi="宋体" w:eastAsia="宋体" w:cs="宋体"/>
          <w:kern w:val="2"/>
          <w:sz w:val="24"/>
          <w:szCs w:val="24"/>
        </w:rPr>
        <w:t>合同条款</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中标人违约承担违约责任。所有中标内容均需按照招标文件指标要求进行检查核对后方可进行报验，不满足招标文件重要指标和投标承诺的，采购人有权不对其进行验收；同时中标人对不满足要求的内容承担违约责任。</w:t>
      </w:r>
    </w:p>
    <w:p w14:paraId="6EAC3BC1">
      <w:pPr>
        <w:pStyle w:val="198"/>
        <w:spacing w:line="360" w:lineRule="auto"/>
        <w:ind w:right="264"/>
        <w:rPr>
          <w:rFonts w:hint="eastAsia" w:ascii="宋体" w:hAnsi="宋体" w:eastAsia="宋体" w:cs="宋体"/>
          <w:kern w:val="2"/>
          <w:sz w:val="24"/>
          <w:szCs w:val="24"/>
          <w:lang w:val="en-US" w:eastAsia="zh-CN"/>
        </w:rPr>
      </w:pPr>
      <w:r>
        <w:rPr>
          <w:rFonts w:hint="eastAsia" w:ascii="宋体" w:hAnsi="宋体" w:eastAsia="宋体" w:cs="宋体"/>
          <w:kern w:val="2"/>
          <w:sz w:val="21"/>
          <w:szCs w:val="21"/>
        </w:rPr>
        <w:t>▲</w:t>
      </w:r>
      <w:r>
        <w:rPr>
          <w:rFonts w:hint="eastAsia" w:ascii="宋体" w:hAnsi="宋体" w:eastAsia="宋体" w:cs="宋体"/>
          <w:kern w:val="2"/>
          <w:sz w:val="24"/>
          <w:szCs w:val="24"/>
        </w:rPr>
        <w:t>3.</w:t>
      </w:r>
      <w:r>
        <w:rPr>
          <w:rFonts w:hint="eastAsia" w:eastAsia="宋体" w:cs="宋体"/>
          <w:kern w:val="2"/>
          <w:sz w:val="24"/>
          <w:szCs w:val="24"/>
          <w:lang w:val="en-US" w:eastAsia="zh-CN"/>
        </w:rPr>
        <w:t>10</w:t>
      </w:r>
      <w:r>
        <w:rPr>
          <w:rFonts w:hint="eastAsia" w:ascii="宋体" w:hAnsi="宋体" w:eastAsia="宋体" w:cs="宋体"/>
          <w:kern w:val="2"/>
          <w:sz w:val="24"/>
          <w:szCs w:val="24"/>
        </w:rPr>
        <w:t xml:space="preserve">  业绩要求：供应商具有类似项目经验</w:t>
      </w:r>
      <w:r>
        <w:rPr>
          <w:rFonts w:hint="eastAsia" w:eastAsia="宋体" w:cs="宋体"/>
          <w:kern w:val="2"/>
          <w:sz w:val="24"/>
          <w:szCs w:val="24"/>
          <w:lang w:eastAsia="zh-CN"/>
        </w:rPr>
        <w:t>。</w:t>
      </w:r>
    </w:p>
    <w:p w14:paraId="65D99506">
      <w:pPr>
        <w:pStyle w:val="27"/>
        <w:rPr>
          <w:rFonts w:hint="eastAsia"/>
          <w:sz w:val="24"/>
          <w:szCs w:val="24"/>
        </w:rPr>
      </w:pPr>
    </w:p>
    <w:p w14:paraId="1F2DAF1E">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24"/>
          <w:szCs w:val="24"/>
        </w:rPr>
      </w:pPr>
    </w:p>
    <w:p w14:paraId="0564C724">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24"/>
          <w:szCs w:val="24"/>
        </w:rPr>
      </w:pPr>
    </w:p>
    <w:p w14:paraId="6936E10A">
      <w:pPr>
        <w:pStyle w:val="28"/>
        <w:ind w:left="0" w:leftChars="0" w:firstLine="0" w:firstLineChars="0"/>
        <w:rPr>
          <w:sz w:val="24"/>
          <w:szCs w:val="24"/>
        </w:rPr>
      </w:pPr>
    </w:p>
    <w:p w14:paraId="7C3BEAC3">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36"/>
          <w:szCs w:val="36"/>
        </w:rPr>
      </w:pPr>
    </w:p>
    <w:p w14:paraId="0DDF1DCF">
      <w:pPr>
        <w:pStyle w:val="2"/>
        <w:rPr>
          <w:rFonts w:ascii="Times New Roman" w:hAnsi="Times New Roman" w:cs="Times New Roman"/>
          <w:b/>
          <w:color w:val="auto"/>
          <w:sz w:val="36"/>
          <w:szCs w:val="36"/>
        </w:rPr>
      </w:pPr>
    </w:p>
    <w:p w14:paraId="252054E9">
      <w:pPr>
        <w:rPr>
          <w:rFonts w:ascii="Times New Roman" w:hAnsi="Times New Roman" w:cs="Times New Roman"/>
          <w:b/>
          <w:color w:val="auto"/>
          <w:sz w:val="36"/>
          <w:szCs w:val="36"/>
        </w:rPr>
      </w:pPr>
    </w:p>
    <w:p w14:paraId="0E1A6B39">
      <w:pPr>
        <w:pStyle w:val="2"/>
        <w:rPr>
          <w:rFonts w:ascii="Times New Roman" w:hAnsi="Times New Roman" w:cs="Times New Roman"/>
          <w:b/>
          <w:color w:val="auto"/>
          <w:sz w:val="36"/>
          <w:szCs w:val="36"/>
        </w:rPr>
      </w:pPr>
    </w:p>
    <w:p w14:paraId="12F687F9">
      <w:pPr>
        <w:rPr>
          <w:rFonts w:ascii="Times New Roman" w:hAnsi="Times New Roman" w:cs="Times New Roman"/>
          <w:b/>
          <w:color w:val="auto"/>
          <w:sz w:val="36"/>
          <w:szCs w:val="36"/>
        </w:rPr>
      </w:pPr>
    </w:p>
    <w:p w14:paraId="44CE9B2B">
      <w:pPr>
        <w:pStyle w:val="2"/>
        <w:rPr>
          <w:rFonts w:ascii="Times New Roman" w:hAnsi="Times New Roman" w:cs="Times New Roman"/>
          <w:b/>
          <w:color w:val="auto"/>
          <w:sz w:val="36"/>
          <w:szCs w:val="36"/>
        </w:rPr>
      </w:pPr>
    </w:p>
    <w:p w14:paraId="22F957C9">
      <w:pPr>
        <w:rPr>
          <w:rFonts w:ascii="Times New Roman" w:hAnsi="Times New Roman" w:cs="Times New Roman"/>
          <w:b/>
          <w:color w:val="auto"/>
          <w:sz w:val="36"/>
          <w:szCs w:val="36"/>
        </w:rPr>
      </w:pPr>
    </w:p>
    <w:p w14:paraId="7987D3BF">
      <w:pPr>
        <w:pStyle w:val="2"/>
        <w:rPr>
          <w:rFonts w:ascii="Times New Roman" w:hAnsi="Times New Roman" w:cs="Times New Roman"/>
          <w:b/>
          <w:color w:val="auto"/>
          <w:sz w:val="36"/>
          <w:szCs w:val="36"/>
        </w:rPr>
      </w:pPr>
    </w:p>
    <w:p w14:paraId="40FCF110">
      <w:pPr>
        <w:rPr>
          <w:rFonts w:ascii="Times New Roman" w:hAnsi="Times New Roman" w:cs="Times New Roman"/>
          <w:b/>
          <w:color w:val="auto"/>
          <w:sz w:val="36"/>
          <w:szCs w:val="36"/>
        </w:rPr>
      </w:pPr>
    </w:p>
    <w:p w14:paraId="3A1DB667">
      <w:pPr>
        <w:pStyle w:val="2"/>
        <w:rPr>
          <w:rFonts w:ascii="Times New Roman" w:hAnsi="Times New Roman" w:cs="Times New Roman"/>
          <w:b/>
          <w:color w:val="auto"/>
          <w:sz w:val="36"/>
          <w:szCs w:val="36"/>
        </w:rPr>
      </w:pPr>
    </w:p>
    <w:p w14:paraId="69C6E6D0">
      <w:pPr>
        <w:rPr>
          <w:rFonts w:ascii="Times New Roman" w:hAnsi="Times New Roman" w:cs="Times New Roman"/>
          <w:b/>
          <w:color w:val="auto"/>
          <w:sz w:val="36"/>
          <w:szCs w:val="36"/>
        </w:rPr>
      </w:pPr>
    </w:p>
    <w:p w14:paraId="1D8953F2">
      <w:pPr>
        <w:pStyle w:val="2"/>
        <w:rPr>
          <w:rFonts w:ascii="Times New Roman" w:hAnsi="Times New Roman" w:cs="Times New Roman"/>
          <w:b/>
          <w:color w:val="auto"/>
          <w:sz w:val="36"/>
          <w:szCs w:val="36"/>
        </w:rPr>
      </w:pPr>
    </w:p>
    <w:p w14:paraId="2E01DB3F">
      <w:pPr>
        <w:rPr>
          <w:rFonts w:ascii="Times New Roman" w:hAnsi="Times New Roman" w:cs="Times New Roman"/>
          <w:b/>
          <w:color w:val="auto"/>
          <w:sz w:val="36"/>
          <w:szCs w:val="36"/>
        </w:rPr>
      </w:pPr>
    </w:p>
    <w:p w14:paraId="42CEF86E">
      <w:pPr>
        <w:pStyle w:val="2"/>
      </w:pPr>
    </w:p>
    <w:p w14:paraId="62A146A9"/>
    <w:p w14:paraId="24667947">
      <w:pPr>
        <w:pStyle w:val="2"/>
      </w:pPr>
    </w:p>
    <w:p w14:paraId="2B44050E"/>
    <w:p w14:paraId="5D5AED01">
      <w:pPr>
        <w:pStyle w:val="2"/>
      </w:pPr>
    </w:p>
    <w:p w14:paraId="68CEA604"/>
    <w:p w14:paraId="512E920D">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36"/>
          <w:szCs w:val="36"/>
        </w:rPr>
      </w:pPr>
    </w:p>
    <w:p w14:paraId="1B94D06E">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bCs/>
          <w:color w:val="auto"/>
          <w:sz w:val="36"/>
          <w:szCs w:val="36"/>
        </w:rPr>
      </w:pPr>
      <w:r>
        <w:rPr>
          <w:rFonts w:ascii="Times New Roman" w:hAnsi="Times New Roman" w:cs="Times New Roman"/>
          <w:b/>
          <w:color w:val="auto"/>
          <w:sz w:val="36"/>
          <w:szCs w:val="36"/>
        </w:rPr>
        <w:t>第四章</w:t>
      </w:r>
      <w:r>
        <w:rPr>
          <w:rFonts w:hint="eastAsia" w:ascii="Times New Roman" w:hAnsi="Times New Roman" w:cs="Times New Roman"/>
          <w:b/>
          <w:color w:val="auto"/>
          <w:sz w:val="36"/>
          <w:szCs w:val="36"/>
        </w:rPr>
        <w:t xml:space="preserve">  </w:t>
      </w:r>
      <w:r>
        <w:rPr>
          <w:rFonts w:ascii="Times New Roman" w:hAnsi="Times New Roman" w:cs="Times New Roman"/>
          <w:b/>
          <w:bCs/>
          <w:color w:val="auto"/>
          <w:sz w:val="36"/>
          <w:szCs w:val="36"/>
        </w:rPr>
        <w:t>评审办法及评分标准</w:t>
      </w:r>
      <w:bookmarkEnd w:id="38"/>
      <w:bookmarkEnd w:id="39"/>
    </w:p>
    <w:p w14:paraId="3DD3C29D">
      <w:pPr>
        <w:pageBreakBefore w:val="0"/>
        <w:kinsoku/>
        <w:wordWrap/>
        <w:overflowPunct/>
        <w:topLinePunct w:val="0"/>
        <w:bidi w:val="0"/>
        <w:adjustRightInd/>
        <w:snapToGrid w:val="0"/>
        <w:spacing w:line="440" w:lineRule="exact"/>
        <w:ind w:right="0" w:rightChars="0"/>
        <w:jc w:val="center"/>
        <w:textAlignment w:val="auto"/>
        <w:outlineLvl w:val="9"/>
        <w:rPr>
          <w:rFonts w:ascii="Times New Roman" w:hAnsi="Times New Roman" w:eastAsia="方正姚体" w:cs="Times New Roman"/>
          <w:bCs/>
          <w:color w:val="auto"/>
          <w:sz w:val="24"/>
          <w:szCs w:val="24"/>
        </w:rPr>
      </w:pPr>
    </w:p>
    <w:p w14:paraId="25B9E94B">
      <w:pPr>
        <w:pageBreakBefore w:val="0"/>
        <w:kinsoku/>
        <w:wordWrap/>
        <w:overflowPunct/>
        <w:topLinePunct w:val="0"/>
        <w:bidi w:val="0"/>
        <w:adjustRightIn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44" w:name="_Toc11717"/>
      <w:r>
        <w:rPr>
          <w:rFonts w:hint="eastAsia" w:ascii="宋体" w:hAnsi="宋体" w:eastAsia="宋体" w:cstheme="minorEastAsia"/>
          <w:b/>
          <w:color w:val="auto"/>
          <w:sz w:val="28"/>
          <w:szCs w:val="28"/>
        </w:rPr>
        <w:t>一、评审</w:t>
      </w:r>
      <w:r>
        <w:rPr>
          <w:rFonts w:hint="eastAsia" w:ascii="宋体" w:hAnsi="宋体" w:eastAsia="宋体" w:cstheme="minorEastAsia"/>
          <w:b/>
          <w:color w:val="auto"/>
          <w:sz w:val="28"/>
          <w:szCs w:val="28"/>
          <w:lang w:eastAsia="zh-CN"/>
        </w:rPr>
        <w:t>办</w:t>
      </w:r>
      <w:r>
        <w:rPr>
          <w:rFonts w:hint="eastAsia" w:ascii="宋体" w:hAnsi="宋体" w:eastAsia="宋体" w:cstheme="minorEastAsia"/>
          <w:b/>
          <w:color w:val="auto"/>
          <w:sz w:val="28"/>
          <w:szCs w:val="28"/>
        </w:rPr>
        <w:t>法</w:t>
      </w:r>
      <w:bookmarkEnd w:id="44"/>
    </w:p>
    <w:p w14:paraId="11EEE339">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本次评审采用综合评分法。即满分100分，其中商务服务占</w:t>
      </w:r>
      <w:r>
        <w:rPr>
          <w:rFonts w:hint="eastAsia" w:ascii="宋体" w:hAnsi="宋体" w:eastAsia="宋体" w:cstheme="minorEastAsia"/>
          <w:color w:val="auto"/>
          <w:sz w:val="24"/>
          <w:szCs w:val="24"/>
          <w:lang w:val="en-US" w:eastAsia="zh-CN"/>
        </w:rPr>
        <w:t>15</w:t>
      </w:r>
      <w:r>
        <w:rPr>
          <w:rFonts w:hint="eastAsia" w:ascii="宋体" w:hAnsi="宋体" w:eastAsia="宋体" w:cstheme="minorEastAsia"/>
          <w:color w:val="auto"/>
          <w:sz w:val="24"/>
          <w:szCs w:val="24"/>
        </w:rPr>
        <w:t>％，技术评议占</w:t>
      </w:r>
      <w:r>
        <w:rPr>
          <w:rFonts w:hint="eastAsia" w:ascii="宋体" w:hAnsi="宋体" w:eastAsia="宋体" w:cstheme="minorEastAsia"/>
          <w:color w:val="auto"/>
          <w:sz w:val="24"/>
          <w:szCs w:val="24"/>
          <w:lang w:val="en-US" w:eastAsia="zh-CN"/>
        </w:rPr>
        <w:t>55</w:t>
      </w:r>
      <w:r>
        <w:rPr>
          <w:rFonts w:hint="eastAsia" w:ascii="宋体" w:hAnsi="宋体" w:eastAsia="宋体" w:cstheme="minorEastAsia"/>
          <w:color w:val="auto"/>
          <w:sz w:val="24"/>
          <w:szCs w:val="24"/>
        </w:rPr>
        <w:t>％，报价占</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w:t>
      </w:r>
    </w:p>
    <w:p w14:paraId="3018C6ED">
      <w:pPr>
        <w:keepNext w:val="0"/>
        <w:keepLines w:val="0"/>
        <w:pageBreakBefore w:val="0"/>
        <w:widowControl w:val="0"/>
        <w:kinsoku/>
        <w:wordWrap/>
        <w:overflowPunct/>
        <w:topLinePunct w:val="0"/>
        <w:autoSpaceDE/>
        <w:autoSpaceDN/>
        <w:bidi w:val="0"/>
        <w:adjustRightInd/>
        <w:snapToGri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45" w:name="_Toc25462"/>
      <w:r>
        <w:rPr>
          <w:rFonts w:hint="eastAsia" w:ascii="宋体" w:hAnsi="宋体" w:eastAsia="宋体" w:cstheme="minorEastAsia"/>
          <w:b/>
          <w:color w:val="auto"/>
          <w:sz w:val="28"/>
          <w:szCs w:val="28"/>
        </w:rPr>
        <w:t>二、评审步骤</w:t>
      </w:r>
      <w:bookmarkEnd w:id="45"/>
    </w:p>
    <w:p w14:paraId="10DB30FE">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磋商小组对响应文件的评审分为资格性符合性检查、</w:t>
      </w:r>
      <w:r>
        <w:rPr>
          <w:rFonts w:hint="eastAsia" w:ascii="宋体" w:hAnsi="宋体" w:eastAsia="宋体" w:cstheme="minorEastAsia"/>
          <w:color w:val="auto"/>
          <w:sz w:val="24"/>
          <w:szCs w:val="24"/>
          <w:lang w:eastAsia="zh-CN"/>
        </w:rPr>
        <w:t>磋商、技术（</w:t>
      </w:r>
      <w:r>
        <w:rPr>
          <w:rFonts w:hint="eastAsia" w:ascii="宋体" w:hAnsi="宋体" w:eastAsia="宋体" w:cstheme="minorEastAsia"/>
          <w:color w:val="auto"/>
          <w:sz w:val="24"/>
          <w:szCs w:val="24"/>
        </w:rPr>
        <w:t>服务</w:t>
      </w:r>
      <w:r>
        <w:rPr>
          <w:rFonts w:hint="eastAsia" w:ascii="宋体" w:hAnsi="宋体" w:eastAsia="宋体" w:cstheme="minorEastAsia"/>
          <w:color w:val="auto"/>
          <w:sz w:val="24"/>
          <w:szCs w:val="24"/>
          <w:lang w:eastAsia="zh-CN"/>
        </w:rPr>
        <w:t>）及商务</w:t>
      </w:r>
      <w:r>
        <w:rPr>
          <w:rFonts w:hint="eastAsia" w:ascii="宋体" w:hAnsi="宋体" w:eastAsia="宋体" w:cstheme="minorEastAsia"/>
          <w:color w:val="auto"/>
          <w:sz w:val="24"/>
          <w:szCs w:val="24"/>
        </w:rPr>
        <w:t>评议和价格评议；</w:t>
      </w:r>
    </w:p>
    <w:p w14:paraId="427EFF06">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（一）供应商资格性和符合性检查表</w:t>
      </w:r>
    </w:p>
    <w:p w14:paraId="2EE09C81">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bCs/>
          <w:color w:val="auto"/>
          <w:sz w:val="24"/>
          <w:szCs w:val="24"/>
        </w:rPr>
      </w:pPr>
      <w:r>
        <w:rPr>
          <w:rFonts w:hint="eastAsia" w:ascii="宋体" w:hAnsi="宋体" w:eastAsia="宋体" w:cstheme="minorEastAsia"/>
          <w:bCs/>
          <w:color w:val="auto"/>
          <w:sz w:val="24"/>
          <w:szCs w:val="24"/>
        </w:rPr>
        <w:t>磋商小组对</w:t>
      </w:r>
      <w:r>
        <w:rPr>
          <w:rFonts w:hint="eastAsia" w:ascii="宋体" w:hAnsi="宋体" w:eastAsia="宋体" w:cstheme="minorEastAsia"/>
          <w:color w:val="auto"/>
          <w:sz w:val="24"/>
          <w:szCs w:val="24"/>
        </w:rPr>
        <w:t>供应商资格性和符合性检查表进行审查</w:t>
      </w:r>
      <w:r>
        <w:rPr>
          <w:rFonts w:hint="eastAsia" w:ascii="宋体" w:hAnsi="宋体" w:eastAsia="宋体" w:cstheme="minorEastAsia"/>
          <w:bCs/>
          <w:color w:val="auto"/>
          <w:sz w:val="24"/>
          <w:szCs w:val="24"/>
        </w:rPr>
        <w:t>，响应文件审查不满足《供应商资格性和符合性检查表》中要求的，磋商小组有权拒绝该供应商参加磋商。</w:t>
      </w:r>
    </w:p>
    <w:tbl>
      <w:tblPr>
        <w:tblStyle w:val="42"/>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06"/>
        <w:gridCol w:w="904"/>
        <w:gridCol w:w="2390"/>
        <w:gridCol w:w="3601"/>
      </w:tblGrid>
      <w:tr w14:paraId="1E2E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BEA8AD3">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序号</w:t>
            </w:r>
          </w:p>
        </w:tc>
        <w:tc>
          <w:tcPr>
            <w:tcW w:w="1106" w:type="dxa"/>
            <w:vAlign w:val="center"/>
          </w:tcPr>
          <w:p w14:paraId="1ECDB3A5">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评审内容</w:t>
            </w:r>
          </w:p>
        </w:tc>
        <w:tc>
          <w:tcPr>
            <w:tcW w:w="6895" w:type="dxa"/>
            <w:gridSpan w:val="3"/>
            <w:vAlign w:val="center"/>
          </w:tcPr>
          <w:p w14:paraId="1B29CAD2">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说明</w:t>
            </w:r>
          </w:p>
        </w:tc>
      </w:tr>
      <w:tr w14:paraId="71CD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76E0A3F">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72A78AA5">
            <w:pPr>
              <w:pageBreakBefore w:val="0"/>
              <w:kinsoku/>
              <w:wordWrap/>
              <w:overflowPunct/>
              <w:topLinePunct w:val="0"/>
              <w:bidi w:val="0"/>
              <w:adjustRightInd/>
              <w:spacing w:line="240" w:lineRule="atLeast"/>
              <w:ind w:right="0" w:rightChars="0"/>
              <w:textAlignment w:val="auto"/>
              <w:rPr>
                <w:rFonts w:ascii="宋体" w:hAnsi="宋体" w:eastAsia="宋体" w:cstheme="minorEastAsia"/>
                <w:b/>
                <w:bCs/>
                <w:color w:val="auto"/>
                <w:kern w:val="0"/>
                <w:sz w:val="24"/>
                <w:szCs w:val="24"/>
              </w:rPr>
            </w:pPr>
            <w:r>
              <w:rPr>
                <w:rFonts w:hint="eastAsia" w:ascii="宋体" w:hAnsi="宋体" w:eastAsia="宋体" w:cstheme="minorEastAsia"/>
                <w:bCs/>
                <w:color w:val="auto"/>
                <w:kern w:val="0"/>
                <w:sz w:val="24"/>
                <w:szCs w:val="24"/>
              </w:rPr>
              <w:t>磋商书（附件1）</w:t>
            </w:r>
          </w:p>
        </w:tc>
      </w:tr>
      <w:tr w14:paraId="4C0B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25BCCF7A">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6313A677">
            <w:pPr>
              <w:pageBreakBefore w:val="0"/>
              <w:widowControl w:val="0"/>
              <w:kinsoku/>
              <w:wordWrap/>
              <w:overflowPunct/>
              <w:topLinePunct w:val="0"/>
              <w:autoSpaceDE w:val="0"/>
              <w:autoSpaceDN w:val="0"/>
              <w:bidi w:val="0"/>
              <w:adjustRightInd/>
              <w:spacing w:before="0" w:after="0" w:line="240" w:lineRule="auto"/>
              <w:ind w:left="0" w:right="0" w:rightChars="0" w:firstLine="0"/>
              <w:jc w:val="left"/>
              <w:textAlignment w:val="auto"/>
              <w:rPr>
                <w:rFonts w:hint="eastAsia"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报价组成情况表（附件2）</w:t>
            </w:r>
          </w:p>
        </w:tc>
      </w:tr>
      <w:tr w14:paraId="362A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F4E1FF6">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18669C0A">
            <w:pPr>
              <w:pageBreakBefore w:val="0"/>
              <w:kinsoku/>
              <w:wordWrap/>
              <w:overflowPunct/>
              <w:topLinePunct w:val="0"/>
              <w:bidi w:val="0"/>
              <w:adjustRightInd/>
              <w:spacing w:line="240" w:lineRule="atLeast"/>
              <w:ind w:right="0" w:rightChars="0"/>
              <w:jc w:val="left"/>
              <w:textAlignment w:val="auto"/>
              <w:rPr>
                <w:rFonts w:hint="default" w:ascii="宋体" w:hAnsi="宋体" w:eastAsia="宋体" w:cstheme="minorEastAsia"/>
                <w:bCs/>
                <w:color w:val="auto"/>
                <w:kern w:val="0"/>
                <w:sz w:val="24"/>
                <w:szCs w:val="24"/>
                <w:lang w:val="en-US" w:eastAsia="zh-CN"/>
              </w:rPr>
            </w:pPr>
            <w:r>
              <w:rPr>
                <w:rFonts w:hint="eastAsia" w:ascii="宋体" w:hAnsi="宋体" w:eastAsia="宋体" w:cstheme="minorEastAsia"/>
                <w:bCs/>
                <w:color w:val="auto"/>
                <w:kern w:val="0"/>
                <w:sz w:val="24"/>
                <w:szCs w:val="24"/>
              </w:rPr>
              <w:t>货物（服务）清单（附件3）</w:t>
            </w:r>
          </w:p>
        </w:tc>
      </w:tr>
      <w:tr w14:paraId="2718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34" w:type="dxa"/>
            <w:vAlign w:val="center"/>
          </w:tcPr>
          <w:p w14:paraId="43B0BF57">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65C40FC4">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《资格性符合性检查对照表》（附件4）</w:t>
            </w:r>
          </w:p>
        </w:tc>
      </w:tr>
      <w:tr w14:paraId="5265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89F2330">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40F3A766">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《技术（服务）响应、偏离情况说明表》（附件5）</w:t>
            </w:r>
          </w:p>
        </w:tc>
      </w:tr>
      <w:tr w14:paraId="5887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49321ABE">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1F5E8E8F">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《商务（合同草案条款）响应、偏离情况说明表》（附件6）</w:t>
            </w:r>
          </w:p>
        </w:tc>
      </w:tr>
      <w:tr w14:paraId="5609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6BB9359">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698F4E1C">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法人（负责人）代表授权书（附件7）</w:t>
            </w:r>
          </w:p>
        </w:tc>
      </w:tr>
      <w:tr w14:paraId="0C39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restart"/>
            <w:vAlign w:val="center"/>
          </w:tcPr>
          <w:p w14:paraId="143E4B8D">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restart"/>
            <w:vAlign w:val="center"/>
          </w:tcPr>
          <w:p w14:paraId="49C08C4C">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法人或者其他组织的营业执照等证明文件，自然人的身份证明；</w:t>
            </w:r>
          </w:p>
        </w:tc>
        <w:tc>
          <w:tcPr>
            <w:tcW w:w="904" w:type="dxa"/>
            <w:vMerge w:val="restart"/>
            <w:vAlign w:val="center"/>
          </w:tcPr>
          <w:p w14:paraId="530130BF">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2390" w:type="dxa"/>
            <w:vAlign w:val="center"/>
          </w:tcPr>
          <w:p w14:paraId="763FECB6">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企业法人（包括合伙企业）</w:t>
            </w:r>
          </w:p>
        </w:tc>
        <w:tc>
          <w:tcPr>
            <w:tcW w:w="3601" w:type="dxa"/>
            <w:vAlign w:val="center"/>
          </w:tcPr>
          <w:p w14:paraId="181A7AB7">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提供工商部门注册的有效“企业法人营业执照”或“营业执照”；</w:t>
            </w:r>
          </w:p>
        </w:tc>
      </w:tr>
      <w:tr w14:paraId="39BA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14:paraId="720A5F81">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5A8DD64C">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14:paraId="6FB8BED2">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14:paraId="0B42EF0C">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事业单位法人</w:t>
            </w:r>
          </w:p>
        </w:tc>
        <w:tc>
          <w:tcPr>
            <w:tcW w:w="3601" w:type="dxa"/>
            <w:vAlign w:val="center"/>
          </w:tcPr>
          <w:p w14:paraId="6BB5FE4B">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提供有效的“事业单位法人证书”</w:t>
            </w:r>
          </w:p>
        </w:tc>
      </w:tr>
      <w:tr w14:paraId="71F9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14:paraId="50D9023E">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07C51EEA">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restart"/>
            <w:vAlign w:val="center"/>
          </w:tcPr>
          <w:p w14:paraId="46AC29B7">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其他组织</w:t>
            </w:r>
          </w:p>
        </w:tc>
        <w:tc>
          <w:tcPr>
            <w:tcW w:w="2390" w:type="dxa"/>
            <w:vAlign w:val="center"/>
          </w:tcPr>
          <w:p w14:paraId="48618223">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非企业专业服务机构</w:t>
            </w:r>
          </w:p>
        </w:tc>
        <w:tc>
          <w:tcPr>
            <w:tcW w:w="3601" w:type="dxa"/>
            <w:vAlign w:val="center"/>
          </w:tcPr>
          <w:p w14:paraId="0832D92E">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提供执业许可证等证明文件；</w:t>
            </w:r>
          </w:p>
        </w:tc>
      </w:tr>
      <w:tr w14:paraId="2652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14:paraId="0DAD3558">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28F717D1">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14:paraId="78971FAF">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14:paraId="7F9122AB">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个体工商户</w:t>
            </w:r>
          </w:p>
        </w:tc>
        <w:tc>
          <w:tcPr>
            <w:tcW w:w="3601" w:type="dxa"/>
            <w:vAlign w:val="center"/>
          </w:tcPr>
          <w:p w14:paraId="752EC029">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提供有效的“个体工商户营业执照”。</w:t>
            </w:r>
          </w:p>
        </w:tc>
      </w:tr>
      <w:tr w14:paraId="1BA1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Merge w:val="continue"/>
            <w:vAlign w:val="center"/>
          </w:tcPr>
          <w:p w14:paraId="1978E1A5">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6F3C305B">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Align w:val="center"/>
          </w:tcPr>
          <w:p w14:paraId="04C7FA33">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自然人</w:t>
            </w:r>
          </w:p>
        </w:tc>
        <w:tc>
          <w:tcPr>
            <w:tcW w:w="5991" w:type="dxa"/>
            <w:gridSpan w:val="2"/>
            <w:vAlign w:val="center"/>
          </w:tcPr>
          <w:p w14:paraId="2A524C48">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提供有效的自然人身份证明。（仅限中国公民）</w:t>
            </w:r>
          </w:p>
        </w:tc>
      </w:tr>
      <w:tr w14:paraId="0676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restart"/>
            <w:vAlign w:val="center"/>
          </w:tcPr>
          <w:p w14:paraId="144EBE0A">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restart"/>
            <w:vAlign w:val="center"/>
          </w:tcPr>
          <w:p w14:paraId="7461EA2E">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财务状况报告，依法缴纳税收和社会保障资金的相关材料；</w:t>
            </w:r>
          </w:p>
        </w:tc>
        <w:tc>
          <w:tcPr>
            <w:tcW w:w="904" w:type="dxa"/>
            <w:vMerge w:val="restart"/>
            <w:vAlign w:val="center"/>
          </w:tcPr>
          <w:p w14:paraId="0E264CB9">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财务状况报告</w:t>
            </w:r>
          </w:p>
        </w:tc>
        <w:tc>
          <w:tcPr>
            <w:tcW w:w="2390" w:type="dxa"/>
            <w:vAlign w:val="center"/>
          </w:tcPr>
          <w:p w14:paraId="3508D0F8">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3601" w:type="dxa"/>
            <w:vAlign w:val="center"/>
          </w:tcPr>
          <w:p w14:paraId="3F9AE5AE">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提供经第三方审计的202</w:t>
            </w:r>
            <w:r>
              <w:rPr>
                <w:rFonts w:hint="eastAsia" w:ascii="宋体" w:hAnsi="宋体" w:eastAsia="宋体" w:cstheme="minorEastAsia"/>
                <w:color w:val="auto"/>
                <w:kern w:val="0"/>
                <w:sz w:val="24"/>
                <w:szCs w:val="24"/>
                <w:lang w:val="en-US" w:eastAsia="zh-CN"/>
              </w:rPr>
              <w:t>0或2021</w:t>
            </w:r>
            <w:r>
              <w:rPr>
                <w:rFonts w:hint="eastAsia" w:ascii="宋体" w:hAnsi="宋体" w:eastAsia="宋体" w:cstheme="minorEastAsia"/>
                <w:color w:val="auto"/>
                <w:kern w:val="0"/>
                <w:sz w:val="24"/>
                <w:szCs w:val="24"/>
              </w:rPr>
              <w:t>年度财务报告（完整的财务报告，包括“四表一注”，即资产负债表、利润表、现金流量表、所有者权益变动表及其附注），或其基本开户银行出具的资信证明；</w:t>
            </w:r>
          </w:p>
        </w:tc>
      </w:tr>
      <w:tr w14:paraId="29F0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continue"/>
            <w:vAlign w:val="center"/>
          </w:tcPr>
          <w:p w14:paraId="5466B8A1">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6053A08D">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14:paraId="3CB60D8C">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14:paraId="259C6CA6">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部分其他组织和自然人</w:t>
            </w:r>
          </w:p>
        </w:tc>
        <w:tc>
          <w:tcPr>
            <w:tcW w:w="3601" w:type="dxa"/>
            <w:vAlign w:val="center"/>
          </w:tcPr>
          <w:p w14:paraId="6F176DDE">
            <w:pPr>
              <w:pageBreakBefore w:val="0"/>
              <w:kinsoku/>
              <w:wordWrap/>
              <w:overflowPunct/>
              <w:topLinePunct w:val="0"/>
              <w:bidi w:val="0"/>
              <w:adjustRightInd/>
              <w:spacing w:line="360" w:lineRule="auto"/>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没有经第三方审计的财务报告的，可以提供银行出具的资信证明；</w:t>
            </w:r>
          </w:p>
        </w:tc>
      </w:tr>
      <w:tr w14:paraId="46EA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continue"/>
            <w:vAlign w:val="center"/>
          </w:tcPr>
          <w:p w14:paraId="496AC9BA">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74387738">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14:paraId="10096120">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5991" w:type="dxa"/>
            <w:gridSpan w:val="2"/>
            <w:vAlign w:val="center"/>
          </w:tcPr>
          <w:p w14:paraId="366C26FC">
            <w:pPr>
              <w:pageBreakBefore w:val="0"/>
              <w:kinsoku/>
              <w:wordWrap/>
              <w:overflowPunct/>
              <w:topLinePunct w:val="0"/>
              <w:bidi w:val="0"/>
              <w:adjustRightInd/>
              <w:spacing w:line="360" w:lineRule="auto"/>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响应供应商没有经第三方审计的财务报告和资信证明时，也可以提供财政部门认可的政府采购专业担保机构出具的投标担保函。</w:t>
            </w:r>
          </w:p>
        </w:tc>
      </w:tr>
      <w:tr w14:paraId="641E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4" w:type="dxa"/>
            <w:vMerge w:val="continue"/>
            <w:vAlign w:val="center"/>
          </w:tcPr>
          <w:p w14:paraId="380D909A">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3911983A">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restart"/>
            <w:vAlign w:val="center"/>
          </w:tcPr>
          <w:p w14:paraId="4F2509EA">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依法缴纳税收和社会保障资金的证明材</w:t>
            </w:r>
            <w:r>
              <w:rPr>
                <w:rFonts w:hint="eastAsia" w:ascii="宋体" w:hAnsi="宋体" w:eastAsia="宋体" w:cstheme="minorEastAsia"/>
                <w:color w:val="auto"/>
                <w:kern w:val="0"/>
                <w:sz w:val="24"/>
                <w:szCs w:val="24"/>
                <w:lang w:val="en-US" w:eastAsia="zh-CN"/>
              </w:rPr>
              <w:t xml:space="preserve"> </w:t>
            </w:r>
            <w:r>
              <w:rPr>
                <w:rFonts w:hint="eastAsia" w:ascii="宋体" w:hAnsi="宋体" w:eastAsia="宋体" w:cstheme="minorEastAsia"/>
                <w:color w:val="auto"/>
                <w:kern w:val="0"/>
                <w:sz w:val="24"/>
                <w:szCs w:val="24"/>
              </w:rPr>
              <w:t>料</w:t>
            </w:r>
          </w:p>
        </w:tc>
        <w:tc>
          <w:tcPr>
            <w:tcW w:w="2390" w:type="dxa"/>
            <w:vMerge w:val="restart"/>
            <w:vAlign w:val="center"/>
          </w:tcPr>
          <w:p w14:paraId="359CBBD5">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3601" w:type="dxa"/>
            <w:vAlign w:val="center"/>
          </w:tcPr>
          <w:p w14:paraId="6D7176EC">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年以来任意一月内缴纳增值税、营业税和企业所得税的凭据；</w:t>
            </w:r>
          </w:p>
        </w:tc>
      </w:tr>
      <w:tr w14:paraId="32C4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4" w:type="dxa"/>
            <w:vMerge w:val="continue"/>
            <w:vAlign w:val="center"/>
          </w:tcPr>
          <w:p w14:paraId="79DDBB14">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5768D56A">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14:paraId="1F046772">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continue"/>
            <w:vAlign w:val="center"/>
          </w:tcPr>
          <w:p w14:paraId="13BAACCD">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3601" w:type="dxa"/>
            <w:vAlign w:val="center"/>
          </w:tcPr>
          <w:p w14:paraId="57653CBE">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年以来任意一月内缴纳社会保险的凭据（专用收据或社会保险缴纳清单）。</w:t>
            </w:r>
          </w:p>
        </w:tc>
      </w:tr>
      <w:tr w14:paraId="5F36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4" w:type="dxa"/>
            <w:vMerge w:val="continue"/>
            <w:vAlign w:val="center"/>
          </w:tcPr>
          <w:p w14:paraId="5F89CB6D">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0A2D9A16">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14:paraId="536EE88E">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restart"/>
            <w:vAlign w:val="center"/>
          </w:tcPr>
          <w:p w14:paraId="4046C8BA">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其他组织和自然人</w:t>
            </w:r>
          </w:p>
        </w:tc>
        <w:tc>
          <w:tcPr>
            <w:tcW w:w="3601" w:type="dxa"/>
            <w:vAlign w:val="center"/>
          </w:tcPr>
          <w:p w14:paraId="0D0E6484">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年以来任意一月内缴纳税收的凭据；</w:t>
            </w:r>
          </w:p>
        </w:tc>
      </w:tr>
      <w:tr w14:paraId="072F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4" w:type="dxa"/>
            <w:vMerge w:val="continue"/>
            <w:vAlign w:val="center"/>
          </w:tcPr>
          <w:p w14:paraId="6A81BFF0">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7CC24F78">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14:paraId="7B322BA1">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continue"/>
            <w:vAlign w:val="center"/>
          </w:tcPr>
          <w:p w14:paraId="27A1EF58">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3601" w:type="dxa"/>
            <w:vAlign w:val="center"/>
          </w:tcPr>
          <w:p w14:paraId="7B7E69B0">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年以来任意一月内缴纳社会保险的凭据(专用收据或社会保险缴纳清单)。</w:t>
            </w:r>
          </w:p>
        </w:tc>
      </w:tr>
      <w:tr w14:paraId="0A47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34" w:type="dxa"/>
            <w:vMerge w:val="continue"/>
            <w:vAlign w:val="center"/>
          </w:tcPr>
          <w:p w14:paraId="78DEB8E8">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412F344C">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14:paraId="1FB7D95D">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5991" w:type="dxa"/>
            <w:gridSpan w:val="2"/>
            <w:vAlign w:val="center"/>
          </w:tcPr>
          <w:p w14:paraId="378624C1">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依法免税或不需要缴纳社会保险资金的投标人提供其依法免税或不需要缴纳社会保险资金的相关证明文件。</w:t>
            </w:r>
          </w:p>
        </w:tc>
      </w:tr>
      <w:tr w14:paraId="4E70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14:paraId="4B778A4A">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68BA4324">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具备履行合同所必需的设备和专业技术能力的证明材料（附件10）</w:t>
            </w:r>
          </w:p>
        </w:tc>
      </w:tr>
      <w:tr w14:paraId="7C66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14:paraId="2DE2ED3A">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5E74406D">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参加政府采购活动前3年内在经营活动中没有重大违法记录的书面声明；（附件11）</w:t>
            </w:r>
          </w:p>
        </w:tc>
      </w:tr>
      <w:tr w14:paraId="71F4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14:paraId="38A92E15">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55719DD9">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未被列入“信用中国”网站（www.creditchina.gov.cn）、“中国政府采购网”失信被执行人、重大税收违法案件当事人名单、政府采购严重违法失信行为记录名单</w:t>
            </w:r>
            <w:r>
              <w:rPr>
                <w:rFonts w:ascii="仿宋" w:hAnsi="仿宋" w:cs="仿宋"/>
                <w:color w:val="auto"/>
                <w:spacing w:val="0"/>
                <w:sz w:val="24"/>
              </w:rPr>
              <w:t>查询结果截图</w:t>
            </w:r>
            <w:r>
              <w:rPr>
                <w:rFonts w:hint="eastAsia" w:ascii="仿宋" w:hAnsi="仿宋" w:cs="仿宋"/>
                <w:color w:val="auto"/>
                <w:spacing w:val="0"/>
                <w:sz w:val="24"/>
                <w:highlight w:val="none"/>
                <w:lang w:eastAsia="zh-CN"/>
              </w:rPr>
              <w:t>；</w:t>
            </w:r>
            <w:r>
              <w:rPr>
                <w:rFonts w:hint="eastAsia" w:ascii="宋体" w:hAnsi="宋体" w:eastAsia="宋体" w:cstheme="minorEastAsia"/>
                <w:color w:val="auto"/>
                <w:kern w:val="0"/>
                <w:sz w:val="24"/>
                <w:szCs w:val="24"/>
                <w:highlight w:val="none"/>
              </w:rPr>
              <w:t>（附件12）</w:t>
            </w:r>
          </w:p>
        </w:tc>
      </w:tr>
      <w:tr w14:paraId="5520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14:paraId="7CBDE09B">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3EC93196">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政府采购政策情况表（附件13）</w:t>
            </w:r>
          </w:p>
        </w:tc>
      </w:tr>
      <w:tr w14:paraId="229D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4" w:type="dxa"/>
            <w:vAlign w:val="center"/>
          </w:tcPr>
          <w:p w14:paraId="1AD3138B">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594A5265">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《中小企业声明函》、《残疾人福利性单位声明函》、属于监狱企业的证明文件等（如果有的话）(附件14)。</w:t>
            </w:r>
          </w:p>
        </w:tc>
      </w:tr>
      <w:tr w14:paraId="1831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4" w:type="dxa"/>
            <w:vAlign w:val="center"/>
          </w:tcPr>
          <w:p w14:paraId="63C367A6">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4400" w:type="dxa"/>
            <w:gridSpan w:val="3"/>
            <w:vAlign w:val="center"/>
          </w:tcPr>
          <w:p w14:paraId="4409A272">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供应商应使用 CA 数字证书加盖投标人的单位电子印章或扫描上传加盖单位公章的电子投标文件；要求“签字”的地方，投标人应使用 CA 数字证书加盖法定代表人的个人电子印章或电子签名章或扫描上传法定代表人签字或盖章的电子投标文件（投标文件签字人非法定代表人的，提供了有效的《法定代表人授权书》）</w:t>
            </w:r>
          </w:p>
        </w:tc>
        <w:tc>
          <w:tcPr>
            <w:tcW w:w="3601" w:type="dxa"/>
            <w:vAlign w:val="center"/>
          </w:tcPr>
          <w:p w14:paraId="7C52E082">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供应商需要按照文件要求进行盖章。如果是分支机构参与采购活动，总公司（总所）出具给分支机构的授权书，并加盖总公司（总所）公章</w:t>
            </w:r>
          </w:p>
        </w:tc>
      </w:tr>
    </w:tbl>
    <w:p w14:paraId="2343F51C">
      <w:pPr>
        <w:pStyle w:val="17"/>
        <w:spacing w:after="0" w:line="360" w:lineRule="auto"/>
        <w:rPr>
          <w:rFonts w:hint="eastAsia" w:ascii="宋体" w:hAnsi="宋体" w:eastAsia="宋体" w:cstheme="minorEastAsia"/>
          <w:color w:val="auto"/>
          <w:kern w:val="0"/>
          <w:sz w:val="24"/>
          <w:szCs w:val="24"/>
          <w:lang w:val="en-US" w:eastAsia="zh-CN" w:bidi="ar-SA"/>
        </w:rPr>
      </w:pPr>
      <w:r>
        <w:rPr>
          <w:rFonts w:hint="eastAsia" w:ascii="宋体" w:hAnsi="宋体" w:eastAsia="宋体" w:cstheme="minorEastAsia"/>
          <w:color w:val="auto"/>
          <w:kern w:val="0"/>
          <w:sz w:val="24"/>
          <w:szCs w:val="24"/>
          <w:lang w:val="en-US" w:eastAsia="zh-CN" w:bidi="ar-SA"/>
        </w:rPr>
        <w:t>说明：1、所有证书、证明文件包括按要求提供的官网截图必须是真实可查证的，须注明资料来源。资格证明文件应为原件的扫描件。如因证明材料模糊无法辨认，缺页、漏页导致无法进行评审认定的责任由供应商自负。如发现弄虚作假将按照有关规定严肃处理。证明材料仅限于供应商本身，参股或控股单位及独立法人子公司的材料不能作为证明材料，但供应商兼并的企业的材料可作为证明材料。</w:t>
      </w:r>
    </w:p>
    <w:p w14:paraId="2F8921B1">
      <w:pPr>
        <w:pStyle w:val="160"/>
        <w:numPr>
          <w:ilvl w:val="0"/>
          <w:numId w:val="0"/>
        </w:numPr>
        <w:tabs>
          <w:tab w:val="left" w:pos="1452"/>
        </w:tabs>
        <w:spacing w:line="360" w:lineRule="auto"/>
        <w:ind w:right="6" w:rightChars="0"/>
        <w:jc w:val="left"/>
        <w:rPr>
          <w:rFonts w:hint="eastAsia" w:ascii="宋体" w:hAnsi="宋体" w:eastAsia="宋体" w:cstheme="minorEastAsia"/>
          <w:color w:val="auto"/>
          <w:kern w:val="0"/>
          <w:sz w:val="24"/>
          <w:szCs w:val="24"/>
          <w:lang w:val="en-US" w:eastAsia="zh-CN" w:bidi="ar-SA"/>
        </w:rPr>
      </w:pPr>
      <w:r>
        <w:rPr>
          <w:rFonts w:hint="eastAsia" w:ascii="宋体" w:hAnsi="宋体" w:eastAsia="宋体" w:cstheme="minorEastAsia"/>
          <w:color w:val="auto"/>
          <w:kern w:val="0"/>
          <w:sz w:val="24"/>
          <w:szCs w:val="24"/>
          <w:lang w:val="en-US" w:eastAsia="zh-CN" w:bidi="ar-SA"/>
        </w:rPr>
        <w:t>2、对于磋商文件中有任意一条不满足上表要求的将导致其响应无效，不进入下一项评审。</w:t>
      </w:r>
    </w:p>
    <w:p w14:paraId="724268CC">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（二）商务评议（占</w:t>
      </w:r>
      <w:r>
        <w:rPr>
          <w:rFonts w:hint="eastAsia" w:ascii="宋体" w:hAnsi="宋体" w:eastAsia="宋体" w:cstheme="minorEastAsia"/>
          <w:color w:val="auto"/>
          <w:sz w:val="24"/>
          <w:szCs w:val="24"/>
          <w:lang w:val="en-US" w:eastAsia="zh-CN"/>
        </w:rPr>
        <w:t>15</w:t>
      </w:r>
      <w:r>
        <w:rPr>
          <w:rFonts w:hint="eastAsia" w:ascii="宋体" w:hAnsi="宋体" w:eastAsia="宋体" w:cstheme="minorEastAsia"/>
          <w:color w:val="auto"/>
          <w:sz w:val="24"/>
          <w:szCs w:val="24"/>
        </w:rPr>
        <w:t>%）</w:t>
      </w:r>
    </w:p>
    <w:p w14:paraId="11EAFF1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磋商小组依据“商务服务评分表”中的分值及标准进行评分。</w:t>
      </w:r>
    </w:p>
    <w:p w14:paraId="42CD609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（三）技术评议（占</w:t>
      </w:r>
      <w:r>
        <w:rPr>
          <w:rFonts w:hint="eastAsia" w:ascii="宋体" w:hAnsi="宋体" w:eastAsia="宋体" w:cstheme="minorEastAsia"/>
          <w:color w:val="auto"/>
          <w:sz w:val="24"/>
          <w:szCs w:val="24"/>
          <w:lang w:val="en-US" w:eastAsia="zh-CN"/>
        </w:rPr>
        <w:t>55</w:t>
      </w:r>
      <w:r>
        <w:rPr>
          <w:rFonts w:hint="eastAsia" w:ascii="宋体" w:hAnsi="宋体" w:eastAsia="宋体" w:cstheme="minorEastAsia"/>
          <w:color w:val="auto"/>
          <w:sz w:val="24"/>
          <w:szCs w:val="24"/>
        </w:rPr>
        <w:t>%）</w:t>
      </w:r>
    </w:p>
    <w:p w14:paraId="43E2912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磋商小组依据“技术评分表”中的分值及标准进行评分。</w:t>
      </w:r>
    </w:p>
    <w:p w14:paraId="7C37892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（四）价格评议（占</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w:t>
      </w:r>
    </w:p>
    <w:p w14:paraId="49FACCA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1. 磋商小组对资格性和符合性审查合格的响应文件进行价格评议，价格分采用低价优先法计算，即满足磋商文件要求且磋商报价（落实政府采购政策进行价格调整的，以调整后的价格计算）最低的磋商报价为磋商基准价，其价格分为满分。</w:t>
      </w:r>
    </w:p>
    <w:p w14:paraId="6D39FE1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2.小型和微型企业、监狱企业、残疾人福利性单位价格扣除：</w:t>
      </w:r>
    </w:p>
    <w:p w14:paraId="6BF9C66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2.1非专门面向中小企业的货物类采购项目，按磋商文件中采购清单确定的货物，对小型和微型企业制造的货物价格给予6%的扣除，用扣除后的价格参与评审。</w:t>
      </w:r>
    </w:p>
    <w:p w14:paraId="58A7C05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2.2非专门面向中小企业的工程、服务类采购项目，供应商是小型和微型企业的价格给予6%的扣除，用扣除后的价格参与评审。</w:t>
      </w:r>
    </w:p>
    <w:p w14:paraId="7D689F2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2.3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3%的价格扣除，不重复享受政策。</w:t>
      </w:r>
    </w:p>
    <w:p w14:paraId="597F710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2.4监狱企业、残疾人福利性单位视同小型、微型企业，享受预留份额、评审中价格扣除等政府采购促进中小企业发展的政府采购政策，残疾人福利性单位属于小型、微型企业的，不重复享受政策。</w:t>
      </w:r>
    </w:p>
    <w:p w14:paraId="1C23E81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2.5小型和微型企业应出具《声明函》；监狱企业应提供由省级监狱局、戒毒局（含新疆生产建设兵团）出具的监狱企业的证明文件；残疾人福利性单位提供《声明函》。</w:t>
      </w:r>
    </w:p>
    <w:p w14:paraId="282A070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价格分采用低价优先法计算，即满足磋商文件要求且最后报价最低的供应商的价格为磋商基准价，其价格分为满分。其他供应商的价格分统一按照下列公式计算：</w:t>
      </w:r>
    </w:p>
    <w:p w14:paraId="067C4E1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磋商报价得分=（磋商基准价/最后磋商报价）×</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%×100</w:t>
      </w:r>
    </w:p>
    <w:p w14:paraId="40D3FAD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（五）</w:t>
      </w:r>
      <w:r>
        <w:rPr>
          <w:rFonts w:hint="eastAsia" w:ascii="宋体" w:hAnsi="宋体" w:eastAsia="宋体" w:cstheme="minorEastAsia"/>
          <w:color w:val="auto"/>
          <w:sz w:val="24"/>
          <w:szCs w:val="24"/>
          <w:lang w:eastAsia="zh-CN"/>
        </w:rPr>
        <w:t>确定</w:t>
      </w:r>
      <w:r>
        <w:rPr>
          <w:rFonts w:hint="eastAsia" w:ascii="宋体" w:hAnsi="宋体" w:eastAsia="宋体" w:cstheme="minorEastAsia"/>
          <w:color w:val="auto"/>
          <w:sz w:val="24"/>
          <w:szCs w:val="24"/>
        </w:rPr>
        <w:t>成交候选供应商</w:t>
      </w:r>
    </w:p>
    <w:p w14:paraId="60475DF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theme="minorEastAsia"/>
          <w:b/>
          <w:color w:val="auto"/>
          <w:sz w:val="28"/>
          <w:szCs w:val="28"/>
        </w:rPr>
      </w:pPr>
      <w:r>
        <w:rPr>
          <w:rFonts w:hint="eastAsia" w:ascii="宋体" w:hAnsi="宋体" w:eastAsia="宋体" w:cstheme="minorEastAsia"/>
          <w:color w:val="auto"/>
          <w:sz w:val="24"/>
          <w:szCs w:val="24"/>
        </w:rPr>
        <w:t>评磋商小组应当根据综合评分情况，按照评审得分由高到低顺序推荐</w:t>
      </w:r>
      <w:r>
        <w:rPr>
          <w:rFonts w:hint="eastAsia" w:ascii="宋体" w:hAnsi="宋体" w:eastAsia="宋体" w:cstheme="minorEastAsia"/>
          <w:color w:val="auto"/>
          <w:sz w:val="24"/>
          <w:szCs w:val="24"/>
          <w:lang w:eastAsia="zh-CN"/>
        </w:rPr>
        <w:t>得分前三</w:t>
      </w:r>
      <w:r>
        <w:rPr>
          <w:rFonts w:hint="eastAsia" w:ascii="宋体" w:hAnsi="宋体" w:eastAsia="宋体" w:cstheme="minorEastAsia"/>
          <w:color w:val="auto"/>
          <w:sz w:val="24"/>
          <w:szCs w:val="24"/>
        </w:rPr>
        <w:t>名</w:t>
      </w:r>
      <w:r>
        <w:rPr>
          <w:rFonts w:hint="eastAsia" w:ascii="宋体" w:hAnsi="宋体" w:eastAsia="宋体" w:cstheme="minorEastAsia"/>
          <w:color w:val="auto"/>
          <w:sz w:val="24"/>
          <w:szCs w:val="24"/>
          <w:lang w:eastAsia="zh-CN"/>
        </w:rPr>
        <w:t>的进入</w:t>
      </w:r>
      <w:r>
        <w:rPr>
          <w:rFonts w:hint="eastAsia" w:ascii="宋体" w:hAnsi="宋体" w:eastAsia="宋体" w:cstheme="minorEastAsia"/>
          <w:color w:val="auto"/>
          <w:sz w:val="24"/>
          <w:szCs w:val="24"/>
        </w:rPr>
        <w:t>成交候选供应商</w:t>
      </w:r>
      <w:r>
        <w:rPr>
          <w:rFonts w:hint="eastAsia" w:ascii="宋体" w:hAnsi="宋体" w:eastAsia="宋体" w:cstheme="minorEastAsia"/>
          <w:color w:val="auto"/>
          <w:sz w:val="24"/>
          <w:szCs w:val="24"/>
          <w:lang w:eastAsia="zh-CN"/>
        </w:rPr>
        <w:t>名单</w:t>
      </w:r>
      <w:r>
        <w:rPr>
          <w:rFonts w:hint="eastAsia" w:ascii="宋体" w:hAnsi="宋体" w:eastAsia="宋体" w:cstheme="minorEastAsia"/>
          <w:color w:val="auto"/>
          <w:sz w:val="24"/>
          <w:szCs w:val="24"/>
        </w:rPr>
        <w:t>，并编写评审报告。评审得分相同的，按照最后报价由低到高的顺序推荐。评审得分且最后报价相同的，按照技术指标优劣顺序推荐。</w:t>
      </w:r>
      <w:bookmarkStart w:id="46" w:name="_Toc75007959"/>
      <w:bookmarkStart w:id="47" w:name="_Toc1458939"/>
    </w:p>
    <w:p w14:paraId="26C45EC0">
      <w:pPr>
        <w:spacing w:line="440" w:lineRule="exact"/>
        <w:ind w:left="0" w:leftChars="0" w:firstLine="422" w:firstLineChars="150"/>
        <w:outlineLvl w:val="1"/>
        <w:rPr>
          <w:rFonts w:ascii="宋体" w:hAnsi="宋体" w:eastAsia="宋体" w:cstheme="minorEastAsia"/>
          <w:b/>
          <w:color w:val="auto"/>
          <w:sz w:val="28"/>
          <w:szCs w:val="28"/>
        </w:rPr>
      </w:pPr>
      <w:bookmarkStart w:id="48" w:name="_Toc19196"/>
      <w:r>
        <w:rPr>
          <w:rFonts w:hint="eastAsia" w:ascii="宋体" w:hAnsi="宋体" w:eastAsia="宋体" w:cstheme="minorEastAsia"/>
          <w:b/>
          <w:color w:val="auto"/>
          <w:sz w:val="28"/>
          <w:szCs w:val="28"/>
        </w:rPr>
        <w:t>三、</w:t>
      </w:r>
      <w:bookmarkStart w:id="49" w:name="_Toc509997296"/>
      <w:bookmarkStart w:id="50" w:name="_Toc1421491"/>
      <w:bookmarkStart w:id="51" w:name="_Toc494799112"/>
      <w:r>
        <w:rPr>
          <w:rFonts w:hint="eastAsia" w:ascii="宋体" w:hAnsi="宋体" w:eastAsia="宋体" w:cstheme="minorEastAsia"/>
          <w:b/>
          <w:color w:val="auto"/>
          <w:sz w:val="28"/>
          <w:szCs w:val="28"/>
        </w:rPr>
        <w:t>评审因素及评分标准</w:t>
      </w:r>
      <w:bookmarkEnd w:id="46"/>
      <w:bookmarkEnd w:id="47"/>
      <w:bookmarkEnd w:id="48"/>
      <w:bookmarkEnd w:id="49"/>
      <w:bookmarkEnd w:id="50"/>
      <w:bookmarkEnd w:id="51"/>
      <w:bookmarkStart w:id="52" w:name="_Toc1458940"/>
      <w:bookmarkStart w:id="53" w:name="_Toc75007960"/>
    </w:p>
    <w:p w14:paraId="5E858FF8">
      <w:pPr>
        <w:spacing w:line="440" w:lineRule="exact"/>
        <w:ind w:left="0" w:leftChars="0" w:firstLine="480" w:firstLineChars="200"/>
        <w:outlineLvl w:val="2"/>
        <w:rPr>
          <w:rFonts w:hint="eastAsia" w:ascii="宋体" w:hAnsi="宋体"/>
          <w:color w:val="auto"/>
          <w:sz w:val="24"/>
          <w:szCs w:val="24"/>
        </w:rPr>
      </w:pPr>
      <w:r>
        <w:rPr>
          <w:rFonts w:hint="eastAsia" w:ascii="宋体" w:hAnsi="宋体"/>
          <w:color w:val="auto"/>
          <w:sz w:val="24"/>
          <w:szCs w:val="24"/>
        </w:rPr>
        <w:t>1、商务评议（</w:t>
      </w:r>
      <w:r>
        <w:rPr>
          <w:rFonts w:hint="eastAsia" w:ascii="宋体" w:hAnsi="宋体" w:cs="Courier New"/>
          <w:color w:val="auto"/>
          <w:sz w:val="24"/>
          <w:szCs w:val="24"/>
          <w:lang w:val="en-US" w:eastAsia="zh-CN"/>
        </w:rPr>
        <w:t>15</w:t>
      </w:r>
      <w:r>
        <w:rPr>
          <w:rFonts w:hint="eastAsia" w:ascii="宋体" w:hAnsi="宋体" w:cs="Courier New"/>
          <w:color w:val="auto"/>
          <w:sz w:val="24"/>
          <w:szCs w:val="24"/>
        </w:rPr>
        <w:t>分</w:t>
      </w:r>
      <w:r>
        <w:rPr>
          <w:rFonts w:hint="eastAsia" w:ascii="宋体" w:hAnsi="宋体"/>
          <w:color w:val="auto"/>
          <w:sz w:val="24"/>
          <w:szCs w:val="24"/>
        </w:rPr>
        <w:t>）</w:t>
      </w:r>
      <w:bookmarkEnd w:id="52"/>
      <w:bookmarkEnd w:id="53"/>
    </w:p>
    <w:tbl>
      <w:tblPr>
        <w:tblStyle w:val="41"/>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50"/>
        <w:gridCol w:w="776"/>
        <w:gridCol w:w="4615"/>
        <w:gridCol w:w="1080"/>
      </w:tblGrid>
      <w:tr w14:paraId="54C2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600" w:type="dxa"/>
            <w:shd w:val="clear" w:color="C4BC96" w:fill="auto"/>
            <w:noWrap w:val="0"/>
            <w:vAlign w:val="center"/>
          </w:tcPr>
          <w:p w14:paraId="5159CEDB">
            <w:pPr>
              <w:widowControl/>
              <w:spacing w:line="60" w:lineRule="auto"/>
              <w:ind w:left="-78" w:leftChars="-37" w:right="-86" w:rightChars="-41"/>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序号</w:t>
            </w:r>
          </w:p>
        </w:tc>
        <w:tc>
          <w:tcPr>
            <w:tcW w:w="1250" w:type="dxa"/>
            <w:shd w:val="clear" w:color="C4BC96" w:fill="auto"/>
            <w:noWrap w:val="0"/>
            <w:vAlign w:val="center"/>
          </w:tcPr>
          <w:p w14:paraId="65FEE7F8">
            <w:pPr>
              <w:widowControl/>
              <w:spacing w:line="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评审因素</w:t>
            </w:r>
          </w:p>
        </w:tc>
        <w:tc>
          <w:tcPr>
            <w:tcW w:w="776" w:type="dxa"/>
            <w:shd w:val="clear" w:color="C4BC96" w:fill="auto"/>
            <w:noWrap w:val="0"/>
            <w:vAlign w:val="center"/>
          </w:tcPr>
          <w:p w14:paraId="3E89CC9F">
            <w:pPr>
              <w:widowControl/>
              <w:spacing w:line="60" w:lineRule="auto"/>
              <w:ind w:left="-73" w:leftChars="-35" w:right="-80" w:rightChars="-38"/>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分值</w:t>
            </w:r>
          </w:p>
        </w:tc>
        <w:tc>
          <w:tcPr>
            <w:tcW w:w="4615" w:type="dxa"/>
            <w:shd w:val="clear" w:color="C4BC96" w:fill="auto"/>
            <w:noWrap w:val="0"/>
            <w:vAlign w:val="center"/>
          </w:tcPr>
          <w:p w14:paraId="49B7707A">
            <w:pPr>
              <w:widowControl/>
              <w:spacing w:line="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评分标准</w:t>
            </w:r>
          </w:p>
        </w:tc>
        <w:tc>
          <w:tcPr>
            <w:tcW w:w="1080" w:type="dxa"/>
            <w:shd w:val="clear" w:color="C4BC96" w:fill="auto"/>
            <w:noWrap w:val="0"/>
            <w:vAlign w:val="center"/>
          </w:tcPr>
          <w:p w14:paraId="6B46710B">
            <w:pPr>
              <w:widowControl/>
              <w:spacing w:line="60" w:lineRule="auto"/>
              <w:ind w:left="-107" w:leftChars="-51" w:right="-107" w:rightChars="-51"/>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因素来源</w:t>
            </w:r>
          </w:p>
        </w:tc>
      </w:tr>
      <w:tr w14:paraId="2B4F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14:paraId="538734F3">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14:paraId="6F3C020D">
            <w:pPr>
              <w:widowControl/>
              <w:spacing w:line="60" w:lineRule="auto"/>
              <w:ind w:left="-57" w:leftChars="-27" w:right="-78" w:rightChars="-37"/>
              <w:jc w:val="center"/>
              <w:rPr>
                <w:rFonts w:hint="eastAsia" w:ascii="宋体" w:hAnsi="宋体" w:eastAsia="宋体" w:cs="仿宋_GB2312"/>
                <w:color w:val="auto"/>
                <w:sz w:val="24"/>
                <w:szCs w:val="24"/>
                <w:lang w:eastAsia="zh-CN"/>
              </w:rPr>
            </w:pPr>
            <w:r>
              <w:rPr>
                <w:rFonts w:hint="eastAsia" w:ascii="Times New Roman" w:hAnsi="Times New Roman" w:eastAsia="宋体" w:cs="Times New Roman"/>
                <w:color w:val="auto"/>
                <w:szCs w:val="24"/>
                <w:lang w:eastAsia="zh-CN"/>
              </w:rPr>
              <w:t>项目实施方案</w:t>
            </w:r>
          </w:p>
        </w:tc>
        <w:tc>
          <w:tcPr>
            <w:tcW w:w="776" w:type="dxa"/>
            <w:noWrap w:val="0"/>
            <w:vAlign w:val="center"/>
          </w:tcPr>
          <w:p w14:paraId="15EBF56F">
            <w:pPr>
              <w:widowControl/>
              <w:tabs>
                <w:tab w:val="left" w:pos="351"/>
                <w:tab w:val="left" w:pos="816"/>
              </w:tabs>
              <w:spacing w:line="60" w:lineRule="auto"/>
              <w:ind w:right="-50" w:rightChars="-24"/>
              <w:jc w:val="center"/>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lang w:val="en-US" w:eastAsia="zh-CN"/>
              </w:rPr>
              <w:t>3</w:t>
            </w:r>
          </w:p>
        </w:tc>
        <w:tc>
          <w:tcPr>
            <w:tcW w:w="4615" w:type="dxa"/>
            <w:noWrap w:val="0"/>
            <w:vAlign w:val="center"/>
          </w:tcPr>
          <w:p w14:paraId="7382BD2D">
            <w:pPr>
              <w:widowControl/>
              <w:numPr>
                <w:ilvl w:val="0"/>
                <w:numId w:val="15"/>
              </w:numPr>
              <w:tabs>
                <w:tab w:val="left" w:pos="690"/>
              </w:tabs>
              <w:spacing w:line="60" w:lineRule="auto"/>
              <w:ind w:right="-50" w:rightChars="-24"/>
              <w:jc w:val="left"/>
              <w:rPr>
                <w:rFonts w:hint="eastAsia"/>
                <w:lang w:val="en-US" w:eastAsia="zh-CN"/>
              </w:rPr>
            </w:pPr>
            <w:r>
              <w:rPr>
                <w:rFonts w:hint="eastAsia"/>
              </w:rPr>
              <w:t>项目技术及实施方案内容全面、备货、货物运输方案合理快速、人员配置合理</w:t>
            </w:r>
            <w:r>
              <w:rPr>
                <w:rFonts w:hint="eastAsia"/>
                <w:lang w:eastAsia="zh-CN"/>
              </w:rPr>
              <w:t>得</w:t>
            </w:r>
            <w:r>
              <w:rPr>
                <w:rFonts w:hint="eastAsia"/>
                <w:lang w:val="en-US" w:eastAsia="zh-CN"/>
              </w:rPr>
              <w:t>3分；</w:t>
            </w:r>
          </w:p>
          <w:p w14:paraId="7DBFC145">
            <w:pPr>
              <w:widowControl/>
              <w:numPr>
                <w:ilvl w:val="0"/>
                <w:numId w:val="15"/>
              </w:numPr>
              <w:tabs>
                <w:tab w:val="left" w:pos="690"/>
              </w:tabs>
              <w:spacing w:line="60" w:lineRule="auto"/>
              <w:ind w:right="-50" w:rightChars="-24"/>
              <w:jc w:val="left"/>
              <w:rPr>
                <w:rFonts w:hint="eastAsia"/>
                <w:lang w:val="en-US" w:eastAsia="zh-CN"/>
              </w:rPr>
            </w:pPr>
            <w:r>
              <w:rPr>
                <w:rFonts w:hint="eastAsia"/>
              </w:rPr>
              <w:t>项目技术及实施方案基本可行、基本符合要求、备货、货物运输保障、人员配置一般</w:t>
            </w:r>
            <w:r>
              <w:rPr>
                <w:rFonts w:hint="eastAsia"/>
                <w:lang w:eastAsia="zh-CN"/>
              </w:rPr>
              <w:t>得</w:t>
            </w:r>
            <w:r>
              <w:rPr>
                <w:rFonts w:hint="eastAsia"/>
                <w:lang w:val="en-US" w:eastAsia="zh-CN"/>
              </w:rPr>
              <w:t>1分；</w:t>
            </w:r>
          </w:p>
          <w:p w14:paraId="1FC60335">
            <w:pPr>
              <w:widowControl/>
              <w:numPr>
                <w:ilvl w:val="0"/>
                <w:numId w:val="15"/>
              </w:numPr>
              <w:tabs>
                <w:tab w:val="left" w:pos="690"/>
              </w:tabs>
              <w:spacing w:line="60" w:lineRule="auto"/>
              <w:ind w:right="-50" w:rightChars="-24"/>
              <w:jc w:val="left"/>
              <w:rPr>
                <w:rFonts w:hint="default"/>
                <w:lang w:val="en-US" w:eastAsia="zh-CN"/>
              </w:rPr>
            </w:pPr>
            <w:r>
              <w:rPr>
                <w:rFonts w:hint="eastAsia"/>
              </w:rPr>
              <w:t>项目技术及实施方案、存在不合理，备货、货物运输时间较长、人员配置不足</w:t>
            </w:r>
            <w:r>
              <w:rPr>
                <w:rFonts w:hint="eastAsia"/>
                <w:lang w:eastAsia="zh-CN"/>
              </w:rPr>
              <w:t>得</w:t>
            </w:r>
            <w:r>
              <w:rPr>
                <w:rFonts w:hint="eastAsia"/>
                <w:lang w:val="en-US" w:eastAsia="zh-CN"/>
              </w:rPr>
              <w:t>0分。</w:t>
            </w:r>
          </w:p>
        </w:tc>
        <w:tc>
          <w:tcPr>
            <w:tcW w:w="1080" w:type="dxa"/>
            <w:noWrap w:val="0"/>
            <w:vAlign w:val="center"/>
          </w:tcPr>
          <w:p w14:paraId="023755A1">
            <w:pPr>
              <w:widowControl/>
              <w:spacing w:line="60" w:lineRule="auto"/>
              <w:ind w:left="-65" w:leftChars="-31" w:right="-36" w:rightChars="-17"/>
              <w:jc w:val="center"/>
              <w:rPr>
                <w:rFonts w:hint="eastAsia" w:ascii="宋体" w:hAnsi="宋体" w:eastAsia="宋体" w:cs="Times New Roman"/>
                <w:color w:val="auto"/>
                <w:sz w:val="24"/>
                <w:szCs w:val="24"/>
                <w:lang w:eastAsia="zh-CN"/>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3</w:t>
            </w:r>
          </w:p>
        </w:tc>
      </w:tr>
      <w:tr w14:paraId="3687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jc w:val="center"/>
        </w:trPr>
        <w:tc>
          <w:tcPr>
            <w:tcW w:w="600" w:type="dxa"/>
            <w:noWrap w:val="0"/>
            <w:vAlign w:val="center"/>
          </w:tcPr>
          <w:p w14:paraId="735E04F7">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14:paraId="7FFD9769">
            <w:pPr>
              <w:widowControl/>
              <w:spacing w:line="60" w:lineRule="auto"/>
              <w:ind w:left="-57" w:leftChars="-27" w:right="-78" w:rightChars="-37"/>
              <w:jc w:val="center"/>
              <w:rPr>
                <w:rFonts w:hint="eastAsia" w:ascii="Times New Roman" w:hAnsi="Times New Roman" w:eastAsia="宋体" w:cs="Times New Roman"/>
                <w:color w:val="auto"/>
                <w:szCs w:val="24"/>
                <w:lang w:eastAsia="zh-CN"/>
              </w:rPr>
            </w:pPr>
            <w:r>
              <w:rPr>
                <w:rFonts w:hint="eastAsia" w:ascii="宋体" w:hAnsi="宋体" w:eastAsia="宋体" w:cs="仿宋_GB2312"/>
                <w:color w:val="auto"/>
                <w:sz w:val="24"/>
                <w:szCs w:val="24"/>
              </w:rPr>
              <w:t>售后服务要求</w:t>
            </w:r>
          </w:p>
        </w:tc>
        <w:tc>
          <w:tcPr>
            <w:tcW w:w="776" w:type="dxa"/>
            <w:noWrap w:val="0"/>
            <w:vAlign w:val="center"/>
          </w:tcPr>
          <w:p w14:paraId="6CE6B247">
            <w:pPr>
              <w:widowControl/>
              <w:tabs>
                <w:tab w:val="left" w:pos="351"/>
                <w:tab w:val="left" w:pos="816"/>
              </w:tabs>
              <w:spacing w:line="60" w:lineRule="auto"/>
              <w:ind w:right="-50" w:rightChars="-24"/>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6</w:t>
            </w:r>
          </w:p>
        </w:tc>
        <w:tc>
          <w:tcPr>
            <w:tcW w:w="4615" w:type="dxa"/>
            <w:noWrap w:val="0"/>
            <w:vAlign w:val="center"/>
          </w:tcPr>
          <w:p w14:paraId="280C86FE">
            <w:pPr>
              <w:widowControl/>
              <w:tabs>
                <w:tab w:val="left" w:pos="690"/>
              </w:tabs>
              <w:spacing w:line="60" w:lineRule="auto"/>
              <w:ind w:right="-50" w:rightChars="-24"/>
              <w:jc w:val="left"/>
              <w:rPr>
                <w:rFonts w:hint="eastAsia" w:ascii="宋体" w:hAnsi="宋体" w:eastAsia="宋体" w:cs="宋体"/>
                <w:kern w:val="2"/>
                <w:sz w:val="21"/>
                <w:szCs w:val="21"/>
              </w:rPr>
            </w:pPr>
            <w:r>
              <w:rPr>
                <w:rFonts w:hint="eastAsia" w:ascii="宋体" w:hAnsi="宋体" w:eastAsia="宋体" w:cs="宋体"/>
                <w:kern w:val="2"/>
                <w:sz w:val="21"/>
                <w:szCs w:val="21"/>
              </w:rPr>
              <w:t>为了充分保障产品良好稳定的运行</w:t>
            </w:r>
          </w:p>
          <w:p w14:paraId="3386BF6A">
            <w:pPr>
              <w:widowControl/>
              <w:tabs>
                <w:tab w:val="left" w:pos="690"/>
              </w:tabs>
              <w:spacing w:line="60" w:lineRule="auto"/>
              <w:ind w:right="-50" w:rightChars="-24"/>
              <w:jc w:val="left"/>
              <w:rPr>
                <w:rFonts w:hint="eastAsia" w:ascii="宋体" w:hAnsi="宋体" w:eastAsia="宋体" w:cs="宋体"/>
                <w:kern w:val="2"/>
                <w:sz w:val="21"/>
                <w:szCs w:val="21"/>
              </w:rPr>
            </w:pPr>
            <w:r>
              <w:rPr>
                <w:rFonts w:hint="eastAsia" w:ascii="宋体" w:hAnsi="宋体" w:eastAsia="宋体" w:cs="宋体"/>
                <w:kern w:val="2"/>
                <w:sz w:val="21"/>
                <w:szCs w:val="21"/>
              </w:rPr>
              <w:t>1、对于核心产品投标人需提供产品制造商原厂质保函原件印复印件或扫描件并加盖公章。提供得2分，不提供不得分</w:t>
            </w:r>
          </w:p>
          <w:p w14:paraId="71E73BDF">
            <w:pPr>
              <w:widowControl/>
              <w:tabs>
                <w:tab w:val="left" w:pos="690"/>
              </w:tabs>
              <w:spacing w:line="60" w:lineRule="auto"/>
              <w:ind w:right="-50" w:rightChars="-24"/>
              <w:jc w:val="left"/>
              <w:rPr>
                <w:rFonts w:hint="eastAsia" w:ascii="宋体" w:hAnsi="宋体" w:eastAsia="宋体" w:cs="宋体"/>
                <w:kern w:val="2"/>
                <w:sz w:val="21"/>
                <w:szCs w:val="21"/>
              </w:rPr>
            </w:pPr>
            <w:r>
              <w:rPr>
                <w:rFonts w:hint="eastAsia" w:ascii="宋体" w:hAnsi="宋体" w:eastAsia="宋体" w:cs="宋体"/>
                <w:kern w:val="2"/>
                <w:sz w:val="21"/>
                <w:szCs w:val="21"/>
              </w:rPr>
              <w:t>2、中标者需在当地有分公司或相关的售后服务机构，有稳定的技术服务人员，接到售后服务要求后快速反应解决问题。需提供分公司或者售后服务机构相关证明文件并加盖公章。提供得2分，不提供不得分。</w:t>
            </w:r>
          </w:p>
          <w:p w14:paraId="7310A346">
            <w:pPr>
              <w:widowControl/>
              <w:tabs>
                <w:tab w:val="left" w:pos="690"/>
              </w:tabs>
              <w:spacing w:line="60" w:lineRule="auto"/>
              <w:ind w:right="-50" w:rightChars="-24"/>
              <w:jc w:val="left"/>
              <w:rPr>
                <w:rFonts w:hint="eastAsia" w:ascii="宋体" w:hAnsi="宋体" w:eastAsia="宋体" w:cs="宋体"/>
                <w:kern w:val="2"/>
                <w:sz w:val="24"/>
                <w:szCs w:val="24"/>
                <w:lang w:eastAsia="zh-CN"/>
              </w:rPr>
            </w:pPr>
            <w:r>
              <w:rPr>
                <w:rFonts w:hint="eastAsia" w:ascii="宋体" w:hAnsi="宋体" w:eastAsia="宋体" w:cs="宋体"/>
                <w:kern w:val="2"/>
                <w:sz w:val="21"/>
                <w:szCs w:val="21"/>
              </w:rPr>
              <w:t>3、投标人需提供提供完整的、有针对性、可行性及合理性的售后服务方案。提供的售后服务方案切实可行、贴合项目要求的得2分，否则不得分。（注：评标专家认为投标人所提供的方案有不满足上述要求的，须注明，每指出一条扣</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rPr>
              <w:t>分，不写不得扣分。）</w:t>
            </w:r>
          </w:p>
        </w:tc>
        <w:tc>
          <w:tcPr>
            <w:tcW w:w="1080" w:type="dxa"/>
            <w:noWrap w:val="0"/>
            <w:vAlign w:val="center"/>
          </w:tcPr>
          <w:p w14:paraId="11E140E0">
            <w:pPr>
              <w:widowControl/>
              <w:spacing w:line="60" w:lineRule="auto"/>
              <w:ind w:left="-65" w:leftChars="-31" w:right="-36" w:rightChars="-17"/>
              <w:jc w:val="center"/>
              <w:rPr>
                <w:rFonts w:ascii="宋体" w:hAnsi="宋体" w:eastAsia="宋体" w:cs="Times New Roman"/>
                <w:color w:val="auto"/>
                <w:sz w:val="24"/>
                <w:szCs w:val="24"/>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4</w:t>
            </w:r>
          </w:p>
        </w:tc>
      </w:tr>
      <w:tr w14:paraId="5D62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14:paraId="052DF7C4">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14:paraId="4777EA18">
            <w:pPr>
              <w:widowControl/>
              <w:spacing w:line="60" w:lineRule="auto"/>
              <w:ind w:left="-57" w:leftChars="-27" w:right="-78" w:rightChars="-37"/>
              <w:jc w:val="center"/>
              <w:rPr>
                <w:rFonts w:ascii="宋体" w:hAnsi="宋体" w:eastAsia="宋体" w:cs="仿宋_GB2312"/>
                <w:color w:val="auto"/>
                <w:kern w:val="2"/>
                <w:sz w:val="24"/>
                <w:szCs w:val="24"/>
                <w:lang w:val="en-US" w:eastAsia="zh-CN" w:bidi="ar-SA"/>
              </w:rPr>
            </w:pPr>
            <w:r>
              <w:rPr>
                <w:rFonts w:hint="eastAsia" w:ascii="宋体" w:hAnsi="宋体" w:eastAsia="宋体" w:cs="仿宋_GB2312"/>
                <w:color w:val="auto"/>
                <w:sz w:val="24"/>
                <w:szCs w:val="24"/>
              </w:rPr>
              <w:t>类似项目业绩</w:t>
            </w:r>
          </w:p>
        </w:tc>
        <w:tc>
          <w:tcPr>
            <w:tcW w:w="776" w:type="dxa"/>
            <w:noWrap w:val="0"/>
            <w:vAlign w:val="center"/>
          </w:tcPr>
          <w:p w14:paraId="2D774DA9">
            <w:pPr>
              <w:widowControl/>
              <w:tabs>
                <w:tab w:val="left" w:pos="351"/>
                <w:tab w:val="left" w:pos="816"/>
              </w:tabs>
              <w:spacing w:line="60" w:lineRule="auto"/>
              <w:ind w:right="-50" w:rightChars="-24"/>
              <w:jc w:val="center"/>
              <w:rPr>
                <w:rFonts w:hint="default" w:ascii="宋体" w:hAnsi="宋体" w:eastAsia="宋体" w:cs="仿宋_GB2312"/>
                <w:color w:val="auto"/>
                <w:kern w:val="2"/>
                <w:sz w:val="24"/>
                <w:szCs w:val="24"/>
                <w:lang w:val="en-US" w:eastAsia="zh-CN" w:bidi="ar-SA"/>
              </w:rPr>
            </w:pPr>
            <w:r>
              <w:rPr>
                <w:rFonts w:hint="eastAsia" w:ascii="宋体" w:hAnsi="宋体" w:eastAsia="宋体" w:cs="仿宋_GB2312"/>
                <w:color w:val="auto"/>
                <w:sz w:val="24"/>
                <w:szCs w:val="24"/>
                <w:lang w:val="en-US" w:eastAsia="zh-CN"/>
              </w:rPr>
              <w:t>6</w:t>
            </w:r>
          </w:p>
        </w:tc>
        <w:tc>
          <w:tcPr>
            <w:tcW w:w="4615" w:type="dxa"/>
            <w:noWrap w:val="0"/>
            <w:vAlign w:val="center"/>
          </w:tcPr>
          <w:p w14:paraId="248809BD">
            <w:pPr>
              <w:widowControl/>
              <w:tabs>
                <w:tab w:val="left" w:pos="690"/>
              </w:tabs>
              <w:spacing w:line="60" w:lineRule="auto"/>
              <w:ind w:right="-50" w:rightChars="-24"/>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rPr>
              <w:t>供应商提供2019年1月1日至投标截止日</w:t>
            </w:r>
            <w:r>
              <w:rPr>
                <w:rFonts w:hint="eastAsia" w:ascii="宋体" w:hAnsi="宋体" w:eastAsia="宋体" w:cs="Times New Roman"/>
                <w:color w:val="auto"/>
                <w:sz w:val="21"/>
                <w:szCs w:val="21"/>
                <w:lang w:val="en-US" w:eastAsia="zh-CN"/>
              </w:rPr>
              <w:t>承担过</w:t>
            </w:r>
            <w:r>
              <w:rPr>
                <w:rFonts w:hint="eastAsia" w:ascii="宋体" w:hAnsi="宋体" w:eastAsia="宋体" w:cs="Times New Roman"/>
                <w:color w:val="auto"/>
                <w:sz w:val="21"/>
                <w:szCs w:val="21"/>
                <w:lang w:eastAsia="zh-CN"/>
              </w:rPr>
              <w:t>同类</w:t>
            </w:r>
            <w:r>
              <w:rPr>
                <w:rFonts w:hint="eastAsia" w:ascii="宋体" w:hAnsi="宋体" w:eastAsia="宋体" w:cs="Times New Roman"/>
                <w:color w:val="auto"/>
                <w:sz w:val="21"/>
                <w:szCs w:val="21"/>
              </w:rPr>
              <w:t>项目业绩的，每提供1个合同业绩得2分，最多</w:t>
            </w:r>
            <w:r>
              <w:rPr>
                <w:rFonts w:hint="eastAsia" w:ascii="宋体" w:hAnsi="宋体" w:eastAsia="宋体" w:cs="Times New Roman"/>
                <w:color w:val="auto"/>
                <w:sz w:val="21"/>
                <w:szCs w:val="21"/>
                <w:lang w:val="en-US" w:eastAsia="zh-CN"/>
              </w:rPr>
              <w:t>6</w:t>
            </w:r>
            <w:r>
              <w:rPr>
                <w:rFonts w:hint="eastAsia" w:ascii="宋体" w:hAnsi="宋体" w:eastAsia="宋体" w:cs="Times New Roman"/>
                <w:color w:val="auto"/>
                <w:sz w:val="21"/>
                <w:szCs w:val="21"/>
              </w:rPr>
              <w:t xml:space="preserve">分。 </w:t>
            </w:r>
          </w:p>
          <w:p w14:paraId="7BF00A03">
            <w:pPr>
              <w:widowControl/>
              <w:tabs>
                <w:tab w:val="left" w:pos="690"/>
              </w:tabs>
              <w:spacing w:line="60" w:lineRule="auto"/>
              <w:ind w:right="-50" w:rightChars="-24"/>
              <w:jc w:val="left"/>
              <w:rPr>
                <w:rFonts w:hint="eastAsia" w:ascii="宋体" w:hAnsi="宋体" w:eastAsia="宋体" w:cs="仿宋_GB2312"/>
                <w:color w:val="auto"/>
                <w:kern w:val="2"/>
                <w:sz w:val="24"/>
                <w:szCs w:val="24"/>
                <w:lang w:val="en-US" w:eastAsia="zh-CN" w:bidi="ar-SA"/>
              </w:rPr>
            </w:pPr>
            <w:r>
              <w:rPr>
                <w:rFonts w:hint="eastAsia" w:ascii="宋体" w:hAnsi="宋体" w:eastAsia="宋体" w:cs="Times New Roman"/>
                <w:color w:val="auto"/>
                <w:sz w:val="21"/>
                <w:szCs w:val="21"/>
              </w:rPr>
              <w:t>（以合同签订时间为准，需提供项目合同及客户盖章验收单和项目联络人及联系电话）</w:t>
            </w:r>
          </w:p>
        </w:tc>
        <w:tc>
          <w:tcPr>
            <w:tcW w:w="1080" w:type="dxa"/>
            <w:noWrap w:val="0"/>
            <w:vAlign w:val="center"/>
          </w:tcPr>
          <w:p w14:paraId="619E6329">
            <w:pPr>
              <w:widowControl/>
              <w:spacing w:line="60" w:lineRule="auto"/>
              <w:ind w:left="-65" w:leftChars="-31" w:right="-36" w:rightChars="-17"/>
              <w:jc w:val="center"/>
              <w:rPr>
                <w:rFonts w:hint="default" w:ascii="宋体" w:hAnsi="宋体" w:eastAsia="宋体" w:cs="Times New Roman"/>
                <w:color w:val="auto"/>
                <w:kern w:val="2"/>
                <w:sz w:val="24"/>
                <w:szCs w:val="24"/>
                <w:lang w:val="en-US" w:eastAsia="zh-CN" w:bidi="ar-SA"/>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10</w:t>
            </w:r>
          </w:p>
        </w:tc>
      </w:tr>
    </w:tbl>
    <w:p w14:paraId="50220092">
      <w:pPr>
        <w:pStyle w:val="2"/>
        <w:rPr>
          <w:color w:val="auto"/>
        </w:rPr>
      </w:pPr>
    </w:p>
    <w:p w14:paraId="06598EB1">
      <w:pPr>
        <w:numPr>
          <w:ilvl w:val="0"/>
          <w:numId w:val="16"/>
        </w:numPr>
        <w:spacing w:line="440" w:lineRule="exact"/>
        <w:ind w:left="0" w:leftChars="0" w:firstLine="480" w:firstLineChars="200"/>
        <w:outlineLvl w:val="2"/>
        <w:rPr>
          <w:rFonts w:hint="eastAsia" w:ascii="宋体" w:hAnsi="宋体"/>
          <w:color w:val="auto"/>
          <w:sz w:val="24"/>
          <w:szCs w:val="24"/>
        </w:rPr>
      </w:pPr>
      <w:bookmarkStart w:id="54" w:name="_Toc1458941"/>
      <w:bookmarkStart w:id="55" w:name="_Toc75007961"/>
      <w:r>
        <w:rPr>
          <w:rFonts w:hint="eastAsia" w:ascii="宋体" w:hAnsi="宋体"/>
          <w:color w:val="auto"/>
          <w:sz w:val="24"/>
          <w:szCs w:val="24"/>
        </w:rPr>
        <w:t>技术</w:t>
      </w:r>
      <w:r>
        <w:rPr>
          <w:rFonts w:hint="eastAsia" w:ascii="宋体" w:hAnsi="宋体"/>
          <w:color w:val="auto"/>
          <w:sz w:val="24"/>
          <w:szCs w:val="24"/>
          <w:lang w:eastAsia="zh-CN"/>
        </w:rPr>
        <w:t>（</w:t>
      </w:r>
      <w:r>
        <w:rPr>
          <w:rFonts w:hint="eastAsia" w:ascii="宋体" w:hAnsi="宋体"/>
          <w:color w:val="auto"/>
          <w:sz w:val="24"/>
          <w:szCs w:val="24"/>
        </w:rPr>
        <w:t>服务</w:t>
      </w:r>
      <w:r>
        <w:rPr>
          <w:rFonts w:hint="eastAsia" w:ascii="宋体" w:hAnsi="宋体"/>
          <w:color w:val="auto"/>
          <w:sz w:val="24"/>
          <w:szCs w:val="24"/>
          <w:lang w:eastAsia="zh-CN"/>
        </w:rPr>
        <w:t>）</w:t>
      </w:r>
      <w:r>
        <w:rPr>
          <w:rFonts w:hint="eastAsia" w:ascii="宋体" w:hAnsi="宋体"/>
          <w:color w:val="auto"/>
          <w:sz w:val="24"/>
          <w:szCs w:val="24"/>
        </w:rPr>
        <w:t>评议（</w:t>
      </w:r>
      <w:r>
        <w:rPr>
          <w:rFonts w:hint="eastAsia" w:ascii="宋体" w:hAnsi="宋体"/>
          <w:color w:val="auto"/>
          <w:sz w:val="24"/>
          <w:szCs w:val="24"/>
          <w:lang w:val="en-US" w:eastAsia="zh-CN"/>
        </w:rPr>
        <w:t>55</w:t>
      </w:r>
      <w:r>
        <w:rPr>
          <w:rFonts w:hint="eastAsia" w:ascii="宋体" w:hAnsi="宋体"/>
          <w:color w:val="auto"/>
          <w:sz w:val="24"/>
          <w:szCs w:val="24"/>
        </w:rPr>
        <w:t>分）</w:t>
      </w:r>
      <w:bookmarkEnd w:id="54"/>
      <w:bookmarkEnd w:id="55"/>
    </w:p>
    <w:tbl>
      <w:tblPr>
        <w:tblStyle w:val="41"/>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69"/>
        <w:gridCol w:w="854"/>
        <w:gridCol w:w="5099"/>
        <w:gridCol w:w="974"/>
      </w:tblGrid>
      <w:tr w14:paraId="7CF0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14:paraId="77528E8B">
            <w:pPr>
              <w:widowControl/>
              <w:spacing w:line="60" w:lineRule="auto"/>
              <w:jc w:val="center"/>
              <w:rPr>
                <w:rFonts w:hint="eastAsia" w:ascii="宋体" w:hAnsi="宋体" w:eastAsia="宋体" w:cs="Times New Roman"/>
                <w:b/>
                <w:color w:val="000000"/>
                <w:sz w:val="24"/>
                <w:szCs w:val="24"/>
              </w:rPr>
            </w:pPr>
            <w:bookmarkStart w:id="56" w:name="_Toc385992359"/>
            <w:bookmarkStart w:id="57" w:name="_Toc389620198"/>
            <w:r>
              <w:rPr>
                <w:rFonts w:hint="eastAsia" w:ascii="宋体" w:hAnsi="宋体" w:eastAsia="宋体" w:cs="Times New Roman"/>
                <w:b/>
                <w:color w:val="000000"/>
                <w:sz w:val="24"/>
                <w:szCs w:val="24"/>
              </w:rPr>
              <w:t>序号</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13CC9A2E">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10CA1A75">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分值</w:t>
            </w:r>
          </w:p>
        </w:tc>
        <w:tc>
          <w:tcPr>
            <w:tcW w:w="2790" w:type="pct"/>
            <w:tcBorders>
              <w:top w:val="single" w:color="auto" w:sz="4" w:space="0"/>
              <w:left w:val="single" w:color="auto" w:sz="4" w:space="0"/>
              <w:bottom w:val="single" w:color="auto" w:sz="4" w:space="0"/>
              <w:right w:val="single" w:color="auto" w:sz="4" w:space="0"/>
            </w:tcBorders>
            <w:noWrap w:val="0"/>
            <w:vAlign w:val="center"/>
          </w:tcPr>
          <w:p w14:paraId="53C2CC5E">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13BAAE09">
            <w:pPr>
              <w:widowControl/>
              <w:spacing w:line="360" w:lineRule="auto"/>
              <w:jc w:val="center"/>
              <w:rPr>
                <w:rFonts w:ascii="仿宋" w:hAnsi="仿宋" w:eastAsia="宋体" w:cs="宋体"/>
                <w:sz w:val="28"/>
                <w:szCs w:val="28"/>
              </w:rPr>
            </w:pPr>
            <w:r>
              <w:rPr>
                <w:rFonts w:hint="eastAsia" w:ascii="等线" w:hAnsi="等线" w:eastAsia="宋体" w:cs="宋体"/>
                <w:b/>
                <w:sz w:val="24"/>
                <w:szCs w:val="24"/>
              </w:rPr>
              <w:t>因素来源</w:t>
            </w:r>
          </w:p>
        </w:tc>
      </w:tr>
      <w:tr w14:paraId="4BFF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60" w:type="pct"/>
            <w:tcBorders>
              <w:left w:val="single" w:color="auto" w:sz="4" w:space="0"/>
              <w:right w:val="single" w:color="auto" w:sz="4" w:space="0"/>
            </w:tcBorders>
            <w:noWrap w:val="0"/>
            <w:vAlign w:val="center"/>
          </w:tcPr>
          <w:p w14:paraId="6FB94711">
            <w:pPr>
              <w:widowControl/>
              <w:tabs>
                <w:tab w:val="left" w:pos="690"/>
              </w:tabs>
              <w:spacing w:line="60" w:lineRule="auto"/>
              <w:ind w:right="-50" w:rightChars="-24"/>
              <w:jc w:val="left"/>
              <w:rPr>
                <w:rFonts w:hint="eastAsia" w:ascii="宋体" w:hAnsi="宋体" w:eastAsia="宋体" w:cs="宋体"/>
                <w:kern w:val="2"/>
                <w:sz w:val="24"/>
                <w:szCs w:val="24"/>
                <w:lang w:val="en-US" w:eastAsia="zh-CN"/>
              </w:rPr>
            </w:pPr>
          </w:p>
          <w:p w14:paraId="4BAD066F">
            <w:pPr>
              <w:widowControl/>
              <w:tabs>
                <w:tab w:val="left" w:pos="690"/>
              </w:tabs>
              <w:spacing w:line="60" w:lineRule="auto"/>
              <w:ind w:right="-50" w:rightChars="-24"/>
              <w:jc w:val="left"/>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2.1</w:t>
            </w:r>
          </w:p>
        </w:tc>
        <w:tc>
          <w:tcPr>
            <w:tcW w:w="748" w:type="pct"/>
            <w:tcBorders>
              <w:top w:val="single" w:color="auto" w:sz="4" w:space="0"/>
              <w:left w:val="single" w:color="auto" w:sz="4" w:space="0"/>
              <w:right w:val="single" w:color="auto" w:sz="4" w:space="0"/>
            </w:tcBorders>
            <w:noWrap w:val="0"/>
            <w:vAlign w:val="center"/>
          </w:tcPr>
          <w:p w14:paraId="6539CBD6">
            <w:pPr>
              <w:widowControl/>
              <w:tabs>
                <w:tab w:val="left" w:pos="690"/>
              </w:tabs>
              <w:spacing w:line="60" w:lineRule="auto"/>
              <w:ind w:right="-50" w:rightChars="-24"/>
              <w:jc w:val="left"/>
              <w:rPr>
                <w:rFonts w:hint="eastAsia" w:ascii="宋体" w:hAnsi="宋体" w:eastAsia="宋体" w:cs="宋体"/>
                <w:kern w:val="2"/>
                <w:sz w:val="24"/>
                <w:szCs w:val="24"/>
              </w:rPr>
            </w:pPr>
          </w:p>
          <w:p w14:paraId="084DA535">
            <w:pPr>
              <w:widowControl/>
              <w:tabs>
                <w:tab w:val="left" w:pos="690"/>
              </w:tabs>
              <w:spacing w:line="60" w:lineRule="auto"/>
              <w:ind w:right="-50" w:rightChars="-24"/>
              <w:jc w:val="left"/>
              <w:rPr>
                <w:rFonts w:hint="eastAsia" w:ascii="宋体" w:hAnsi="宋体" w:eastAsia="宋体" w:cs="宋体"/>
                <w:kern w:val="2"/>
                <w:sz w:val="24"/>
                <w:szCs w:val="24"/>
              </w:rPr>
            </w:pPr>
            <w:r>
              <w:rPr>
                <w:rFonts w:hint="eastAsia" w:ascii="宋体" w:hAnsi="宋体" w:eastAsia="宋体" w:cs="宋体"/>
                <w:kern w:val="2"/>
                <w:sz w:val="24"/>
                <w:szCs w:val="24"/>
              </w:rPr>
              <w:t>技术参数</w:t>
            </w:r>
          </w:p>
        </w:tc>
        <w:tc>
          <w:tcPr>
            <w:tcW w:w="467" w:type="pc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46526FB3">
            <w:pPr>
              <w:widowControl/>
              <w:tabs>
                <w:tab w:val="left" w:pos="690"/>
              </w:tabs>
              <w:spacing w:line="60" w:lineRule="auto"/>
              <w:ind w:right="-50" w:rightChars="-24"/>
              <w:jc w:val="left"/>
              <w:rPr>
                <w:rFonts w:hint="eastAsia" w:ascii="宋体" w:hAnsi="宋体" w:eastAsia="宋体" w:cs="宋体"/>
                <w:kern w:val="2"/>
                <w:sz w:val="24"/>
                <w:szCs w:val="24"/>
                <w:lang w:val="en-US" w:eastAsia="zh-CN"/>
              </w:rPr>
            </w:pPr>
          </w:p>
          <w:p w14:paraId="6F0B778B">
            <w:pPr>
              <w:widowControl/>
              <w:tabs>
                <w:tab w:val="left" w:pos="690"/>
              </w:tabs>
              <w:spacing w:line="60" w:lineRule="auto"/>
              <w:ind w:right="-50" w:rightChars="-24" w:firstLine="240" w:firstLineChars="100"/>
              <w:jc w:val="left"/>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50</w:t>
            </w:r>
          </w:p>
        </w:tc>
        <w:tc>
          <w:tcPr>
            <w:tcW w:w="2790" w:type="pct"/>
            <w:tcBorders>
              <w:top w:val="single" w:color="auto" w:sz="4" w:space="0"/>
              <w:left w:val="single" w:color="auto" w:sz="4" w:space="0"/>
              <w:right w:val="single" w:color="auto" w:sz="4" w:space="0"/>
            </w:tcBorders>
            <w:noWrap w:val="0"/>
            <w:vAlign w:val="center"/>
          </w:tcPr>
          <w:p w14:paraId="7797C7E4">
            <w:pPr>
              <w:widowControl/>
              <w:tabs>
                <w:tab w:val="left" w:pos="690"/>
              </w:tabs>
              <w:spacing w:line="60" w:lineRule="auto"/>
              <w:ind w:right="-50" w:rightChars="-24"/>
              <w:jc w:val="left"/>
              <w:rPr>
                <w:rFonts w:hint="eastAsia" w:ascii="宋体" w:hAnsi="宋体" w:eastAsia="宋体" w:cs="Times New Roman"/>
                <w:sz w:val="24"/>
                <w:szCs w:val="24"/>
              </w:rPr>
            </w:pPr>
            <w:r>
              <w:rPr>
                <w:rFonts w:hint="eastAsia" w:ascii="宋体" w:hAnsi="宋体" w:eastAsia="宋体" w:cs="宋体"/>
                <w:kern w:val="2"/>
                <w:sz w:val="21"/>
                <w:szCs w:val="21"/>
              </w:rPr>
              <w:t>“★”条款为实质性要求，不满足其投标无效。所投产品技术功能参数完全满足招标文件技术参数要求的得</w:t>
            </w:r>
            <w:r>
              <w:rPr>
                <w:rFonts w:hint="eastAsia" w:ascii="宋体" w:hAnsi="宋体" w:eastAsia="宋体" w:cs="宋体"/>
                <w:kern w:val="2"/>
                <w:sz w:val="21"/>
                <w:szCs w:val="21"/>
                <w:lang w:val="en-US" w:eastAsia="zh-CN"/>
              </w:rPr>
              <w:t>50</w:t>
            </w:r>
            <w:r>
              <w:rPr>
                <w:rFonts w:hint="eastAsia" w:ascii="宋体" w:hAnsi="宋体" w:eastAsia="宋体" w:cs="宋体"/>
                <w:kern w:val="2"/>
                <w:sz w:val="21"/>
                <w:szCs w:val="21"/>
              </w:rPr>
              <w:t>分。“▲”号条款为产品重要技术指标，每有一项负偏离扣5分，非“▲”号为一般技术指标，每有一项负偏离扣1分，扣完为止。</w:t>
            </w:r>
          </w:p>
        </w:tc>
        <w:tc>
          <w:tcPr>
            <w:tcW w:w="532" w:type="pct"/>
            <w:tcBorders>
              <w:top w:val="single" w:color="auto" w:sz="4" w:space="0"/>
              <w:left w:val="single" w:color="auto" w:sz="4" w:space="0"/>
              <w:right w:val="single" w:color="auto" w:sz="4" w:space="0"/>
            </w:tcBorders>
            <w:noWrap w:val="0"/>
            <w:vAlign w:val="center"/>
          </w:tcPr>
          <w:p w14:paraId="34F254C7">
            <w:pPr>
              <w:spacing w:line="340" w:lineRule="exact"/>
              <w:rPr>
                <w:rFonts w:ascii="仿宋" w:hAnsi="仿宋" w:eastAsia="仿宋" w:cs="仿宋"/>
                <w:sz w:val="28"/>
                <w:szCs w:val="28"/>
              </w:rPr>
            </w:pPr>
            <w:r>
              <w:rPr>
                <w:rFonts w:hint="eastAsia" w:ascii="仿宋" w:hAnsi="仿宋" w:eastAsia="仿宋" w:cs="仿宋"/>
                <w:sz w:val="28"/>
                <w:szCs w:val="28"/>
              </w:rPr>
              <w:t>技术服务要求</w:t>
            </w:r>
          </w:p>
        </w:tc>
      </w:tr>
      <w:tr w14:paraId="60AF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60" w:type="pct"/>
            <w:tcBorders>
              <w:left w:val="single" w:color="auto" w:sz="4" w:space="0"/>
              <w:right w:val="single" w:color="auto" w:sz="4" w:space="0"/>
            </w:tcBorders>
            <w:noWrap w:val="0"/>
            <w:vAlign w:val="center"/>
          </w:tcPr>
          <w:p w14:paraId="183F7AE6">
            <w:pPr>
              <w:widowControl/>
              <w:tabs>
                <w:tab w:val="left" w:pos="690"/>
              </w:tabs>
              <w:spacing w:line="60" w:lineRule="auto"/>
              <w:ind w:left="199" w:leftChars="0" w:right="-50" w:rightChars="-24" w:hanging="199" w:hangingChars="83"/>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lang w:val="en-US" w:eastAsia="zh-CN"/>
              </w:rPr>
              <w:t>2.2</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1975FB06">
            <w:pPr>
              <w:widowControl/>
              <w:tabs>
                <w:tab w:val="left" w:pos="690"/>
              </w:tabs>
              <w:spacing w:line="60" w:lineRule="auto"/>
              <w:ind w:right="-50" w:rightChars="-24"/>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lang w:val="en-US" w:eastAsia="zh-CN"/>
              </w:rPr>
              <w:t>其它要求</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58D2C9C6">
            <w:pPr>
              <w:widowControl/>
              <w:tabs>
                <w:tab w:val="left" w:pos="690"/>
              </w:tabs>
              <w:spacing w:line="60" w:lineRule="auto"/>
              <w:ind w:right="-50" w:rightChars="-24"/>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lang w:val="en-US" w:eastAsia="zh-CN"/>
              </w:rPr>
              <w:t>5</w:t>
            </w:r>
          </w:p>
        </w:tc>
        <w:tc>
          <w:tcPr>
            <w:tcW w:w="2790" w:type="pct"/>
            <w:tcBorders>
              <w:top w:val="single" w:color="auto" w:sz="4" w:space="0"/>
              <w:left w:val="single" w:color="auto" w:sz="4" w:space="0"/>
              <w:bottom w:val="single" w:color="auto" w:sz="4" w:space="0"/>
              <w:right w:val="single" w:color="auto" w:sz="4" w:space="0"/>
            </w:tcBorders>
            <w:noWrap w:val="0"/>
            <w:vAlign w:val="center"/>
          </w:tcPr>
          <w:p w14:paraId="2F2FF87D">
            <w:pPr>
              <w:spacing w:line="360" w:lineRule="exact"/>
              <w:jc w:val="lef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1、业实力具有中国信息安全测评中心颁发的信息安全服务资质（安全工程类）证书的得2分；</w:t>
            </w:r>
          </w:p>
          <w:p w14:paraId="1BBE8561">
            <w:pPr>
              <w:widowControl w:val="0"/>
              <w:snapToGrid w:val="0"/>
              <w:ind w:firstLine="0" w:firstLineChar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2、为确保音箱设备，生产厂家具备对产品的自主检测及质量复检实力，投标的音箱设备生产厂家须具备通过JJF 1147-2006 消声室和半消声室声学特性校准规范校准的消音室，投标人应提供第三方权威机构出具的相关检测报告复印件或相关证明并加盖设备制造商公章的得1分；</w:t>
            </w:r>
          </w:p>
          <w:p w14:paraId="35E0E43F">
            <w:pPr>
              <w:widowControl w:val="0"/>
              <w:snapToGrid w:val="0"/>
              <w:ind w:firstLine="0" w:firstLineChar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3、为了保证会议系统的稳定性，所投产品厂家须获得中国绿色低碳节能环保第一品牌，提供相关证书复印件并加盖原厂公章的得1分；</w:t>
            </w:r>
          </w:p>
          <w:p w14:paraId="3D5F6882">
            <w:pPr>
              <w:widowControl w:val="0"/>
              <w:snapToGrid w:val="0"/>
              <w:ind w:firstLine="0" w:firstLineChars="0"/>
              <w:jc w:val="left"/>
              <w:rPr>
                <w:rFonts w:hint="default" w:ascii="Times New Roman" w:hAnsi="Times New Roman"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4、为了保证会议系统的稳定性，所投会议系统设备厂家须提供诚信管理体系认证证书，提供相关证书复印件并加盖原厂公章的得1分。</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51E32EC2">
            <w:pPr>
              <w:spacing w:line="36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技术服务要求</w:t>
            </w:r>
          </w:p>
        </w:tc>
      </w:tr>
      <w:bookmarkEnd w:id="56"/>
      <w:bookmarkEnd w:id="57"/>
    </w:tbl>
    <w:p w14:paraId="1861434A">
      <w:pPr>
        <w:pStyle w:val="2"/>
        <w:numPr>
          <w:ilvl w:val="0"/>
          <w:numId w:val="0"/>
        </w:numPr>
        <w:rPr>
          <w:color w:val="auto"/>
        </w:rPr>
      </w:pPr>
    </w:p>
    <w:p w14:paraId="79DC27E2">
      <w:pPr>
        <w:rPr>
          <w:color w:val="auto"/>
        </w:rPr>
      </w:pPr>
    </w:p>
    <w:p w14:paraId="16C529F5">
      <w:pPr>
        <w:pStyle w:val="27"/>
        <w:rPr>
          <w:color w:val="auto"/>
        </w:rPr>
      </w:pPr>
    </w:p>
    <w:p w14:paraId="0F8A296A">
      <w:pPr>
        <w:pStyle w:val="28"/>
        <w:rPr>
          <w:color w:val="auto"/>
        </w:rPr>
      </w:pPr>
    </w:p>
    <w:p w14:paraId="6C5419E8"/>
    <w:p w14:paraId="43A8D51C">
      <w:pPr>
        <w:spacing w:line="440" w:lineRule="exact"/>
        <w:ind w:left="0" w:leftChars="0" w:firstLine="480" w:firstLineChars="200"/>
        <w:jc w:val="left"/>
        <w:outlineLvl w:val="2"/>
        <w:rPr>
          <w:rFonts w:ascii="宋体" w:hAnsi="宋体"/>
          <w:color w:val="auto"/>
          <w:sz w:val="24"/>
          <w:szCs w:val="24"/>
        </w:rPr>
      </w:pPr>
      <w:bookmarkStart w:id="58" w:name="_Toc75007962"/>
      <w:bookmarkStart w:id="59" w:name="_Toc1458942"/>
      <w:r>
        <w:rPr>
          <w:rFonts w:hint="eastAsia" w:ascii="宋体" w:hAnsi="宋体"/>
          <w:color w:val="auto"/>
          <w:sz w:val="24"/>
          <w:szCs w:val="24"/>
        </w:rPr>
        <w:t>3、价格评议（</w:t>
      </w:r>
      <w:r>
        <w:rPr>
          <w:rFonts w:ascii="宋体" w:hAnsi="宋体"/>
          <w:color w:val="auto"/>
          <w:sz w:val="24"/>
          <w:szCs w:val="24"/>
        </w:rPr>
        <w:t xml:space="preserve"> </w:t>
      </w:r>
      <w:r>
        <w:rPr>
          <w:rFonts w:hint="eastAsia" w:ascii="宋体" w:hAnsi="宋体"/>
          <w:color w:val="auto"/>
          <w:sz w:val="24"/>
          <w:szCs w:val="24"/>
          <w:lang w:val="en-US" w:eastAsia="zh-CN"/>
        </w:rPr>
        <w:t>30</w:t>
      </w:r>
      <w:r>
        <w:rPr>
          <w:rFonts w:hint="eastAsia" w:ascii="宋体" w:hAnsi="宋体"/>
          <w:color w:val="auto"/>
          <w:sz w:val="24"/>
          <w:szCs w:val="24"/>
        </w:rPr>
        <w:t>分）</w:t>
      </w:r>
      <w:bookmarkEnd w:id="58"/>
      <w:bookmarkEnd w:id="59"/>
    </w:p>
    <w:tbl>
      <w:tblPr>
        <w:tblStyle w:val="41"/>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263"/>
        <w:gridCol w:w="784"/>
        <w:gridCol w:w="5531"/>
      </w:tblGrid>
      <w:tr w14:paraId="44B7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7" w:type="dxa"/>
            <w:shd w:val="pct10" w:color="C4BC96" w:fill="DDD9C3"/>
            <w:noWrap w:val="0"/>
            <w:vAlign w:val="center"/>
          </w:tcPr>
          <w:p w14:paraId="4434F3F6">
            <w:pPr>
              <w:widowControl/>
              <w:spacing w:line="60" w:lineRule="auto"/>
              <w:ind w:left="-78" w:leftChars="-37" w:right="-86" w:rightChars="-41"/>
              <w:jc w:val="center"/>
              <w:rPr>
                <w:rFonts w:ascii="宋体" w:hAnsi="宋体" w:eastAsia="宋体" w:cs="Times New Roman"/>
                <w:b/>
                <w:color w:val="000000"/>
                <w:sz w:val="24"/>
                <w:szCs w:val="24"/>
              </w:rPr>
            </w:pPr>
            <w:bookmarkStart w:id="60" w:name="_Toc1145"/>
            <w:bookmarkStart w:id="61" w:name="_Toc29258"/>
            <w:r>
              <w:rPr>
                <w:rFonts w:hint="eastAsia" w:ascii="宋体" w:hAnsi="宋体" w:eastAsia="宋体" w:cs="Times New Roman"/>
                <w:b/>
                <w:color w:val="000000"/>
                <w:sz w:val="24"/>
                <w:szCs w:val="24"/>
              </w:rPr>
              <w:t>序号</w:t>
            </w:r>
          </w:p>
        </w:tc>
        <w:tc>
          <w:tcPr>
            <w:tcW w:w="1263" w:type="dxa"/>
            <w:shd w:val="pct10" w:color="C4BC96" w:fill="DDD9C3"/>
            <w:noWrap w:val="0"/>
            <w:vAlign w:val="center"/>
          </w:tcPr>
          <w:p w14:paraId="376A72FD">
            <w:pPr>
              <w:widowControl/>
              <w:spacing w:line="60" w:lineRule="auto"/>
              <w:ind w:left="-78" w:leftChars="-37" w:right="-86" w:rightChars="-41"/>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784" w:type="dxa"/>
            <w:shd w:val="pct10" w:color="C4BC96" w:fill="DDD9C3"/>
            <w:noWrap w:val="0"/>
            <w:vAlign w:val="center"/>
          </w:tcPr>
          <w:p w14:paraId="704B149E">
            <w:pPr>
              <w:widowControl/>
              <w:spacing w:line="60" w:lineRule="auto"/>
              <w:ind w:left="-73" w:leftChars="-35" w:right="-80" w:rightChars="-38"/>
              <w:jc w:val="center"/>
              <w:rPr>
                <w:rFonts w:ascii="宋体" w:hAnsi="宋体" w:eastAsia="宋体" w:cs="Times New Roman"/>
                <w:b/>
                <w:color w:val="000000"/>
                <w:sz w:val="24"/>
                <w:szCs w:val="24"/>
              </w:rPr>
            </w:pPr>
            <w:r>
              <w:rPr>
                <w:rFonts w:ascii="宋体" w:hAnsi="宋体" w:eastAsia="宋体" w:cs="Times New Roman"/>
                <w:b/>
                <w:color w:val="000000"/>
                <w:sz w:val="24"/>
                <w:szCs w:val="24"/>
              </w:rPr>
              <w:t>分值</w:t>
            </w:r>
          </w:p>
        </w:tc>
        <w:tc>
          <w:tcPr>
            <w:tcW w:w="5531" w:type="dxa"/>
            <w:shd w:val="pct10" w:color="C4BC96" w:fill="DDD9C3"/>
            <w:noWrap w:val="0"/>
            <w:vAlign w:val="center"/>
          </w:tcPr>
          <w:p w14:paraId="0564E707">
            <w:pPr>
              <w:widowControl/>
              <w:spacing w:line="60" w:lineRule="auto"/>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r>
      <w:tr w14:paraId="17D9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667" w:type="dxa"/>
            <w:noWrap w:val="0"/>
            <w:vAlign w:val="center"/>
          </w:tcPr>
          <w:p w14:paraId="2F6DBEBB">
            <w:pPr>
              <w:widowControl/>
              <w:spacing w:after="200" w:line="276" w:lineRule="auto"/>
              <w:ind w:left="-48" w:right="-42" w:rightChars="-20"/>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3</w:t>
            </w:r>
            <w:r>
              <w:rPr>
                <w:rFonts w:hint="eastAsia" w:ascii="宋体" w:hAnsi="宋体" w:eastAsia="宋体" w:cs="Times New Roman"/>
                <w:color w:val="000000"/>
                <w:sz w:val="24"/>
                <w:szCs w:val="24"/>
                <w:lang w:val="en-US" w:eastAsia="zh-CN"/>
              </w:rPr>
              <w:t>.1</w:t>
            </w:r>
          </w:p>
        </w:tc>
        <w:tc>
          <w:tcPr>
            <w:tcW w:w="1263" w:type="dxa"/>
            <w:noWrap w:val="0"/>
            <w:vAlign w:val="center"/>
          </w:tcPr>
          <w:p w14:paraId="1F5F68F6">
            <w:pPr>
              <w:widowControl/>
              <w:tabs>
                <w:tab w:val="left" w:pos="690"/>
              </w:tabs>
              <w:spacing w:line="360" w:lineRule="auto"/>
              <w:ind w:right="-50" w:rightChars="-24"/>
              <w:jc w:val="center"/>
              <w:rPr>
                <w:rFonts w:ascii="宋体" w:hAnsi="宋体" w:eastAsia="宋体" w:cs="Times New Roman"/>
                <w:color w:val="000000"/>
                <w:sz w:val="24"/>
                <w:szCs w:val="24"/>
              </w:rPr>
            </w:pPr>
            <w:r>
              <w:rPr>
                <w:rFonts w:hint="eastAsia" w:ascii="宋体" w:hAnsi="宋体" w:eastAsia="宋体" w:cs="仿宋_GB2312"/>
                <w:color w:val="000000"/>
                <w:sz w:val="24"/>
                <w:szCs w:val="24"/>
              </w:rPr>
              <w:t>价格</w:t>
            </w:r>
          </w:p>
        </w:tc>
        <w:tc>
          <w:tcPr>
            <w:tcW w:w="784" w:type="dxa"/>
            <w:noWrap w:val="0"/>
            <w:vAlign w:val="center"/>
          </w:tcPr>
          <w:p w14:paraId="2A8F653A">
            <w:pPr>
              <w:widowControl/>
              <w:spacing w:line="60" w:lineRule="auto"/>
              <w:jc w:val="center"/>
              <w:rPr>
                <w:rFonts w:ascii="宋体" w:hAnsi="宋体" w:eastAsia="宋体" w:cs="Times New Roman"/>
                <w:color w:val="000000"/>
                <w:sz w:val="24"/>
                <w:szCs w:val="24"/>
              </w:rPr>
            </w:pPr>
            <w:r>
              <w:rPr>
                <w:rFonts w:ascii="宋体" w:hAnsi="宋体" w:eastAsia="宋体" w:cs="Times New Roman"/>
                <w:color w:val="000000"/>
                <w:sz w:val="24"/>
                <w:szCs w:val="24"/>
              </w:rPr>
              <w:t xml:space="preserve"> 30</w:t>
            </w:r>
          </w:p>
        </w:tc>
        <w:tc>
          <w:tcPr>
            <w:tcW w:w="5531" w:type="dxa"/>
            <w:noWrap w:val="0"/>
            <w:vAlign w:val="center"/>
          </w:tcPr>
          <w:p w14:paraId="2370187D">
            <w:pPr>
              <w:widowControl/>
              <w:spacing w:line="60" w:lineRule="auto"/>
              <w:jc w:val="left"/>
              <w:rPr>
                <w:rFonts w:ascii="宋体" w:hAnsi="宋体" w:eastAsia="宋体" w:cs="宋体"/>
                <w:sz w:val="24"/>
                <w:szCs w:val="24"/>
              </w:rPr>
            </w:pPr>
            <w:r>
              <w:rPr>
                <w:rFonts w:hint="eastAsia" w:ascii="宋体" w:hAnsi="宋体" w:eastAsia="宋体" w:cs="宋体"/>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报价分为满分。其他投标人的报价分按照下列公式计算：报价分=(评标基准价／投标报价)× 30分</w:t>
            </w:r>
          </w:p>
        </w:tc>
      </w:tr>
    </w:tbl>
    <w:p w14:paraId="44809AFE">
      <w:pPr>
        <w:keepNext w:val="0"/>
        <w:keepLines w:val="0"/>
        <w:pageBreakBefore w:val="0"/>
        <w:kinsoku/>
        <w:wordWrap/>
        <w:overflowPunct/>
        <w:topLinePunct w:val="0"/>
        <w:bidi w:val="0"/>
        <w:adjustRightInd/>
        <w:spacing w:line="360" w:lineRule="auto"/>
        <w:ind w:right="0" w:rightChars="0"/>
        <w:jc w:val="both"/>
        <w:textAlignment w:val="auto"/>
        <w:outlineLvl w:val="0"/>
        <w:rPr>
          <w:rFonts w:hint="eastAsia" w:ascii="Times New Roman" w:hAnsi="Times New Roman" w:cs="Times New Roman"/>
          <w:b/>
          <w:color w:val="auto"/>
          <w:sz w:val="36"/>
          <w:szCs w:val="36"/>
        </w:rPr>
      </w:pPr>
    </w:p>
    <w:p w14:paraId="1C38802E">
      <w:pPr>
        <w:keepNext w:val="0"/>
        <w:keepLines w:val="0"/>
        <w:pageBreakBefore w:val="0"/>
        <w:kinsoku/>
        <w:wordWrap/>
        <w:overflowPunct/>
        <w:topLinePunct w:val="0"/>
        <w:bidi w:val="0"/>
        <w:adjustRightInd/>
        <w:spacing w:line="360" w:lineRule="auto"/>
        <w:ind w:right="0" w:rightChars="0"/>
        <w:jc w:val="center"/>
        <w:textAlignment w:val="auto"/>
        <w:outlineLvl w:val="0"/>
        <w:rPr>
          <w:rFonts w:hint="eastAsia" w:ascii="Times New Roman" w:hAnsi="Times New Roman" w:cs="Times New Roman"/>
          <w:b/>
          <w:color w:val="auto"/>
          <w:sz w:val="36"/>
          <w:szCs w:val="36"/>
        </w:rPr>
      </w:pPr>
    </w:p>
    <w:p w14:paraId="45637787">
      <w:pPr>
        <w:keepNext w:val="0"/>
        <w:keepLines w:val="0"/>
        <w:pageBreakBefore w:val="0"/>
        <w:kinsoku/>
        <w:wordWrap/>
        <w:overflowPunct/>
        <w:topLinePunct w:val="0"/>
        <w:bidi w:val="0"/>
        <w:adjustRightInd/>
        <w:spacing w:line="360" w:lineRule="auto"/>
        <w:ind w:right="0" w:rightChars="0"/>
        <w:jc w:val="center"/>
        <w:textAlignment w:val="auto"/>
        <w:outlineLvl w:val="0"/>
        <w:rPr>
          <w:rFonts w:hint="eastAsia" w:ascii="Times New Roman" w:hAnsi="Times New Roman" w:cs="Times New Roman"/>
          <w:b/>
          <w:color w:val="auto"/>
          <w:sz w:val="36"/>
          <w:szCs w:val="36"/>
        </w:rPr>
      </w:pPr>
    </w:p>
    <w:p w14:paraId="092CCA2C">
      <w:pPr>
        <w:keepNext w:val="0"/>
        <w:keepLines w:val="0"/>
        <w:pageBreakBefore w:val="0"/>
        <w:kinsoku/>
        <w:wordWrap/>
        <w:overflowPunct/>
        <w:topLinePunct w:val="0"/>
        <w:bidi w:val="0"/>
        <w:adjustRightInd/>
        <w:spacing w:line="360" w:lineRule="auto"/>
        <w:ind w:right="0" w:rightChars="0"/>
        <w:jc w:val="center"/>
        <w:textAlignment w:val="auto"/>
        <w:outlineLvl w:val="0"/>
        <w:rPr>
          <w:rFonts w:hint="eastAsia" w:ascii="Times New Roman" w:hAnsi="Times New Roman" w:cs="Times New Roman"/>
          <w:b/>
          <w:color w:val="auto"/>
          <w:sz w:val="36"/>
          <w:szCs w:val="36"/>
        </w:rPr>
      </w:pPr>
    </w:p>
    <w:p w14:paraId="0C84D895">
      <w:pPr>
        <w:keepNext w:val="0"/>
        <w:keepLines w:val="0"/>
        <w:pageBreakBefore w:val="0"/>
        <w:kinsoku/>
        <w:wordWrap/>
        <w:overflowPunct/>
        <w:topLinePunct w:val="0"/>
        <w:bidi w:val="0"/>
        <w:adjustRightInd/>
        <w:spacing w:line="360" w:lineRule="auto"/>
        <w:ind w:right="0" w:rightChars="0"/>
        <w:jc w:val="both"/>
        <w:textAlignment w:val="auto"/>
        <w:outlineLvl w:val="0"/>
        <w:rPr>
          <w:rFonts w:hint="eastAsia" w:ascii="Times New Roman" w:hAnsi="Times New Roman" w:cs="Times New Roman"/>
          <w:b/>
          <w:color w:val="auto"/>
          <w:sz w:val="36"/>
          <w:szCs w:val="36"/>
        </w:rPr>
      </w:pPr>
    </w:p>
    <w:p w14:paraId="56609463">
      <w:pPr>
        <w:pStyle w:val="2"/>
        <w:rPr>
          <w:rFonts w:hint="eastAsia"/>
        </w:rPr>
      </w:pPr>
    </w:p>
    <w:p w14:paraId="7902BEAC">
      <w:pPr>
        <w:pStyle w:val="2"/>
        <w:rPr>
          <w:rFonts w:hint="eastAsia"/>
        </w:rPr>
      </w:pPr>
    </w:p>
    <w:p w14:paraId="1799F6E5">
      <w:pPr>
        <w:keepNext w:val="0"/>
        <w:keepLines w:val="0"/>
        <w:pageBreakBefore w:val="0"/>
        <w:kinsoku/>
        <w:wordWrap/>
        <w:overflowPunct/>
        <w:topLinePunct w:val="0"/>
        <w:bidi w:val="0"/>
        <w:adjustRightInd/>
        <w:spacing w:line="360" w:lineRule="auto"/>
        <w:ind w:right="0" w:rightChars="0"/>
        <w:jc w:val="center"/>
        <w:textAlignment w:val="auto"/>
        <w:outlineLvl w:val="0"/>
        <w:rPr>
          <w:rFonts w:ascii="Times New Roman" w:hAnsi="Times New Roman" w:cs="Times New Roman"/>
          <w:bCs/>
          <w:color w:val="auto"/>
          <w:sz w:val="36"/>
          <w:szCs w:val="36"/>
        </w:rPr>
      </w:pPr>
      <w:r>
        <w:rPr>
          <w:rFonts w:hint="eastAsia" w:ascii="Times New Roman" w:hAnsi="Times New Roman" w:cs="Times New Roman"/>
          <w:b/>
          <w:color w:val="auto"/>
          <w:sz w:val="36"/>
          <w:szCs w:val="36"/>
        </w:rPr>
        <w:t>第五章  合同书（参考格式）</w:t>
      </w:r>
      <w:bookmarkEnd w:id="60"/>
      <w:bookmarkEnd w:id="61"/>
    </w:p>
    <w:p w14:paraId="3CF74643">
      <w:pPr>
        <w:keepNext w:val="0"/>
        <w:keepLines w:val="0"/>
        <w:pageBreakBefore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z w:val="24"/>
          <w:szCs w:val="24"/>
        </w:rPr>
      </w:pPr>
    </w:p>
    <w:p w14:paraId="0D028D5B">
      <w:pPr>
        <w:keepNext w:val="0"/>
        <w:keepLines w:val="0"/>
        <w:pageBreakBefore w:val="0"/>
        <w:widowControl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pacing w:val="-10"/>
          <w:sz w:val="24"/>
          <w:szCs w:val="24"/>
        </w:rPr>
      </w:pPr>
      <w:r>
        <w:rPr>
          <w:rFonts w:hint="eastAsia" w:ascii="Times New Roman" w:hAnsi="Times New Roman" w:cs="Times New Roman"/>
          <w:color w:val="auto"/>
          <w:sz w:val="24"/>
          <w:szCs w:val="24"/>
        </w:rPr>
        <w:t>（根据《政府采购法》和《合同法》。采购人和供应商之间的权利和义务，应当按照平等的原则以合同方式约定。此合同书仅作为签订正式合同时的参考，正式合同书应包括本参考格式之内容。）</w:t>
      </w:r>
    </w:p>
    <w:p w14:paraId="4D7944DC">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p>
    <w:p w14:paraId="03B5B071">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合同书</w:t>
      </w:r>
    </w:p>
    <w:p w14:paraId="6FF9A91A">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p w14:paraId="26EE6D23">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合同编号：</w:t>
      </w:r>
    </w:p>
    <w:p w14:paraId="03DBB3B9">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签订日期：</w:t>
      </w:r>
    </w:p>
    <w:p w14:paraId="722C1DAF">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签订合同地点：</w:t>
      </w:r>
    </w:p>
    <w:p w14:paraId="0E2C0067">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本合同由（以下简称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需方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）与（以下简称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供方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）签订。</w:t>
      </w:r>
    </w:p>
    <w:p w14:paraId="3247AD6C">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供方以总金额万元人民币（用大写数字书写）向需方提供如下货物：</w:t>
      </w:r>
    </w:p>
    <w:p w14:paraId="6C08C1E8">
      <w:pPr>
        <w:keepNext w:val="0"/>
        <w:keepLines w:val="0"/>
        <w:pageBreakBefore w:val="0"/>
        <w:widowControl w:val="0"/>
        <w:kinsoku/>
        <w:wordWrap/>
        <w:overflowPunct/>
        <w:topLinePunct w:val="0"/>
        <w:autoSpaceDE w:val="0"/>
        <w:autoSpaceDN w:val="0"/>
        <w:bidi w:val="0"/>
        <w:adjustRightInd/>
        <w:spacing w:line="500" w:lineRule="exact"/>
        <w:ind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经双方协商，同意按下列条文执行：</w:t>
      </w:r>
    </w:p>
    <w:p w14:paraId="073ED30C">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r>
        <w:rPr>
          <w:rFonts w:hint="eastAsia" w:ascii="Times New Roman" w:hAnsi="Times New Roman" w:cs="Times New Roman"/>
          <w:color w:val="auto"/>
          <w:kern w:val="0"/>
          <w:sz w:val="24"/>
          <w:szCs w:val="24"/>
        </w:rPr>
        <w:t>本合同供、需双方必须遵守国家颁布的《中华人民共和国合同法》、《中华人民共和国政府采购法》，并各自履行应负的全部责任和义务。</w:t>
      </w:r>
    </w:p>
    <w:p w14:paraId="4466BDFF">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r>
        <w:rPr>
          <w:rFonts w:hint="eastAsia" w:ascii="Times New Roman" w:hAnsi="Times New Roman" w:cs="Times New Roman"/>
          <w:color w:val="auto"/>
          <w:kern w:val="0"/>
          <w:sz w:val="24"/>
          <w:szCs w:val="24"/>
        </w:rPr>
        <w:t>需方保证按合同条款规定的时间和方式付给供方到期应付的货款，并承担应负的责任和义务。</w:t>
      </w:r>
    </w:p>
    <w:p w14:paraId="34FCE815">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r>
        <w:rPr>
          <w:rFonts w:hint="eastAsia" w:ascii="Times New Roman" w:hAnsi="Times New Roman" w:cs="Times New Roman"/>
          <w:color w:val="auto"/>
          <w:kern w:val="0"/>
          <w:sz w:val="24"/>
          <w:szCs w:val="24"/>
        </w:rPr>
        <w:t>供方保证全部按合同条款规定的内容和交货期向需方提供合格的货物，并承担应负的责任和义务。</w:t>
      </w:r>
    </w:p>
    <w:p w14:paraId="2A5873C3">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r>
        <w:rPr>
          <w:rFonts w:hint="eastAsia" w:ascii="Times New Roman" w:hAnsi="Times New Roman" w:cs="Times New Roman"/>
          <w:color w:val="auto"/>
          <w:kern w:val="0"/>
          <w:sz w:val="24"/>
          <w:szCs w:val="24"/>
        </w:rPr>
        <w:t>合同文件</w:t>
      </w:r>
    </w:p>
    <w:p w14:paraId="2BD25FE5">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下列文件为本合同不可分割的部分：</w:t>
      </w:r>
    </w:p>
    <w:p w14:paraId="5A1FEA88">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4.1</w:t>
      </w:r>
      <w:r>
        <w:rPr>
          <w:rFonts w:hint="eastAsia" w:ascii="Times New Roman" w:hAnsi="Times New Roman" w:cs="Times New Roman"/>
          <w:color w:val="auto"/>
          <w:kern w:val="0"/>
          <w:sz w:val="24"/>
          <w:szCs w:val="24"/>
        </w:rPr>
        <w:t>竞争性磋商文件</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编号：　　　　</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14:paraId="60EEDBEA">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4.2</w:t>
      </w:r>
      <w:r>
        <w:rPr>
          <w:rFonts w:hint="eastAsia" w:ascii="Times New Roman" w:hAnsi="Times New Roman" w:cs="Times New Roman"/>
          <w:color w:val="auto"/>
          <w:kern w:val="0"/>
          <w:sz w:val="24"/>
          <w:szCs w:val="24"/>
        </w:rPr>
        <w:t>供方成交的响应文件（副本）；</w:t>
      </w:r>
    </w:p>
    <w:p w14:paraId="299B61D2">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4.3</w:t>
      </w:r>
      <w:r>
        <w:rPr>
          <w:rFonts w:hint="eastAsia" w:ascii="Times New Roman" w:hAnsi="Times New Roman" w:cs="Times New Roman"/>
          <w:color w:val="auto"/>
          <w:kern w:val="0"/>
          <w:sz w:val="24"/>
          <w:szCs w:val="24"/>
        </w:rPr>
        <w:t>合同书；</w:t>
      </w:r>
    </w:p>
    <w:p w14:paraId="4D30586F">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4.4</w:t>
      </w:r>
      <w:r>
        <w:rPr>
          <w:rFonts w:hint="eastAsia" w:ascii="Times New Roman" w:hAnsi="Times New Roman" w:cs="Times New Roman"/>
          <w:color w:val="auto"/>
          <w:kern w:val="0"/>
          <w:sz w:val="24"/>
          <w:szCs w:val="24"/>
        </w:rPr>
        <w:t>合同条款；</w:t>
      </w:r>
    </w:p>
    <w:p w14:paraId="650D2FEB">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4.5</w:t>
      </w:r>
      <w:r>
        <w:rPr>
          <w:rFonts w:hint="eastAsia" w:ascii="Times New Roman" w:hAnsi="Times New Roman" w:cs="Times New Roman"/>
          <w:color w:val="auto"/>
          <w:kern w:val="0"/>
          <w:sz w:val="24"/>
          <w:szCs w:val="24"/>
          <w:lang w:eastAsia="zh-CN"/>
        </w:rPr>
        <w:t>随县</w:t>
      </w:r>
      <w:r>
        <w:rPr>
          <w:rFonts w:hint="eastAsia" w:ascii="Times New Roman" w:hAnsi="Times New Roman" w:cs="Times New Roman"/>
          <w:color w:val="auto"/>
          <w:kern w:val="0"/>
          <w:sz w:val="24"/>
          <w:szCs w:val="24"/>
        </w:rPr>
        <w:t>政府采购中心发出的成交通知书；</w:t>
      </w:r>
    </w:p>
    <w:p w14:paraId="56F4D16A">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4.6</w:t>
      </w:r>
      <w:r>
        <w:rPr>
          <w:rFonts w:hint="eastAsia" w:ascii="Times New Roman" w:hAnsi="Times New Roman" w:cs="Times New Roman"/>
          <w:color w:val="auto"/>
          <w:kern w:val="0"/>
          <w:sz w:val="24"/>
          <w:szCs w:val="24"/>
        </w:rPr>
        <w:t>在商洽本合同时，双方澄清、确认并共同签字的补充文件、技术协议。</w:t>
      </w:r>
    </w:p>
    <w:p w14:paraId="65D2900F">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r>
        <w:rPr>
          <w:rFonts w:hint="eastAsia" w:ascii="Times New Roman" w:hAnsi="Times New Roman" w:cs="Times New Roman"/>
          <w:color w:val="auto"/>
          <w:kern w:val="0"/>
          <w:sz w:val="24"/>
          <w:szCs w:val="24"/>
        </w:rPr>
        <w:t>合同范围和条件</w:t>
      </w:r>
    </w:p>
    <w:p w14:paraId="44F4F533">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本合同的范围和条件应与上述规定的合同文件内容相一致。</w:t>
      </w:r>
    </w:p>
    <w:p w14:paraId="246EAE4E">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r>
        <w:rPr>
          <w:rFonts w:hint="eastAsia" w:ascii="Times New Roman" w:hAnsi="Times New Roman" w:cs="Times New Roman"/>
          <w:color w:val="auto"/>
          <w:kern w:val="0"/>
          <w:sz w:val="24"/>
          <w:szCs w:val="24"/>
        </w:rPr>
        <w:t>货物及数量</w:t>
      </w:r>
    </w:p>
    <w:p w14:paraId="12317EDB">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本合同所提供的货物及数量详见磋商文件的要求及供方响应文件中的承诺。</w:t>
      </w:r>
    </w:p>
    <w:p w14:paraId="0E76065C">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r>
        <w:rPr>
          <w:rFonts w:hint="eastAsia" w:ascii="Times New Roman" w:hAnsi="Times New Roman" w:cs="Times New Roman"/>
          <w:color w:val="auto"/>
          <w:kern w:val="0"/>
          <w:sz w:val="24"/>
          <w:szCs w:val="24"/>
        </w:rPr>
        <w:t>付款条件</w:t>
      </w:r>
    </w:p>
    <w:p w14:paraId="275BE5D8">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本合同的付款条件在磋商文件的磋商书中有明确规定。</w:t>
      </w:r>
    </w:p>
    <w:p w14:paraId="152299DE">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r>
        <w:rPr>
          <w:rFonts w:hint="eastAsia" w:ascii="Times New Roman" w:hAnsi="Times New Roman" w:cs="Times New Roman"/>
          <w:color w:val="auto"/>
          <w:kern w:val="0"/>
          <w:sz w:val="24"/>
          <w:szCs w:val="24"/>
        </w:rPr>
        <w:t>合同金额</w:t>
      </w:r>
    </w:p>
    <w:p w14:paraId="7AB5B00B">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合同总金额见合同书，分项价格在供方的投标报价表中有明确规定。</w:t>
      </w:r>
    </w:p>
    <w:p w14:paraId="308A5EA5">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r>
        <w:rPr>
          <w:rFonts w:hint="eastAsia" w:ascii="Times New Roman" w:hAnsi="Times New Roman" w:cs="Times New Roman"/>
          <w:color w:val="auto"/>
          <w:kern w:val="0"/>
          <w:sz w:val="24"/>
          <w:szCs w:val="24"/>
        </w:rPr>
        <w:t>交货时间和交货地点</w:t>
      </w:r>
    </w:p>
    <w:p w14:paraId="4FEC97CE">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本合同中货物的交货时间、交货地点在竞争性磋商文件中有明确规定。</w:t>
      </w:r>
    </w:p>
    <w:p w14:paraId="5FEC76C8">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r>
        <w:rPr>
          <w:rFonts w:hint="eastAsia" w:ascii="Times New Roman" w:hAnsi="Times New Roman" w:cs="Times New Roman"/>
          <w:color w:val="auto"/>
          <w:kern w:val="0"/>
          <w:sz w:val="24"/>
          <w:szCs w:val="24"/>
        </w:rPr>
        <w:t>合同生效</w:t>
      </w:r>
    </w:p>
    <w:p w14:paraId="1174CA09">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本合同经供、需双方授权代表签字和加盖公章（或合同专用章）后生效。如招标申请公证的，合同需经公证机构公证后生效。</w:t>
      </w:r>
    </w:p>
    <w:p w14:paraId="4A6E4AB8">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r>
        <w:rPr>
          <w:rFonts w:hint="eastAsia" w:ascii="Times New Roman" w:hAnsi="Times New Roman" w:cs="Times New Roman"/>
          <w:color w:val="auto"/>
          <w:kern w:val="0"/>
          <w:sz w:val="24"/>
          <w:szCs w:val="24"/>
        </w:rPr>
        <w:t>合同的份数</w:t>
      </w:r>
    </w:p>
    <w:p w14:paraId="7450A678">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本合同正本一式　　份，需方执　　份，供方执　　份；副本一式　　份，需方执　　份，供方执　　份，</w:t>
      </w:r>
      <w:r>
        <w:rPr>
          <w:rFonts w:hint="eastAsia" w:ascii="Times New Roman" w:hAnsi="Times New Roman" w:cs="Times New Roman"/>
          <w:color w:val="auto"/>
          <w:kern w:val="0"/>
          <w:sz w:val="24"/>
          <w:szCs w:val="24"/>
          <w:lang w:eastAsia="zh-CN"/>
        </w:rPr>
        <w:t>报随县</w:t>
      </w:r>
      <w:r>
        <w:rPr>
          <w:rFonts w:hint="eastAsia" w:ascii="Times New Roman" w:hAnsi="Times New Roman" w:cs="Times New Roman"/>
          <w:color w:val="auto"/>
          <w:kern w:val="0"/>
          <w:sz w:val="24"/>
          <w:szCs w:val="24"/>
        </w:rPr>
        <w:t>财政局采购股壹份备案。</w:t>
      </w:r>
    </w:p>
    <w:p w14:paraId="612E05C6">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需　　方：</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供　　方：</w:t>
      </w:r>
    </w:p>
    <w:p w14:paraId="0F264295">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单位名称（盖章）：</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单位名称（盖章）：</w:t>
      </w:r>
    </w:p>
    <w:p w14:paraId="4E8FCEA3">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单位地址：</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单位地址：</w:t>
      </w:r>
    </w:p>
    <w:p w14:paraId="2135D049">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14:paraId="2FF8B413">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联系人：</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联系人：</w:t>
      </w:r>
    </w:p>
    <w:p w14:paraId="23AE51A1">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电　　话：</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电　　话：</w:t>
      </w:r>
    </w:p>
    <w:p w14:paraId="11AE3935">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传　　真：</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传　　真：</w:t>
      </w:r>
    </w:p>
    <w:p w14:paraId="04B89A27">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邮政编码：</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邮政编码：</w:t>
      </w:r>
    </w:p>
    <w:p w14:paraId="7B2ABCC2">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开户银行：</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开户银行：</w:t>
      </w:r>
    </w:p>
    <w:p w14:paraId="0BC4576C">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帐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帐　　号：</w:t>
      </w:r>
    </w:p>
    <w:p w14:paraId="7B6B69A1">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b/>
          <w:color w:val="auto"/>
          <w:sz w:val="24"/>
          <w:szCs w:val="24"/>
        </w:rPr>
      </w:pPr>
      <w:r>
        <w:rPr>
          <w:rFonts w:hint="eastAsia" w:ascii="Times New Roman" w:hAnsi="Times New Roman" w:cs="Times New Roman"/>
          <w:color w:val="auto"/>
          <w:kern w:val="0"/>
          <w:sz w:val="24"/>
          <w:szCs w:val="24"/>
        </w:rPr>
        <w:t>税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税　　号：</w:t>
      </w:r>
    </w:p>
    <w:p w14:paraId="0FFB61CE">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2E35DA5A">
      <w:pPr>
        <w:keepNext w:val="0"/>
        <w:keepLines w:val="0"/>
        <w:pageBreakBefore w:val="0"/>
        <w:widowControl w:val="0"/>
        <w:kinsoku/>
        <w:wordWrap/>
        <w:overflowPunct/>
        <w:topLinePunct w:val="0"/>
        <w:bidi w:val="0"/>
        <w:adjustRightInd/>
        <w:snapToGrid w:val="0"/>
        <w:ind w:right="0" w:rightChars="0"/>
        <w:jc w:val="center"/>
        <w:textAlignment w:val="auto"/>
        <w:outlineLvl w:val="0"/>
        <w:rPr>
          <w:rFonts w:ascii="Times New Roman" w:hAnsi="Times New Roman" w:cs="Times New Roman"/>
          <w:b/>
          <w:color w:val="auto"/>
          <w:sz w:val="44"/>
          <w:szCs w:val="44"/>
        </w:rPr>
      </w:pPr>
      <w:bookmarkStart w:id="62" w:name="_Toc4455"/>
      <w:bookmarkStart w:id="63" w:name="_Toc15277"/>
      <w:r>
        <w:rPr>
          <w:rFonts w:hint="eastAsia" w:ascii="Times New Roman" w:hAnsi="Times New Roman" w:cs="Times New Roman"/>
          <w:b/>
          <w:color w:val="auto"/>
          <w:sz w:val="44"/>
          <w:szCs w:val="44"/>
        </w:rPr>
        <w:t>第六章响应文件格式</w:t>
      </w:r>
      <w:bookmarkEnd w:id="62"/>
      <w:bookmarkEnd w:id="63"/>
    </w:p>
    <w:p w14:paraId="0F99BA66">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p>
    <w:p w14:paraId="08B3242E">
      <w:pPr>
        <w:keepNext w:val="0"/>
        <w:keepLines w:val="0"/>
        <w:pageBreakBefore w:val="0"/>
        <w:widowControl w:val="0"/>
        <w:kinsoku/>
        <w:wordWrap/>
        <w:overflowPunct/>
        <w:topLinePunct w:val="0"/>
        <w:bidi w:val="0"/>
        <w:adjustRightInd/>
        <w:snapToGrid w:val="0"/>
        <w:ind w:right="0" w:rightChars="0"/>
        <w:textAlignment w:val="auto"/>
        <w:outlineLvl w:val="1"/>
        <w:rPr>
          <w:rFonts w:ascii="Times New Roman" w:hAnsi="Times New Roman" w:cs="Times New Roman"/>
          <w:color w:val="auto"/>
          <w:sz w:val="24"/>
          <w:szCs w:val="24"/>
        </w:rPr>
      </w:pPr>
      <w:bookmarkStart w:id="64" w:name="_Toc22224"/>
      <w:bookmarkStart w:id="65" w:name="_Toc30715"/>
      <w:r>
        <w:rPr>
          <w:rFonts w:hint="eastAsia" w:ascii="Times New Roman" w:hAnsi="Times New Roman" w:cs="Times New Roman"/>
          <w:color w:val="auto"/>
          <w:sz w:val="24"/>
          <w:szCs w:val="24"/>
          <w:lang w:val="en-US" w:eastAsia="zh-CN"/>
        </w:rPr>
        <w:t>一、</w:t>
      </w:r>
      <w:r>
        <w:rPr>
          <w:rFonts w:hint="eastAsia" w:ascii="Times New Roman" w:hAnsi="Times New Roman" w:cs="Times New Roman"/>
          <w:color w:val="auto"/>
          <w:sz w:val="24"/>
          <w:szCs w:val="24"/>
        </w:rPr>
        <w:t>封面：</w:t>
      </w:r>
      <w:bookmarkEnd w:id="64"/>
      <w:bookmarkEnd w:id="65"/>
    </w:p>
    <w:p w14:paraId="06F71FC0">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
          <w:bCs/>
          <w:color w:val="auto"/>
          <w:spacing w:val="100"/>
          <w:w w:val="110"/>
          <w:sz w:val="24"/>
          <w:szCs w:val="24"/>
        </w:rPr>
      </w:pPr>
    </w:p>
    <w:p w14:paraId="62E4DFED">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Cs/>
          <w:color w:val="auto"/>
          <w:spacing w:val="100"/>
          <w:w w:val="110"/>
          <w:sz w:val="24"/>
          <w:szCs w:val="24"/>
        </w:rPr>
      </w:pPr>
      <w:r>
        <w:rPr>
          <w:rFonts w:hint="eastAsia" w:ascii="Times New Roman" w:hAnsi="Times New Roman" w:eastAsia="宋体" w:cs="Times New Roman"/>
          <w:bCs/>
          <w:color w:val="auto"/>
          <w:spacing w:val="100"/>
          <w:w w:val="110"/>
          <w:sz w:val="24"/>
          <w:szCs w:val="24"/>
          <w:lang w:eastAsia="zh-CN"/>
        </w:rPr>
        <w:t>随县县</w:t>
      </w:r>
      <w:r>
        <w:rPr>
          <w:rFonts w:hint="eastAsia" w:ascii="Times New Roman" w:hAnsi="Times New Roman" w:eastAsia="宋体" w:cs="Times New Roman"/>
          <w:bCs/>
          <w:color w:val="auto"/>
          <w:spacing w:val="100"/>
          <w:w w:val="110"/>
          <w:sz w:val="24"/>
          <w:szCs w:val="24"/>
        </w:rPr>
        <w:t>级政府采购</w:t>
      </w:r>
    </w:p>
    <w:p w14:paraId="1B57FA97">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Cs/>
          <w:color w:val="auto"/>
          <w:spacing w:val="100"/>
          <w:w w:val="110"/>
          <w:sz w:val="24"/>
          <w:szCs w:val="24"/>
        </w:rPr>
      </w:pPr>
    </w:p>
    <w:p w14:paraId="0B370F73">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color w:val="auto"/>
          <w:spacing w:val="100"/>
          <w:w w:val="110"/>
          <w:sz w:val="24"/>
          <w:szCs w:val="24"/>
        </w:rPr>
      </w:pPr>
      <w:r>
        <w:rPr>
          <w:rFonts w:hint="eastAsia" w:ascii="Times New Roman" w:hAnsi="Times New Roman" w:eastAsia="宋体" w:cs="Times New Roman"/>
          <w:bCs/>
          <w:color w:val="auto"/>
          <w:spacing w:val="100"/>
          <w:w w:val="110"/>
          <w:sz w:val="24"/>
          <w:szCs w:val="24"/>
        </w:rPr>
        <w:t>响应文件</w:t>
      </w:r>
    </w:p>
    <w:p w14:paraId="22057B53">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（正本</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副本）</w:t>
      </w:r>
    </w:p>
    <w:p w14:paraId="29CEE59E">
      <w:pPr>
        <w:keepNext w:val="0"/>
        <w:keepLines w:val="0"/>
        <w:pageBreakBefore w:val="0"/>
        <w:widowControl w:val="0"/>
        <w:kinsoku/>
        <w:wordWrap/>
        <w:overflowPunct/>
        <w:topLinePunct w:val="0"/>
        <w:bidi w:val="0"/>
        <w:adjustRightInd/>
        <w:ind w:right="0" w:rightChars="0"/>
        <w:jc w:val="both"/>
        <w:textAlignment w:val="auto"/>
        <w:rPr>
          <w:rFonts w:ascii="Times New Roman" w:hAnsi="Times New Roman" w:eastAsia="宋体" w:cs="Times New Roman"/>
          <w:color w:val="auto"/>
          <w:sz w:val="24"/>
          <w:szCs w:val="24"/>
        </w:rPr>
      </w:pPr>
    </w:p>
    <w:p w14:paraId="633F2EB0">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项目编号：</w:t>
      </w:r>
    </w:p>
    <w:p w14:paraId="16EC5644">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项目名称：</w:t>
      </w:r>
    </w:p>
    <w:p w14:paraId="7CAB3F76">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磋商内容：</w:t>
      </w:r>
    </w:p>
    <w:p w14:paraId="0336006D">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14:paraId="500A73A8">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14:paraId="579A1C63">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（供应商名称）</w:t>
      </w:r>
    </w:p>
    <w:p w14:paraId="54D68DA3">
      <w:pPr>
        <w:keepNext w:val="0"/>
        <w:keepLines w:val="0"/>
        <w:pageBreakBefore w:val="0"/>
        <w:widowControl w:val="0"/>
        <w:kinsoku/>
        <w:wordWrap/>
        <w:overflowPunct/>
        <w:topLinePunct w:val="0"/>
        <w:bidi w:val="0"/>
        <w:adjustRightInd/>
        <w:spacing w:line="360" w:lineRule="auto"/>
        <w:ind w:right="0" w:rightChars="0"/>
        <w:jc w:val="center"/>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年月日</w:t>
      </w:r>
    </w:p>
    <w:p w14:paraId="6E46294B">
      <w:pPr>
        <w:keepNext w:val="0"/>
        <w:keepLines w:val="0"/>
        <w:pageBreakBefore w:val="0"/>
        <w:widowControl w:val="0"/>
        <w:kinsoku/>
        <w:wordWrap/>
        <w:overflowPunct/>
        <w:topLinePunct w:val="0"/>
        <w:bidi w:val="0"/>
        <w:adjustRightInd/>
        <w:snapToGrid w:val="0"/>
        <w:ind w:right="0" w:rightChars="0"/>
        <w:jc w:val="both"/>
        <w:textAlignment w:val="auto"/>
        <w:outlineLvl w:val="1"/>
        <w:rPr>
          <w:rFonts w:ascii="Times New Roman" w:hAnsi="Times New Roman" w:cs="Times New Roman"/>
          <w:b/>
          <w:color w:val="auto"/>
          <w:sz w:val="24"/>
          <w:szCs w:val="24"/>
        </w:rPr>
      </w:pPr>
      <w:r>
        <w:rPr>
          <w:rFonts w:ascii="Times New Roman" w:hAnsi="Times New Roman" w:cs="Times New Roman"/>
          <w:b/>
          <w:color w:val="auto"/>
          <w:sz w:val="24"/>
          <w:szCs w:val="24"/>
        </w:rPr>
        <w:br w:type="page"/>
      </w:r>
      <w:bookmarkStart w:id="66" w:name="_Toc24534"/>
      <w:bookmarkStart w:id="67" w:name="_Toc16366"/>
      <w:r>
        <w:rPr>
          <w:rFonts w:hint="eastAsia" w:ascii="Times New Roman" w:hAnsi="Times New Roman" w:cs="Times New Roman"/>
          <w:b/>
          <w:color w:val="auto"/>
          <w:sz w:val="24"/>
          <w:szCs w:val="24"/>
          <w:lang w:val="en-US" w:eastAsia="zh-CN"/>
        </w:rPr>
        <w:t>二、</w:t>
      </w:r>
      <w:r>
        <w:rPr>
          <w:rFonts w:hint="eastAsia" w:ascii="Times New Roman" w:hAnsi="Times New Roman" w:cs="Times New Roman"/>
          <w:b/>
          <w:color w:val="auto"/>
          <w:sz w:val="24"/>
          <w:szCs w:val="24"/>
        </w:rPr>
        <w:t>目录</w:t>
      </w:r>
      <w:bookmarkEnd w:id="66"/>
      <w:bookmarkEnd w:id="67"/>
    </w:p>
    <w:p w14:paraId="6DEF16CE">
      <w:pPr>
        <w:keepNext w:val="0"/>
        <w:keepLines w:val="0"/>
        <w:pageBreakBefore w:val="0"/>
        <w:widowControl w:val="0"/>
        <w:kinsoku/>
        <w:wordWrap/>
        <w:overflowPunct/>
        <w:topLinePunct w:val="0"/>
        <w:bidi w:val="0"/>
        <w:adjustRightInd/>
        <w:snapToGrid w:val="0"/>
        <w:ind w:right="0" w:rightChars="0" w:firstLine="4096" w:firstLineChars="1700"/>
        <w:textAlignment w:val="auto"/>
        <w:outlineLvl w:val="0"/>
        <w:rPr>
          <w:rFonts w:hint="eastAsia" w:ascii="Times New Roman" w:hAnsi="Times New Roman" w:cs="Times New Roman"/>
          <w:b/>
          <w:color w:val="auto"/>
          <w:sz w:val="24"/>
          <w:szCs w:val="24"/>
          <w:lang w:val="en-US" w:eastAsia="zh-CN"/>
        </w:rPr>
      </w:pPr>
      <w:bookmarkStart w:id="68" w:name="_Toc13229"/>
      <w:bookmarkStart w:id="69" w:name="_Toc15319"/>
      <w:r>
        <w:rPr>
          <w:rFonts w:hint="eastAsia" w:ascii="Times New Roman" w:hAnsi="Times New Roman" w:cs="Times New Roman"/>
          <w:b/>
          <w:color w:val="auto"/>
          <w:sz w:val="24"/>
          <w:szCs w:val="24"/>
          <w:lang w:val="en-US" w:eastAsia="zh-CN"/>
        </w:rPr>
        <w:t>目录</w:t>
      </w:r>
      <w:bookmarkEnd w:id="68"/>
      <w:bookmarkEnd w:id="69"/>
    </w:p>
    <w:p w14:paraId="71CEA3A9">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14:paraId="48BF21B8">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14:paraId="62DE7687">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14:paraId="65DF3831">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14:paraId="13394404">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14:paraId="0C415B0C">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14:paraId="07A525E5">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14:paraId="091C138F">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r>
        <w:rPr>
          <w:rFonts w:ascii="Times New Roman" w:hAnsi="Times New Roman" w:cs="Times New Roman"/>
          <w:b/>
          <w:color w:val="auto"/>
          <w:sz w:val="24"/>
          <w:szCs w:val="24"/>
        </w:rPr>
        <w:br w:type="page"/>
      </w:r>
      <w:bookmarkStart w:id="70" w:name="_Toc19053"/>
      <w:bookmarkStart w:id="71" w:name="_Toc28442"/>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bookmarkEnd w:id="70"/>
      <w:bookmarkEnd w:id="71"/>
      <w:r>
        <w:rPr>
          <w:rFonts w:hint="eastAsia" w:ascii="Times New Roman" w:hAnsi="Times New Roman" w:cs="Times New Roman"/>
          <w:color w:val="auto"/>
          <w:sz w:val="24"/>
          <w:szCs w:val="24"/>
        </w:rPr>
        <w:t>磋商书</w:t>
      </w:r>
    </w:p>
    <w:p w14:paraId="4737516B">
      <w:pPr>
        <w:pStyle w:val="27"/>
      </w:pPr>
    </w:p>
    <w:p w14:paraId="26A66CF8">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磋商书</w:t>
      </w:r>
    </w:p>
    <w:p w14:paraId="08135FF9">
      <w:pPr>
        <w:keepNext w:val="0"/>
        <w:keepLines w:val="0"/>
        <w:pageBreakBefore w:val="0"/>
        <w:widowControl w:val="0"/>
        <w:kinsoku/>
        <w:wordWrap/>
        <w:overflowPunct/>
        <w:topLinePunct w:val="0"/>
        <w:bidi w:val="0"/>
        <w:adjustRightInd/>
        <w:spacing w:line="500" w:lineRule="exact"/>
        <w:ind w:left="-88" w:leftChars="-42" w:right="0" w:rightChars="0"/>
        <w:textAlignment w:val="auto"/>
        <w:rPr>
          <w:rFonts w:ascii="Times New Roman" w:hAnsi="Times New Roman" w:eastAsia="仿宋_GB2312" w:cs="Times New Roman"/>
          <w:color w:val="auto"/>
          <w:sz w:val="24"/>
          <w:szCs w:val="24"/>
        </w:rPr>
      </w:pPr>
    </w:p>
    <w:p w14:paraId="589EEDB3">
      <w:pPr>
        <w:keepNext w:val="0"/>
        <w:keepLines w:val="0"/>
        <w:pageBreakBefore w:val="0"/>
        <w:widowControl w:val="0"/>
        <w:kinsoku/>
        <w:wordWrap/>
        <w:overflowPunct/>
        <w:topLinePunct w:val="0"/>
        <w:bidi w:val="0"/>
        <w:adjustRightInd/>
        <w:spacing w:line="440" w:lineRule="exact"/>
        <w:ind w:right="0" w:rightChars="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致：</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集中采购机构</w:t>
      </w:r>
      <w:r>
        <w:rPr>
          <w:rFonts w:ascii="Times New Roman" w:hAnsi="Times New Roman" w:eastAsia="宋体" w:cs="Times New Roman"/>
          <w:color w:val="auto"/>
          <w:sz w:val="24"/>
          <w:szCs w:val="24"/>
          <w:u w:val="single"/>
        </w:rPr>
        <w:t>)</w:t>
      </w:r>
    </w:p>
    <w:p w14:paraId="5277ED98">
      <w:pPr>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根据贵方</w:t>
      </w:r>
      <w:r>
        <w:rPr>
          <w:rFonts w:hint="eastAsia" w:ascii="Times New Roman" w:hAnsi="Times New Roman" w:eastAsia="宋体" w:cs="Times New Roman"/>
          <w:color w:val="auto"/>
          <w:sz w:val="24"/>
          <w:szCs w:val="24"/>
          <w:u w:val="single"/>
        </w:rPr>
        <w:t>（项目名称</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项目编号）</w:t>
      </w:r>
      <w:r>
        <w:rPr>
          <w:rFonts w:hint="eastAsia" w:ascii="Times New Roman" w:hAnsi="Times New Roman" w:eastAsia="宋体" w:cs="Times New Roman"/>
          <w:color w:val="auto"/>
          <w:sz w:val="24"/>
          <w:szCs w:val="24"/>
        </w:rPr>
        <w:t>项目政府采购的磋商邀请，</w:t>
      </w:r>
      <w:r>
        <w:rPr>
          <w:rFonts w:hint="eastAsia" w:ascii="Times New Roman" w:hAnsi="Times New Roman" w:eastAsia="宋体" w:cs="Times New Roman"/>
          <w:color w:val="auto"/>
          <w:sz w:val="24"/>
          <w:szCs w:val="24"/>
          <w:u w:val="single"/>
        </w:rPr>
        <w:t>签字代表</w:t>
      </w:r>
      <w:r>
        <w:rPr>
          <w:rFonts w:hint="eastAsia" w:ascii="Times New Roman" w:hAnsi="Times New Roman" w:eastAsia="宋体" w:cs="Times New Roman"/>
          <w:color w:val="auto"/>
          <w:sz w:val="24"/>
          <w:szCs w:val="24"/>
        </w:rPr>
        <w:t>（姓名和职务）经正式授权并代表供应商</w:t>
      </w:r>
      <w:r>
        <w:rPr>
          <w:rFonts w:hint="eastAsia" w:ascii="Times New Roman" w:hAnsi="Times New Roman" w:eastAsia="宋体" w:cs="Times New Roman"/>
          <w:color w:val="auto"/>
          <w:sz w:val="24"/>
          <w:szCs w:val="24"/>
          <w:u w:val="single"/>
        </w:rPr>
        <w:t>（供应商名称、地址）</w:t>
      </w:r>
      <w:r>
        <w:rPr>
          <w:rFonts w:hint="eastAsia" w:ascii="Times New Roman" w:hAnsi="Times New Roman" w:eastAsia="宋体" w:cs="Times New Roman"/>
          <w:color w:val="auto"/>
          <w:sz w:val="24"/>
          <w:szCs w:val="24"/>
        </w:rPr>
        <w:t>提交下述</w:t>
      </w:r>
      <w:r>
        <w:rPr>
          <w:rFonts w:hint="eastAsia" w:ascii="Times New Roman" w:hAnsi="Times New Roman" w:eastAsia="宋体" w:cs="Times New Roman"/>
          <w:color w:val="auto"/>
          <w:sz w:val="24"/>
          <w:szCs w:val="24"/>
          <w:lang w:val="en-US" w:eastAsia="zh-CN"/>
        </w:rPr>
        <w:t>电子</w:t>
      </w:r>
      <w:r>
        <w:rPr>
          <w:rFonts w:hint="eastAsia" w:ascii="Times New Roman" w:hAnsi="Times New Roman" w:eastAsia="宋体" w:cs="Times New Roman"/>
          <w:color w:val="auto"/>
          <w:sz w:val="24"/>
          <w:szCs w:val="24"/>
        </w:rPr>
        <w:t>响应文件一份</w:t>
      </w:r>
      <w:r>
        <w:rPr>
          <w:rFonts w:hint="eastAsia" w:ascii="Times New Roman" w:hAnsi="Times New Roman" w:eastAsia="宋体" w:cs="Times New Roman"/>
          <w:color w:val="auto"/>
          <w:sz w:val="24"/>
          <w:szCs w:val="24"/>
          <w:lang w:eastAsia="zh-CN"/>
        </w:rPr>
        <w:t>。</w:t>
      </w:r>
    </w:p>
    <w:p w14:paraId="70231466">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磋商书</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r>
        <w:rPr>
          <w:rFonts w:hint="eastAsia" w:ascii="Times New Roman" w:hAnsi="Times New Roman" w:cs="Times New Roman"/>
          <w:color w:val="auto"/>
          <w:sz w:val="24"/>
          <w:szCs w:val="24"/>
        </w:rPr>
        <w:t>；</w:t>
      </w:r>
    </w:p>
    <w:p w14:paraId="3C9F3602">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报价组成情况表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2)</w:t>
      </w:r>
      <w:r>
        <w:rPr>
          <w:rFonts w:hint="eastAsia" w:ascii="Times New Roman" w:hAnsi="Times New Roman" w:cs="Times New Roman"/>
          <w:color w:val="auto"/>
          <w:sz w:val="24"/>
          <w:szCs w:val="24"/>
        </w:rPr>
        <w:t>；</w:t>
      </w:r>
    </w:p>
    <w:p w14:paraId="61E66516">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货物（服务）清单</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3)</w:t>
      </w:r>
      <w:r>
        <w:rPr>
          <w:rFonts w:hint="eastAsia" w:ascii="Times New Roman" w:hAnsi="Times New Roman" w:cs="Times New Roman"/>
          <w:color w:val="auto"/>
          <w:sz w:val="24"/>
          <w:szCs w:val="24"/>
        </w:rPr>
        <w:t>；</w:t>
      </w:r>
    </w:p>
    <w:p w14:paraId="581FE73B">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资格性符合性检查对照表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4)</w:t>
      </w:r>
      <w:r>
        <w:rPr>
          <w:rFonts w:hint="eastAsia" w:ascii="Times New Roman" w:hAnsi="Times New Roman" w:cs="Times New Roman"/>
          <w:color w:val="auto"/>
          <w:sz w:val="24"/>
          <w:szCs w:val="24"/>
        </w:rPr>
        <w:t>；</w:t>
      </w:r>
    </w:p>
    <w:p w14:paraId="33737887">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Times New Roman"/>
          <w:color w:val="auto"/>
          <w:sz w:val="24"/>
          <w:szCs w:val="24"/>
        </w:rPr>
        <w:t>技术响应、偏离情况说明表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5)</w:t>
      </w:r>
      <w:r>
        <w:rPr>
          <w:rFonts w:hint="eastAsia" w:ascii="Times New Roman" w:hAnsi="Times New Roman" w:cs="Times New Roman"/>
          <w:color w:val="auto"/>
          <w:sz w:val="24"/>
          <w:szCs w:val="24"/>
        </w:rPr>
        <w:t>；</w:t>
      </w:r>
    </w:p>
    <w:p w14:paraId="35DABFBE">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r>
        <w:rPr>
          <w:rFonts w:hint="eastAsia" w:ascii="Times New Roman" w:hAnsi="Times New Roman" w:cs="Times New Roman"/>
          <w:color w:val="auto"/>
          <w:sz w:val="24"/>
          <w:szCs w:val="24"/>
          <w:lang w:eastAsia="zh-CN"/>
        </w:rPr>
        <w:t>商务（</w:t>
      </w:r>
      <w:r>
        <w:rPr>
          <w:rFonts w:hint="eastAsia" w:ascii="Times New Roman" w:hAnsi="Times New Roman" w:cs="Times New Roman"/>
          <w:color w:val="auto"/>
          <w:sz w:val="24"/>
          <w:szCs w:val="24"/>
        </w:rPr>
        <w:t>合同草案条款</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响应、偏离情况说明表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6)</w:t>
      </w:r>
      <w:r>
        <w:rPr>
          <w:rFonts w:hint="eastAsia" w:ascii="Times New Roman" w:hAnsi="Times New Roman" w:cs="Times New Roman"/>
          <w:color w:val="auto"/>
          <w:sz w:val="24"/>
          <w:szCs w:val="24"/>
        </w:rPr>
        <w:t>；</w:t>
      </w:r>
    </w:p>
    <w:p w14:paraId="3717E863">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7.</w:t>
      </w:r>
      <w:r>
        <w:rPr>
          <w:rFonts w:hint="eastAsia" w:ascii="Times New Roman" w:hAnsi="Times New Roman" w:cs="Times New Roman"/>
          <w:color w:val="auto"/>
          <w:sz w:val="24"/>
          <w:szCs w:val="24"/>
        </w:rPr>
        <w:t>法人（负责人）代表授权书</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7)</w:t>
      </w:r>
      <w:r>
        <w:rPr>
          <w:rFonts w:hint="eastAsia" w:ascii="Times New Roman" w:hAnsi="Times New Roman" w:cs="Times New Roman"/>
          <w:color w:val="auto"/>
          <w:sz w:val="24"/>
          <w:szCs w:val="24"/>
        </w:rPr>
        <w:t>；</w:t>
      </w:r>
    </w:p>
    <w:p w14:paraId="29ACB576">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8.</w:t>
      </w:r>
      <w:r>
        <w:rPr>
          <w:rFonts w:hint="eastAsia" w:ascii="Times New Roman" w:hAnsi="Times New Roman" w:cs="Times New Roman"/>
          <w:color w:val="auto"/>
          <w:sz w:val="24"/>
          <w:szCs w:val="24"/>
        </w:rPr>
        <w:t>法人或者其他组织的营业执照等证明文件，自然人的身份证明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8)</w:t>
      </w:r>
      <w:r>
        <w:rPr>
          <w:rFonts w:hint="eastAsia" w:ascii="Times New Roman" w:hAnsi="Times New Roman" w:cs="Times New Roman"/>
          <w:color w:val="auto"/>
          <w:sz w:val="24"/>
          <w:szCs w:val="24"/>
        </w:rPr>
        <w:t>；</w:t>
      </w:r>
    </w:p>
    <w:p w14:paraId="3AC4C2B3">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9.</w:t>
      </w:r>
      <w:r>
        <w:rPr>
          <w:rFonts w:hint="eastAsia" w:ascii="Times New Roman" w:hAnsi="Times New Roman" w:cs="Times New Roman"/>
          <w:color w:val="auto"/>
          <w:sz w:val="24"/>
          <w:szCs w:val="24"/>
        </w:rPr>
        <w:t>财务状况报告，依法缴纳税收和社会保障资金的相关材料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9)</w:t>
      </w:r>
      <w:r>
        <w:rPr>
          <w:rFonts w:hint="eastAsia" w:ascii="Times New Roman" w:hAnsi="Times New Roman" w:cs="Times New Roman"/>
          <w:color w:val="auto"/>
          <w:sz w:val="24"/>
          <w:szCs w:val="24"/>
        </w:rPr>
        <w:t>；</w:t>
      </w:r>
    </w:p>
    <w:p w14:paraId="327A67CB">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10.</w:t>
      </w:r>
      <w:r>
        <w:rPr>
          <w:rFonts w:hint="eastAsia" w:ascii="Times New Roman" w:hAnsi="Times New Roman" w:cs="Times New Roman"/>
          <w:color w:val="auto"/>
          <w:sz w:val="24"/>
          <w:szCs w:val="24"/>
        </w:rPr>
        <w:t>具备履行合同所必需的设备和专业技术能力的证明材料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10)</w:t>
      </w:r>
      <w:r>
        <w:rPr>
          <w:rFonts w:hint="eastAsia" w:ascii="Times New Roman" w:hAnsi="Times New Roman" w:cs="Times New Roman"/>
          <w:color w:val="auto"/>
          <w:sz w:val="24"/>
          <w:szCs w:val="24"/>
        </w:rPr>
        <w:t>；</w:t>
      </w:r>
    </w:p>
    <w:p w14:paraId="49DC7B47">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11.</w:t>
      </w:r>
      <w:r>
        <w:rPr>
          <w:rFonts w:hint="eastAsia" w:ascii="Times New Roman" w:hAnsi="Times New Roman" w:cs="Times New Roman"/>
          <w:color w:val="auto"/>
          <w:sz w:val="24"/>
          <w:szCs w:val="24"/>
        </w:rPr>
        <w:t>参加政府采购活动前</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年内在经营活动中没有重大违法记录的书面声明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11)</w:t>
      </w:r>
      <w:r>
        <w:rPr>
          <w:rFonts w:hint="eastAsia" w:ascii="Times New Roman" w:hAnsi="Times New Roman" w:cs="Times New Roman"/>
          <w:color w:val="auto"/>
          <w:sz w:val="24"/>
          <w:szCs w:val="24"/>
        </w:rPr>
        <w:t>；</w:t>
      </w:r>
    </w:p>
    <w:p w14:paraId="10FD2F7B">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12.</w:t>
      </w:r>
      <w:r>
        <w:rPr>
          <w:rFonts w:hint="eastAsia" w:ascii="Times New Roman" w:hAnsi="Times New Roman" w:cs="Times New Roman"/>
          <w:color w:val="auto"/>
          <w:sz w:val="24"/>
          <w:szCs w:val="24"/>
        </w:rPr>
        <w:t>未被列入</w:t>
      </w:r>
      <w:r>
        <w:rPr>
          <w:rFonts w:ascii="Times New Roman" w:hAnsi="Times New Roman" w:cs="Times New Roman"/>
          <w:color w:val="auto"/>
          <w:sz w:val="24"/>
          <w:szCs w:val="24"/>
        </w:rPr>
        <w:t>“</w:t>
      </w:r>
      <w:r>
        <w:rPr>
          <w:rFonts w:hint="eastAsia" w:ascii="Times New Roman" w:hAnsi="Times New Roman" w:cs="Times New Roman"/>
          <w:color w:val="auto"/>
          <w:sz w:val="24"/>
          <w:szCs w:val="24"/>
        </w:rPr>
        <w:t>信用中国</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中国政府采购网</w:t>
      </w:r>
      <w:r>
        <w:rPr>
          <w:rFonts w:ascii="Times New Roman" w:hAnsi="Times New Roman" w:cs="Times New Roman"/>
          <w:color w:val="auto"/>
          <w:sz w:val="24"/>
          <w:szCs w:val="24"/>
        </w:rPr>
        <w:t>”</w:t>
      </w:r>
      <w:r>
        <w:rPr>
          <w:rFonts w:hint="eastAsia" w:ascii="Times New Roman" w:hAnsi="Times New Roman" w:cs="Times New Roman"/>
          <w:color w:val="auto"/>
          <w:sz w:val="24"/>
          <w:szCs w:val="24"/>
        </w:rPr>
        <w:t>失信被执行人、重大税收违法案件当事人名单、政府采购严重违法失信行为记录名单的网页打印件</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12)</w:t>
      </w:r>
      <w:r>
        <w:rPr>
          <w:rFonts w:hint="eastAsia" w:ascii="Times New Roman" w:hAnsi="Times New Roman" w:cs="Times New Roman"/>
          <w:color w:val="auto"/>
          <w:sz w:val="24"/>
          <w:szCs w:val="24"/>
        </w:rPr>
        <w:t>。</w:t>
      </w:r>
    </w:p>
    <w:p w14:paraId="0D1C102D">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13.</w:t>
      </w:r>
      <w:r>
        <w:rPr>
          <w:rFonts w:hint="eastAsia" w:ascii="Times New Roman" w:hAnsi="Times New Roman" w:cs="Times New Roman"/>
          <w:color w:val="auto"/>
          <w:sz w:val="24"/>
          <w:szCs w:val="24"/>
        </w:rPr>
        <w:t>政府采购政策情况表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r>
        <w:rPr>
          <w:rFonts w:hint="eastAsia" w:ascii="Times New Roman" w:hAnsi="Times New Roman" w:cs="Times New Roman"/>
          <w:color w:val="auto"/>
          <w:sz w:val="24"/>
          <w:szCs w:val="24"/>
        </w:rPr>
        <w:t>；</w:t>
      </w:r>
    </w:p>
    <w:p w14:paraId="69FFBF89">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14.</w:t>
      </w:r>
      <w:r>
        <w:rPr>
          <w:rFonts w:hint="eastAsia" w:ascii="Times New Roman" w:hAnsi="Times New Roman" w:cs="Times New Roman"/>
          <w:color w:val="auto"/>
          <w:sz w:val="24"/>
          <w:szCs w:val="24"/>
        </w:rPr>
        <w:t>《中小企业声明函》、《残疾人福利性单位声明函》、属于监狱企业的证明文件等（如果有的话）</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w:t>
      </w:r>
      <w:r>
        <w:rPr>
          <w:rFonts w:hint="eastAsia" w:ascii="Times New Roman" w:hAnsi="Times New Roman" w:cs="Times New Roman"/>
          <w:color w:val="auto"/>
          <w:sz w:val="24"/>
          <w:szCs w:val="24"/>
        </w:rPr>
        <w:t>。</w:t>
      </w:r>
    </w:p>
    <w:p w14:paraId="489CD806">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15.</w:t>
      </w:r>
      <w:r>
        <w:rPr>
          <w:rFonts w:hint="eastAsia" w:ascii="Times New Roman" w:hAnsi="Times New Roman" w:cs="Times New Roman"/>
          <w:color w:val="auto"/>
          <w:sz w:val="24"/>
          <w:szCs w:val="24"/>
        </w:rPr>
        <w:t>本文件要求提供的其他资格证明文件及资料。</w:t>
      </w:r>
    </w:p>
    <w:p w14:paraId="36688515">
      <w:pPr>
        <w:pStyle w:val="22"/>
        <w:keepNext w:val="0"/>
        <w:keepLines w:val="0"/>
        <w:pageBreakBefore w:val="0"/>
        <w:widowControl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在此，我方宣布同意如下：</w:t>
      </w:r>
    </w:p>
    <w:p w14:paraId="6C94AEE4">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将按响应文件的规定履行合同责任和义务；</w:t>
      </w:r>
    </w:p>
    <w:p w14:paraId="6A807D69">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响应文件中提供的证照、证书、资料等复印件均为原件复印，并对真实性、合法性承担法律责任；</w:t>
      </w:r>
    </w:p>
    <w:p w14:paraId="3E047823">
      <w:pPr>
        <w:pStyle w:val="22"/>
        <w:keepNext w:val="0"/>
        <w:keepLines w:val="0"/>
        <w:pageBreakBefore w:val="0"/>
        <w:widowControl w:val="0"/>
        <w:kinsoku/>
        <w:wordWrap/>
        <w:overflowPunct/>
        <w:topLinePunct w:val="0"/>
        <w:bidi w:val="0"/>
        <w:adjustRightInd/>
        <w:spacing w:line="440" w:lineRule="exac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Pr>
          <w:rFonts w:hint="eastAsia" w:ascii="Times New Roman" w:hAnsi="Times New Roman" w:cs="Times New Roman"/>
          <w:color w:val="auto"/>
          <w:sz w:val="24"/>
          <w:szCs w:val="24"/>
        </w:rPr>
        <w:t>已详细审查全部竞争性磋商文件，包括第（编号、补遗书）（如果有的话）；我们完全理解并同意放弃对这方面有不明及误解的权力；</w:t>
      </w:r>
    </w:p>
    <w:p w14:paraId="7F07C00F">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4. </w:t>
      </w:r>
      <w:r>
        <w:rPr>
          <w:rFonts w:hint="eastAsia" w:ascii="Times New Roman" w:hAnsi="Times New Roman" w:cs="Times New Roman"/>
          <w:color w:val="auto"/>
          <w:sz w:val="24"/>
          <w:szCs w:val="24"/>
        </w:rPr>
        <w:t>本响应文件有效期为自磋商之日起</w:t>
      </w:r>
      <w:r>
        <w:rPr>
          <w:rFonts w:hint="eastAsia" w:ascii="Times New Roman" w:hAnsi="Times New Roman" w:cs="Times New Roman"/>
          <w:color w:val="auto"/>
          <w:sz w:val="24"/>
          <w:szCs w:val="24"/>
          <w:u w:val="single"/>
        </w:rPr>
        <w:t>（）</w:t>
      </w:r>
      <w:r>
        <w:rPr>
          <w:rFonts w:hint="eastAsia" w:ascii="Times New Roman" w:hAnsi="Times New Roman" w:cs="Times New Roman"/>
          <w:color w:val="auto"/>
          <w:sz w:val="24"/>
          <w:szCs w:val="24"/>
        </w:rPr>
        <w:t>个日历日；</w:t>
      </w:r>
    </w:p>
    <w:p w14:paraId="2DF85A77">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5. </w:t>
      </w:r>
      <w:r>
        <w:rPr>
          <w:rFonts w:hint="eastAsia" w:ascii="Times New Roman" w:hAnsi="Times New Roman" w:cs="Times New Roman"/>
          <w:color w:val="auto"/>
          <w:sz w:val="24"/>
          <w:szCs w:val="24"/>
        </w:rPr>
        <w:t>同意提供按照贵方可能要求的与其磋商有关的一切数据或资料；</w:t>
      </w:r>
    </w:p>
    <w:p w14:paraId="6462B0B0">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与本磋商有关的一切正式往来信函请寄：</w:t>
      </w:r>
    </w:p>
    <w:p w14:paraId="3D2DCFFE">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地址：</w:t>
      </w:r>
    </w:p>
    <w:p w14:paraId="3A62F7B0">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电话</w:t>
      </w:r>
      <w:r>
        <w:rPr>
          <w:rFonts w:ascii="Times New Roman" w:hAnsi="Times New Roman" w:cs="Times New Roman"/>
          <w:color w:val="auto"/>
          <w:sz w:val="24"/>
          <w:szCs w:val="24"/>
        </w:rPr>
        <w:t>/</w:t>
      </w:r>
      <w:r>
        <w:rPr>
          <w:rFonts w:hint="eastAsia" w:ascii="Times New Roman" w:hAnsi="Times New Roman" w:cs="Times New Roman"/>
          <w:color w:val="auto"/>
          <w:sz w:val="24"/>
          <w:szCs w:val="24"/>
        </w:rPr>
        <w:t>传真：</w:t>
      </w:r>
    </w:p>
    <w:p w14:paraId="45983091">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电子信箱：</w:t>
      </w:r>
    </w:p>
    <w:p w14:paraId="5D4A3389">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磋商供应商（授权）代表、或自然人签字：</w:t>
      </w:r>
    </w:p>
    <w:p w14:paraId="481BD360">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磋商供应商名称（公章）：</w:t>
      </w:r>
    </w:p>
    <w:p w14:paraId="357BD8B0">
      <w:pPr>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eastAsia="宋体" w:cs="Times New Roman"/>
          <w:color w:val="auto"/>
          <w:sz w:val="24"/>
          <w:szCs w:val="24"/>
        </w:rPr>
      </w:pPr>
      <w:r>
        <w:rPr>
          <w:rFonts w:hint="eastAsia" w:ascii="Times New Roman" w:hAnsi="Times New Roman" w:cs="Times New Roman"/>
          <w:color w:val="auto"/>
          <w:sz w:val="24"/>
          <w:szCs w:val="24"/>
        </w:rPr>
        <w:t>日期：</w:t>
      </w:r>
      <w:r>
        <w:rPr>
          <w:rFonts w:ascii="Times New Roman" w:hAnsi="Times New Roman" w:cs="Times New Roman"/>
          <w:color w:val="auto"/>
          <w:sz w:val="24"/>
          <w:szCs w:val="24"/>
        </w:rPr>
        <w:br w:type="page"/>
      </w:r>
    </w:p>
    <w:p w14:paraId="0605A316">
      <w:pPr>
        <w:pStyle w:val="22"/>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rPr>
      </w:pPr>
      <w:bookmarkStart w:id="72" w:name="_Toc19724"/>
      <w:r>
        <w:rPr>
          <w:rFonts w:hint="eastAsia" w:ascii="Times New Roman" w:hAnsi="Times New Roman" w:cs="Times New Roman" w:eastAsiaTheme="majorEastAsia"/>
          <w:color w:val="auto"/>
          <w:sz w:val="24"/>
          <w:szCs w:val="24"/>
        </w:rPr>
        <w:t>附件</w:t>
      </w:r>
      <w:r>
        <w:rPr>
          <w:rFonts w:ascii="Times New Roman" w:hAnsi="Times New Roman" w:cs="Times New Roman" w:eastAsiaTheme="majorEastAsia"/>
          <w:color w:val="auto"/>
          <w:sz w:val="24"/>
          <w:szCs w:val="24"/>
        </w:rPr>
        <w:t>2</w:t>
      </w:r>
      <w:bookmarkEnd w:id="72"/>
      <w:r>
        <w:rPr>
          <w:rFonts w:hint="eastAsia" w:ascii="Times New Roman" w:hAnsi="Times New Roman" w:cs="Times New Roman" w:eastAsiaTheme="majorEastAsia"/>
          <w:color w:val="auto"/>
          <w:sz w:val="24"/>
          <w:szCs w:val="24"/>
          <w:lang w:eastAsia="zh-CN"/>
        </w:rPr>
        <w:t>：</w:t>
      </w:r>
      <w:r>
        <w:rPr>
          <w:rFonts w:hint="eastAsia" w:ascii="Times New Roman" w:hAnsi="Times New Roman" w:cs="Times New Roman"/>
          <w:color w:val="auto"/>
          <w:sz w:val="24"/>
          <w:szCs w:val="24"/>
        </w:rPr>
        <w:t>报价组成情况表</w:t>
      </w:r>
    </w:p>
    <w:p w14:paraId="1BCE1439">
      <w:pPr>
        <w:pStyle w:val="22"/>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lang w:eastAsia="zh-CN"/>
        </w:rPr>
      </w:pPr>
    </w:p>
    <w:p w14:paraId="0A517384">
      <w:pPr>
        <w:keepNext w:val="0"/>
        <w:keepLines w:val="0"/>
        <w:pageBreakBefore w:val="0"/>
        <w:kinsoku/>
        <w:wordWrap/>
        <w:overflowPunct/>
        <w:topLinePunct w:val="0"/>
        <w:bidi w:val="0"/>
        <w:adjustRightInd/>
        <w:ind w:right="0" w:rightChars="0" w:firstLine="3240" w:firstLineChars="13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报价组成情况表</w:t>
      </w:r>
    </w:p>
    <w:p w14:paraId="51ABBD5A">
      <w:pPr>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eastAsia="仿宋_GB2312" w:cs="Times New Roman"/>
          <w:color w:val="auto"/>
          <w:sz w:val="24"/>
          <w:szCs w:val="24"/>
        </w:rPr>
      </w:pPr>
    </w:p>
    <w:p w14:paraId="2E09BF6A">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14:paraId="5B7DF71E">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eastAsia="仿宋_GB2312" w:cs="Times New Roman"/>
          <w:color w:val="auto"/>
          <w:sz w:val="24"/>
          <w:szCs w:val="24"/>
          <w:u w:val="single"/>
        </w:rPr>
      </w:pPr>
      <w:r>
        <w:rPr>
          <w:rFonts w:hint="eastAsia" w:ascii="Times New Roman" w:hAnsi="Times New Roman" w:cs="Times New Roman"/>
          <w:color w:val="auto"/>
          <w:sz w:val="24"/>
          <w:szCs w:val="24"/>
        </w:rPr>
        <w:t>项目名称：</w:t>
      </w:r>
    </w:p>
    <w:tbl>
      <w:tblPr>
        <w:tblStyle w:val="41"/>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FDAFD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left w:val="single" w:color="auto" w:sz="4" w:space="0"/>
              <w:bottom w:val="single" w:color="auto" w:sz="6" w:space="0"/>
              <w:right w:val="single" w:color="auto" w:sz="6" w:space="0"/>
            </w:tcBorders>
            <w:vAlign w:val="center"/>
          </w:tcPr>
          <w:p w14:paraId="70A634C0">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序号</w:t>
            </w:r>
          </w:p>
        </w:tc>
        <w:tc>
          <w:tcPr>
            <w:tcW w:w="1868" w:type="dxa"/>
            <w:tcBorders>
              <w:top w:val="single" w:color="auto" w:sz="4" w:space="0"/>
              <w:left w:val="single" w:color="auto" w:sz="6" w:space="0"/>
              <w:bottom w:val="single" w:color="auto" w:sz="6" w:space="0"/>
              <w:right w:val="single" w:color="auto" w:sz="6" w:space="0"/>
            </w:tcBorders>
            <w:vAlign w:val="center"/>
          </w:tcPr>
          <w:p w14:paraId="1EF865BD">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名称（服务）</w:t>
            </w:r>
          </w:p>
        </w:tc>
        <w:tc>
          <w:tcPr>
            <w:tcW w:w="1236" w:type="dxa"/>
            <w:tcBorders>
              <w:top w:val="single" w:color="auto" w:sz="4" w:space="0"/>
              <w:left w:val="single" w:color="auto" w:sz="6" w:space="0"/>
              <w:bottom w:val="single" w:color="auto" w:sz="6" w:space="0"/>
              <w:right w:val="single" w:color="auto" w:sz="6" w:space="0"/>
            </w:tcBorders>
            <w:vAlign w:val="center"/>
          </w:tcPr>
          <w:p w14:paraId="79723552">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规格型号</w:t>
            </w:r>
          </w:p>
        </w:tc>
        <w:tc>
          <w:tcPr>
            <w:tcW w:w="805" w:type="dxa"/>
            <w:tcBorders>
              <w:top w:val="single" w:color="auto" w:sz="4" w:space="0"/>
              <w:left w:val="single" w:color="auto" w:sz="6" w:space="0"/>
              <w:bottom w:val="single" w:color="auto" w:sz="6" w:space="0"/>
              <w:right w:val="single" w:color="auto" w:sz="6" w:space="0"/>
            </w:tcBorders>
            <w:vAlign w:val="center"/>
          </w:tcPr>
          <w:p w14:paraId="785101E8">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数量</w:t>
            </w:r>
          </w:p>
        </w:tc>
        <w:tc>
          <w:tcPr>
            <w:tcW w:w="1653" w:type="dxa"/>
            <w:tcBorders>
              <w:top w:val="single" w:color="auto" w:sz="4" w:space="0"/>
              <w:left w:val="single" w:color="auto" w:sz="6" w:space="0"/>
              <w:bottom w:val="single" w:color="auto" w:sz="6" w:space="0"/>
              <w:right w:val="single" w:color="auto" w:sz="6" w:space="0"/>
            </w:tcBorders>
            <w:vAlign w:val="center"/>
          </w:tcPr>
          <w:p w14:paraId="77C540AC">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制造商名称</w:t>
            </w:r>
          </w:p>
        </w:tc>
        <w:tc>
          <w:tcPr>
            <w:tcW w:w="912" w:type="dxa"/>
            <w:tcBorders>
              <w:top w:val="single" w:color="auto" w:sz="4" w:space="0"/>
              <w:left w:val="single" w:color="auto" w:sz="6" w:space="0"/>
              <w:bottom w:val="single" w:color="auto" w:sz="6" w:space="0"/>
              <w:right w:val="single" w:color="auto" w:sz="6" w:space="0"/>
            </w:tcBorders>
            <w:vAlign w:val="center"/>
          </w:tcPr>
          <w:p w14:paraId="1A6C24BA">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单价</w:t>
            </w:r>
          </w:p>
        </w:tc>
        <w:tc>
          <w:tcPr>
            <w:tcW w:w="1136" w:type="dxa"/>
            <w:tcBorders>
              <w:top w:val="single" w:color="auto" w:sz="4" w:space="0"/>
              <w:left w:val="single" w:color="auto" w:sz="6" w:space="0"/>
              <w:bottom w:val="single" w:color="auto" w:sz="6" w:space="0"/>
              <w:right w:val="single" w:color="auto" w:sz="4" w:space="0"/>
            </w:tcBorders>
            <w:vAlign w:val="center"/>
          </w:tcPr>
          <w:p w14:paraId="27BE75D8">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备注</w:t>
            </w:r>
          </w:p>
        </w:tc>
      </w:tr>
      <w:tr w14:paraId="6061B3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4" w:space="0"/>
              <w:right w:val="single" w:color="auto" w:sz="6" w:space="0"/>
            </w:tcBorders>
            <w:vAlign w:val="center"/>
          </w:tcPr>
          <w:p w14:paraId="1FA1E7B2">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868" w:type="dxa"/>
            <w:tcBorders>
              <w:top w:val="single" w:color="auto" w:sz="6" w:space="0"/>
              <w:left w:val="single" w:color="auto" w:sz="6" w:space="0"/>
              <w:bottom w:val="single" w:color="auto" w:sz="6" w:space="0"/>
              <w:right w:val="single" w:color="auto" w:sz="6" w:space="0"/>
            </w:tcBorders>
            <w:vAlign w:val="center"/>
          </w:tcPr>
          <w:p w14:paraId="4AD1FF74">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14:paraId="47E00C7A">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14:paraId="727E3F1B">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14:paraId="558F8F90">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14:paraId="4FE8574A">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14:paraId="63184065">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50BF4E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left w:val="single" w:color="auto" w:sz="4" w:space="0"/>
              <w:bottom w:val="single" w:color="auto" w:sz="6" w:space="0"/>
              <w:right w:val="single" w:color="auto" w:sz="6" w:space="0"/>
            </w:tcBorders>
            <w:vAlign w:val="center"/>
          </w:tcPr>
          <w:p w14:paraId="4C602EB6">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868" w:type="dxa"/>
            <w:tcBorders>
              <w:top w:val="single" w:color="auto" w:sz="6" w:space="0"/>
              <w:left w:val="single" w:color="auto" w:sz="6" w:space="0"/>
              <w:bottom w:val="single" w:color="auto" w:sz="6" w:space="0"/>
              <w:right w:val="single" w:color="auto" w:sz="6" w:space="0"/>
            </w:tcBorders>
            <w:vAlign w:val="center"/>
          </w:tcPr>
          <w:p w14:paraId="62E8D088">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36" w:type="dxa"/>
            <w:tcBorders>
              <w:top w:val="single" w:color="auto" w:sz="6" w:space="0"/>
              <w:left w:val="single" w:color="auto" w:sz="6" w:space="0"/>
              <w:bottom w:val="single" w:color="auto" w:sz="6" w:space="0"/>
              <w:right w:val="single" w:color="auto" w:sz="6" w:space="0"/>
            </w:tcBorders>
            <w:vAlign w:val="center"/>
          </w:tcPr>
          <w:p w14:paraId="216AFC49">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14:paraId="03167970">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14:paraId="4C45FC36">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14:paraId="222D2B33">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14:paraId="3512E1CD">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577B54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14:paraId="1EFDFFCF">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1868" w:type="dxa"/>
            <w:tcBorders>
              <w:top w:val="single" w:color="auto" w:sz="6" w:space="0"/>
              <w:left w:val="single" w:color="auto" w:sz="6" w:space="0"/>
              <w:bottom w:val="single" w:color="auto" w:sz="6" w:space="0"/>
              <w:right w:val="single" w:color="auto" w:sz="6" w:space="0"/>
            </w:tcBorders>
            <w:vAlign w:val="center"/>
          </w:tcPr>
          <w:p w14:paraId="5ADF07EB">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14:paraId="4B828A28">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14:paraId="714171E4">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14:paraId="12635827">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14:paraId="1D082BF2">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14:paraId="1F07A2D4">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4FA2D1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14:paraId="36845CB8">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1868" w:type="dxa"/>
            <w:tcBorders>
              <w:top w:val="single" w:color="auto" w:sz="6" w:space="0"/>
              <w:left w:val="single" w:color="auto" w:sz="6" w:space="0"/>
              <w:bottom w:val="single" w:color="auto" w:sz="6" w:space="0"/>
              <w:right w:val="single" w:color="auto" w:sz="6" w:space="0"/>
            </w:tcBorders>
            <w:vAlign w:val="center"/>
          </w:tcPr>
          <w:p w14:paraId="1DE4B434">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14:paraId="3ED7AE18">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14:paraId="2E08CF3F">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14:paraId="381455CF">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14:paraId="68C2E5B9">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14:paraId="49AAD1D2">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16D46D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14:paraId="6A5432E7">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1868" w:type="dxa"/>
            <w:tcBorders>
              <w:top w:val="single" w:color="auto" w:sz="6" w:space="0"/>
              <w:left w:val="single" w:color="auto" w:sz="6" w:space="0"/>
              <w:bottom w:val="single" w:color="auto" w:sz="6" w:space="0"/>
              <w:right w:val="single" w:color="auto" w:sz="6" w:space="0"/>
            </w:tcBorders>
            <w:vAlign w:val="center"/>
          </w:tcPr>
          <w:p w14:paraId="0416CC17">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36" w:type="dxa"/>
            <w:tcBorders>
              <w:top w:val="single" w:color="auto" w:sz="6" w:space="0"/>
              <w:left w:val="single" w:color="auto" w:sz="6" w:space="0"/>
              <w:bottom w:val="single" w:color="auto" w:sz="6" w:space="0"/>
              <w:right w:val="single" w:color="auto" w:sz="6" w:space="0"/>
            </w:tcBorders>
            <w:vAlign w:val="center"/>
          </w:tcPr>
          <w:p w14:paraId="799835F9">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14:paraId="75834893">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14:paraId="596B88C5">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14:paraId="1401961F">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14:paraId="3F7379A8">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7946F2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14:paraId="6402D0A2">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1868" w:type="dxa"/>
            <w:tcBorders>
              <w:top w:val="single" w:color="auto" w:sz="6" w:space="0"/>
              <w:left w:val="single" w:color="auto" w:sz="6" w:space="0"/>
              <w:bottom w:val="single" w:color="auto" w:sz="6" w:space="0"/>
              <w:right w:val="single" w:color="auto" w:sz="6" w:space="0"/>
            </w:tcBorders>
            <w:vAlign w:val="center"/>
          </w:tcPr>
          <w:p w14:paraId="6FBB6A52">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其它</w:t>
            </w:r>
          </w:p>
        </w:tc>
        <w:tc>
          <w:tcPr>
            <w:tcW w:w="1236" w:type="dxa"/>
            <w:tcBorders>
              <w:top w:val="single" w:color="auto" w:sz="6" w:space="0"/>
              <w:left w:val="single" w:color="auto" w:sz="6" w:space="0"/>
              <w:bottom w:val="single" w:color="auto" w:sz="6" w:space="0"/>
              <w:right w:val="single" w:color="auto" w:sz="6" w:space="0"/>
            </w:tcBorders>
            <w:vAlign w:val="center"/>
          </w:tcPr>
          <w:p w14:paraId="47934120">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14:paraId="54ED72EA">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14:paraId="4C89AB49">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14:paraId="4712D00E">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14:paraId="668E86C6">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3155B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tcBorders>
              <w:top w:val="single" w:color="auto" w:sz="6" w:space="0"/>
              <w:left w:val="single" w:color="auto" w:sz="4" w:space="0"/>
              <w:bottom w:val="single" w:color="auto" w:sz="4" w:space="0"/>
              <w:right w:val="single" w:color="auto" w:sz="6" w:space="0"/>
            </w:tcBorders>
            <w:vAlign w:val="center"/>
          </w:tcPr>
          <w:p w14:paraId="58276F79">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总计</w:t>
            </w:r>
          </w:p>
        </w:tc>
        <w:tc>
          <w:tcPr>
            <w:tcW w:w="2048" w:type="dxa"/>
            <w:gridSpan w:val="2"/>
            <w:tcBorders>
              <w:top w:val="single" w:color="auto" w:sz="6" w:space="0"/>
              <w:left w:val="single" w:color="auto" w:sz="6" w:space="0"/>
              <w:bottom w:val="single" w:color="auto" w:sz="4" w:space="0"/>
              <w:right w:val="single" w:color="auto" w:sz="4" w:space="0"/>
            </w:tcBorders>
            <w:vAlign w:val="center"/>
          </w:tcPr>
          <w:p w14:paraId="22D5729C">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bl>
    <w:p w14:paraId="3B65F84C">
      <w:pPr>
        <w:keepNext w:val="0"/>
        <w:keepLines w:val="0"/>
        <w:pageBreakBefore w:val="0"/>
        <w:kinsoku/>
        <w:wordWrap/>
        <w:overflowPunct/>
        <w:topLinePunct w:val="0"/>
        <w:bidi w:val="0"/>
        <w:adjustRightInd/>
        <w:spacing w:line="240" w:lineRule="atLeast"/>
        <w:ind w:right="0" w:rightChars="0" w:firstLine="360" w:firstLine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注：本表仅作为磋商小组了解报价组成情况，不作为最后成交报价。</w:t>
      </w:r>
    </w:p>
    <w:p w14:paraId="4496C029">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rPr>
      </w:pPr>
    </w:p>
    <w:p w14:paraId="0C278ED3">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14:paraId="7C3DB415">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14:paraId="31AA5044">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14:paraId="65E7CF58">
      <w:pPr>
        <w:pStyle w:val="22"/>
        <w:keepNext w:val="0"/>
        <w:keepLines w:val="0"/>
        <w:pageBreakBefore w:val="0"/>
        <w:kinsoku/>
        <w:wordWrap/>
        <w:overflowPunct/>
        <w:topLinePunct w:val="0"/>
        <w:bidi w:val="0"/>
        <w:adjustRightInd/>
        <w:spacing w:line="440" w:lineRule="exact"/>
        <w:ind w:right="0" w:rightChars="0" w:firstLine="840"/>
        <w:textAlignment w:val="auto"/>
        <w:rPr>
          <w:rFonts w:ascii="Times New Roman" w:hAnsi="Times New Roman" w:eastAsia="仿宋_GB2312" w:cs="Times New Roman"/>
          <w:color w:val="auto"/>
          <w:sz w:val="24"/>
          <w:szCs w:val="24"/>
        </w:rPr>
      </w:pPr>
    </w:p>
    <w:p w14:paraId="7A9B67B0">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14:paraId="4A529A3E">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14:paraId="7D9E6EE3">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color w:val="auto"/>
          <w:sz w:val="24"/>
          <w:szCs w:val="24"/>
        </w:rPr>
      </w:pPr>
      <w:r>
        <w:rPr>
          <w:rFonts w:ascii="Times New Roman" w:hAnsi="Times New Roman" w:cs="Times New Roman"/>
          <w:bCs/>
          <w:color w:val="auto"/>
          <w:sz w:val="24"/>
          <w:szCs w:val="24"/>
        </w:rPr>
        <w:br w:type="page"/>
      </w:r>
      <w:bookmarkStart w:id="73" w:name="_Toc1791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bookmarkEnd w:id="73"/>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货物（服务）清单</w:t>
      </w:r>
    </w:p>
    <w:p w14:paraId="76747D68">
      <w:pPr>
        <w:pStyle w:val="27"/>
        <w:rPr>
          <w:rFonts w:hint="eastAsia"/>
          <w:lang w:eastAsia="zh-CN"/>
        </w:rPr>
      </w:pPr>
    </w:p>
    <w:p w14:paraId="727BE7E3">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货物（服务）清单</w:t>
      </w:r>
    </w:p>
    <w:p w14:paraId="2821D4FD">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p>
    <w:p w14:paraId="78E63745">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14:paraId="6A742444">
      <w:pPr>
        <w:keepNext w:val="0"/>
        <w:keepLines w:val="0"/>
        <w:pageBreakBefore w:val="0"/>
        <w:kinsoku/>
        <w:wordWrap/>
        <w:overflowPunct/>
        <w:topLinePunct w:val="0"/>
        <w:bidi w:val="0"/>
        <w:adjustRightInd/>
        <w:ind w:right="0" w:rightChars="0"/>
        <w:textAlignment w:val="auto"/>
        <w:rPr>
          <w:rFonts w:ascii="Times New Roman" w:hAnsi="Times New Roman" w:cs="Times New Roman"/>
          <w:b/>
          <w:bCs/>
          <w:color w:val="auto"/>
          <w:sz w:val="24"/>
          <w:szCs w:val="24"/>
        </w:rPr>
      </w:pPr>
      <w:r>
        <w:rPr>
          <w:rFonts w:hint="eastAsia" w:ascii="Times New Roman" w:hAnsi="Times New Roman" w:cs="Times New Roman"/>
          <w:color w:val="auto"/>
          <w:sz w:val="24"/>
          <w:szCs w:val="24"/>
        </w:rPr>
        <w:t>项目名称：</w:t>
      </w:r>
    </w:p>
    <w:tbl>
      <w:tblPr>
        <w:tblStyle w:val="41"/>
        <w:tblW w:w="865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0"/>
        <w:gridCol w:w="2185"/>
        <w:gridCol w:w="1558"/>
        <w:gridCol w:w="1559"/>
        <w:gridCol w:w="1700"/>
        <w:gridCol w:w="1133"/>
      </w:tblGrid>
      <w:tr w14:paraId="256DF9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4" w:space="0"/>
              <w:left w:val="single" w:color="auto" w:sz="4" w:space="0"/>
              <w:bottom w:val="single" w:color="auto" w:sz="6" w:space="0"/>
              <w:right w:val="single" w:color="auto" w:sz="6" w:space="0"/>
            </w:tcBorders>
            <w:vAlign w:val="center"/>
          </w:tcPr>
          <w:p w14:paraId="6149F832">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序号</w:t>
            </w:r>
          </w:p>
        </w:tc>
        <w:tc>
          <w:tcPr>
            <w:tcW w:w="2187" w:type="dxa"/>
            <w:tcBorders>
              <w:top w:val="single" w:color="auto" w:sz="4" w:space="0"/>
              <w:left w:val="single" w:color="auto" w:sz="6" w:space="0"/>
              <w:bottom w:val="single" w:color="auto" w:sz="6" w:space="0"/>
              <w:right w:val="single" w:color="auto" w:sz="6" w:space="0"/>
            </w:tcBorders>
            <w:vAlign w:val="center"/>
          </w:tcPr>
          <w:p w14:paraId="6A0F87C9">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货物（服务）名称</w:t>
            </w:r>
          </w:p>
        </w:tc>
        <w:tc>
          <w:tcPr>
            <w:tcW w:w="1559" w:type="dxa"/>
            <w:tcBorders>
              <w:top w:val="single" w:color="auto" w:sz="4" w:space="0"/>
              <w:left w:val="single" w:color="auto" w:sz="6" w:space="0"/>
              <w:bottom w:val="single" w:color="auto" w:sz="6" w:space="0"/>
              <w:right w:val="single" w:color="auto" w:sz="4" w:space="0"/>
            </w:tcBorders>
            <w:vAlign w:val="center"/>
          </w:tcPr>
          <w:p w14:paraId="1D476FBD">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制造商名称</w:t>
            </w:r>
          </w:p>
        </w:tc>
        <w:tc>
          <w:tcPr>
            <w:tcW w:w="1560" w:type="dxa"/>
            <w:tcBorders>
              <w:top w:val="single" w:color="auto" w:sz="4" w:space="0"/>
              <w:left w:val="single" w:color="auto" w:sz="4" w:space="0"/>
              <w:bottom w:val="single" w:color="auto" w:sz="6" w:space="0"/>
              <w:right w:val="single" w:color="auto" w:sz="6" w:space="0"/>
            </w:tcBorders>
            <w:vAlign w:val="center"/>
          </w:tcPr>
          <w:p w14:paraId="23E7890C">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生产地</w:t>
            </w:r>
          </w:p>
        </w:tc>
        <w:tc>
          <w:tcPr>
            <w:tcW w:w="1701" w:type="dxa"/>
            <w:tcBorders>
              <w:top w:val="single" w:color="auto" w:sz="4" w:space="0"/>
              <w:left w:val="single" w:color="auto" w:sz="6" w:space="0"/>
              <w:bottom w:val="single" w:color="auto" w:sz="6" w:space="0"/>
              <w:right w:val="single" w:color="auto" w:sz="6" w:space="0"/>
            </w:tcBorders>
            <w:vAlign w:val="center"/>
          </w:tcPr>
          <w:p w14:paraId="20C8C709">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规格型号</w:t>
            </w:r>
          </w:p>
        </w:tc>
        <w:tc>
          <w:tcPr>
            <w:tcW w:w="1134" w:type="dxa"/>
            <w:tcBorders>
              <w:top w:val="single" w:color="auto" w:sz="4" w:space="0"/>
              <w:left w:val="single" w:color="auto" w:sz="6" w:space="0"/>
              <w:bottom w:val="single" w:color="auto" w:sz="6" w:space="0"/>
              <w:right w:val="single" w:color="auto" w:sz="4" w:space="0"/>
            </w:tcBorders>
            <w:vAlign w:val="center"/>
          </w:tcPr>
          <w:p w14:paraId="483F97B0">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数量</w:t>
            </w:r>
          </w:p>
        </w:tc>
      </w:tr>
      <w:tr w14:paraId="73F8EA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14:paraId="7D2EC3B1">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2187" w:type="dxa"/>
            <w:tcBorders>
              <w:top w:val="single" w:color="auto" w:sz="6" w:space="0"/>
              <w:left w:val="single" w:color="auto" w:sz="6" w:space="0"/>
              <w:bottom w:val="single" w:color="auto" w:sz="6" w:space="0"/>
              <w:right w:val="single" w:color="auto" w:sz="6" w:space="0"/>
            </w:tcBorders>
            <w:vAlign w:val="center"/>
          </w:tcPr>
          <w:p w14:paraId="3A278E56">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14:paraId="2B4243FB">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14:paraId="5658823A">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6F2544D1">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14:paraId="7401822F">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6F02B3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14:paraId="0C7479D8">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187" w:type="dxa"/>
            <w:tcBorders>
              <w:top w:val="single" w:color="auto" w:sz="6" w:space="0"/>
              <w:left w:val="single" w:color="auto" w:sz="6" w:space="0"/>
              <w:bottom w:val="single" w:color="auto" w:sz="6" w:space="0"/>
              <w:right w:val="single" w:color="auto" w:sz="6" w:space="0"/>
            </w:tcBorders>
            <w:vAlign w:val="center"/>
          </w:tcPr>
          <w:p w14:paraId="10C68E15">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14:paraId="0CF913E2">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14:paraId="440D2E21">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7BA35DE9">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14:paraId="67C9CEEF">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28C38A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14:paraId="4B3A8526">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2187" w:type="dxa"/>
            <w:tcBorders>
              <w:top w:val="single" w:color="auto" w:sz="6" w:space="0"/>
              <w:left w:val="single" w:color="auto" w:sz="6" w:space="0"/>
              <w:bottom w:val="single" w:color="auto" w:sz="6" w:space="0"/>
              <w:right w:val="single" w:color="auto" w:sz="6" w:space="0"/>
            </w:tcBorders>
            <w:vAlign w:val="center"/>
          </w:tcPr>
          <w:p w14:paraId="270D1E90">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14:paraId="4E551598">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14:paraId="0A793AB6">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55DABCED">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14:paraId="0277CF52">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41E710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14:paraId="34D5A03D">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2187" w:type="dxa"/>
            <w:tcBorders>
              <w:top w:val="single" w:color="auto" w:sz="6" w:space="0"/>
              <w:left w:val="single" w:color="auto" w:sz="6" w:space="0"/>
              <w:bottom w:val="single" w:color="auto" w:sz="6" w:space="0"/>
              <w:right w:val="single" w:color="auto" w:sz="6" w:space="0"/>
            </w:tcBorders>
            <w:vAlign w:val="center"/>
          </w:tcPr>
          <w:p w14:paraId="7C10A9CC">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14:paraId="3954074C">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14:paraId="08F3EC1D">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79EFB194">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14:paraId="63B5BBBA">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5BCBC5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14:paraId="5B76E74F">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2187" w:type="dxa"/>
            <w:tcBorders>
              <w:top w:val="single" w:color="auto" w:sz="6" w:space="0"/>
              <w:left w:val="single" w:color="auto" w:sz="6" w:space="0"/>
              <w:bottom w:val="single" w:color="auto" w:sz="6" w:space="0"/>
              <w:right w:val="single" w:color="auto" w:sz="6" w:space="0"/>
            </w:tcBorders>
            <w:vAlign w:val="center"/>
          </w:tcPr>
          <w:p w14:paraId="0C8BE5EB">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14:paraId="6E76AB1F">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14:paraId="77A51041">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421B3B94">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14:paraId="3C5A589D">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05551D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14:paraId="5DE09F47">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2187" w:type="dxa"/>
            <w:tcBorders>
              <w:top w:val="single" w:color="auto" w:sz="6" w:space="0"/>
              <w:left w:val="single" w:color="auto" w:sz="6" w:space="0"/>
              <w:bottom w:val="single" w:color="auto" w:sz="6" w:space="0"/>
              <w:right w:val="single" w:color="auto" w:sz="6" w:space="0"/>
            </w:tcBorders>
            <w:vAlign w:val="center"/>
          </w:tcPr>
          <w:p w14:paraId="20050C79">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14:paraId="2F073629">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14:paraId="2DDFAF4D">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6DE8BF72">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14:paraId="2995C89C">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5F91D3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14:paraId="7AB04162">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2187" w:type="dxa"/>
            <w:tcBorders>
              <w:top w:val="single" w:color="auto" w:sz="6" w:space="0"/>
              <w:left w:val="single" w:color="auto" w:sz="6" w:space="0"/>
              <w:bottom w:val="single" w:color="auto" w:sz="6" w:space="0"/>
              <w:right w:val="single" w:color="auto" w:sz="6" w:space="0"/>
            </w:tcBorders>
            <w:vAlign w:val="center"/>
          </w:tcPr>
          <w:p w14:paraId="1D9BBC30">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14:paraId="0636123C">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14:paraId="7ED97373">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705B2CA8">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14:paraId="722E483B">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39553F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14:paraId="7B16A22D">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2187" w:type="dxa"/>
            <w:tcBorders>
              <w:top w:val="single" w:color="auto" w:sz="6" w:space="0"/>
              <w:left w:val="single" w:color="auto" w:sz="6" w:space="0"/>
              <w:bottom w:val="single" w:color="auto" w:sz="6" w:space="0"/>
              <w:right w:val="single" w:color="auto" w:sz="6" w:space="0"/>
            </w:tcBorders>
            <w:vAlign w:val="center"/>
          </w:tcPr>
          <w:p w14:paraId="4AED32E5">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14:paraId="6129C044">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14:paraId="6538876F">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1DE7F4B3">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14:paraId="397604B3">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6E7F96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4" w:space="0"/>
              <w:right w:val="single" w:color="auto" w:sz="6" w:space="0"/>
            </w:tcBorders>
            <w:vAlign w:val="center"/>
          </w:tcPr>
          <w:p w14:paraId="71530B39">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2187" w:type="dxa"/>
            <w:tcBorders>
              <w:top w:val="single" w:color="auto" w:sz="6" w:space="0"/>
              <w:left w:val="single" w:color="auto" w:sz="6" w:space="0"/>
              <w:bottom w:val="single" w:color="auto" w:sz="4" w:space="0"/>
              <w:right w:val="single" w:color="auto" w:sz="6" w:space="0"/>
            </w:tcBorders>
            <w:vAlign w:val="center"/>
          </w:tcPr>
          <w:p w14:paraId="1863D194">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4" w:space="0"/>
              <w:right w:val="single" w:color="auto" w:sz="4" w:space="0"/>
            </w:tcBorders>
            <w:vAlign w:val="center"/>
          </w:tcPr>
          <w:p w14:paraId="6DC787EC">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4" w:space="0"/>
              <w:right w:val="single" w:color="auto" w:sz="6" w:space="0"/>
            </w:tcBorders>
            <w:vAlign w:val="center"/>
          </w:tcPr>
          <w:p w14:paraId="0994B958">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4" w:space="0"/>
              <w:right w:val="single" w:color="auto" w:sz="6" w:space="0"/>
            </w:tcBorders>
            <w:vAlign w:val="center"/>
          </w:tcPr>
          <w:p w14:paraId="79A7E3B7">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4" w:space="0"/>
              <w:right w:val="single" w:color="auto" w:sz="4" w:space="0"/>
            </w:tcBorders>
            <w:vAlign w:val="center"/>
          </w:tcPr>
          <w:p w14:paraId="370A24B4">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bl>
    <w:p w14:paraId="33DC9925">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说明：提供详细的货物和服务范围，包括货物和服务类别及制造（开发）商、备品备件等。</w:t>
      </w:r>
    </w:p>
    <w:p w14:paraId="63EBF4D6">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eastAsia="仿宋_GB2312" w:cs="Times New Roman"/>
          <w:color w:val="auto"/>
          <w:sz w:val="24"/>
          <w:szCs w:val="24"/>
        </w:rPr>
      </w:pPr>
    </w:p>
    <w:p w14:paraId="4A52CFC1">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14:paraId="11F5B39E">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14:paraId="11B37E6D">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14:paraId="097109E2">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74" w:name="_Toc6307"/>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bookmarkEnd w:id="74"/>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资格性符合性检查对照</w:t>
      </w:r>
    </w:p>
    <w:p w14:paraId="2BFB29C9">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资格性符合性检查对照表</w:t>
      </w:r>
    </w:p>
    <w:p w14:paraId="38464455">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14:paraId="0917642F">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4163"/>
        <w:gridCol w:w="1265"/>
        <w:gridCol w:w="1096"/>
        <w:gridCol w:w="1541"/>
      </w:tblGrid>
      <w:tr w14:paraId="500F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6779CA7F">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4164" w:type="dxa"/>
            <w:tcBorders>
              <w:top w:val="single" w:color="auto" w:sz="4" w:space="0"/>
              <w:left w:val="single" w:color="auto" w:sz="4" w:space="0"/>
              <w:bottom w:val="single" w:color="auto" w:sz="4" w:space="0"/>
              <w:right w:val="single" w:color="auto" w:sz="4" w:space="0"/>
            </w:tcBorders>
            <w:vAlign w:val="center"/>
          </w:tcPr>
          <w:p w14:paraId="188FF890">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资格性符合性检查内容</w:t>
            </w:r>
          </w:p>
        </w:tc>
        <w:tc>
          <w:tcPr>
            <w:tcW w:w="1265" w:type="dxa"/>
            <w:tcBorders>
              <w:top w:val="single" w:color="auto" w:sz="4" w:space="0"/>
              <w:left w:val="single" w:color="auto" w:sz="4" w:space="0"/>
              <w:bottom w:val="single" w:color="auto" w:sz="4" w:space="0"/>
              <w:right w:val="single" w:color="auto" w:sz="4" w:space="0"/>
            </w:tcBorders>
            <w:vAlign w:val="center"/>
          </w:tcPr>
          <w:p w14:paraId="706C6CBC">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响应文件响应情况</w:t>
            </w:r>
          </w:p>
        </w:tc>
        <w:tc>
          <w:tcPr>
            <w:tcW w:w="1096" w:type="dxa"/>
            <w:tcBorders>
              <w:top w:val="single" w:color="auto" w:sz="4" w:space="0"/>
              <w:left w:val="single" w:color="auto" w:sz="4" w:space="0"/>
              <w:bottom w:val="single" w:color="auto" w:sz="4" w:space="0"/>
              <w:right w:val="single" w:color="auto" w:sz="4" w:space="0"/>
            </w:tcBorders>
            <w:vAlign w:val="center"/>
          </w:tcPr>
          <w:p w14:paraId="63E3EEE8">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偏离情况说明</w:t>
            </w:r>
          </w:p>
        </w:tc>
        <w:tc>
          <w:tcPr>
            <w:tcW w:w="1541" w:type="dxa"/>
            <w:tcBorders>
              <w:top w:val="single" w:color="auto" w:sz="4" w:space="0"/>
              <w:left w:val="single" w:color="auto" w:sz="4" w:space="0"/>
              <w:bottom w:val="single" w:color="auto" w:sz="4" w:space="0"/>
              <w:right w:val="single" w:color="auto" w:sz="4" w:space="0"/>
            </w:tcBorders>
            <w:vAlign w:val="center"/>
          </w:tcPr>
          <w:p w14:paraId="3DF67E2E">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备注</w:t>
            </w:r>
          </w:p>
        </w:tc>
      </w:tr>
      <w:tr w14:paraId="4F6F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28A1004E">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4164" w:type="dxa"/>
            <w:tcBorders>
              <w:top w:val="single" w:color="auto" w:sz="4" w:space="0"/>
              <w:left w:val="single" w:color="auto" w:sz="4" w:space="0"/>
              <w:bottom w:val="single" w:color="auto" w:sz="4" w:space="0"/>
              <w:right w:val="single" w:color="auto" w:sz="4" w:space="0"/>
            </w:tcBorders>
          </w:tcPr>
          <w:p w14:paraId="65DBEAAA">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14CC7362">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56C8E5AF">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73FC7499">
            <w:pPr>
              <w:keepNext w:val="0"/>
              <w:keepLines w:val="0"/>
              <w:pageBreakBefore w:val="0"/>
              <w:kinsoku/>
              <w:wordWrap/>
              <w:overflowPunct/>
              <w:topLinePunct w:val="0"/>
              <w:bidi w:val="0"/>
              <w:adjustRightInd/>
              <w:ind w:left="15" w:leftChars="-50" w:right="0" w:rightChars="0" w:hanging="120" w:hangingChars="50"/>
              <w:jc w:val="center"/>
              <w:textAlignment w:val="auto"/>
              <w:rPr>
                <w:rFonts w:ascii="Times New Roman" w:hAnsi="Times New Roman" w:cs="Times New Roman"/>
                <w:color w:val="auto"/>
                <w:kern w:val="0"/>
                <w:sz w:val="24"/>
                <w:szCs w:val="24"/>
              </w:rPr>
            </w:pPr>
          </w:p>
        </w:tc>
      </w:tr>
      <w:tr w14:paraId="1CF1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7B534103">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4164" w:type="dxa"/>
            <w:tcBorders>
              <w:top w:val="single" w:color="auto" w:sz="4" w:space="0"/>
              <w:left w:val="single" w:color="auto" w:sz="4" w:space="0"/>
              <w:bottom w:val="single" w:color="auto" w:sz="4" w:space="0"/>
              <w:right w:val="single" w:color="auto" w:sz="4" w:space="0"/>
            </w:tcBorders>
          </w:tcPr>
          <w:p w14:paraId="5C392723">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5477286E">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698BFBA3">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5397986C">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14:paraId="521E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7A067DEE">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4164" w:type="dxa"/>
            <w:tcBorders>
              <w:top w:val="single" w:color="auto" w:sz="4" w:space="0"/>
              <w:left w:val="single" w:color="auto" w:sz="4" w:space="0"/>
              <w:bottom w:val="single" w:color="auto" w:sz="4" w:space="0"/>
              <w:right w:val="single" w:color="auto" w:sz="4" w:space="0"/>
            </w:tcBorders>
          </w:tcPr>
          <w:p w14:paraId="7AFA7895">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30106AA0">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4C5E8924">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5BAAE5D3">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14:paraId="5F53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66C3D7AE">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4164" w:type="dxa"/>
            <w:tcBorders>
              <w:top w:val="single" w:color="auto" w:sz="4" w:space="0"/>
              <w:left w:val="single" w:color="auto" w:sz="4" w:space="0"/>
              <w:bottom w:val="single" w:color="auto" w:sz="4" w:space="0"/>
              <w:right w:val="single" w:color="auto" w:sz="4" w:space="0"/>
            </w:tcBorders>
          </w:tcPr>
          <w:p w14:paraId="5C527B3B">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3B8E9F6C">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1AA905D1">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539E4AA5">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14:paraId="3F48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13BB8826">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4164" w:type="dxa"/>
            <w:tcBorders>
              <w:top w:val="single" w:color="auto" w:sz="4" w:space="0"/>
              <w:left w:val="single" w:color="auto" w:sz="4" w:space="0"/>
              <w:bottom w:val="single" w:color="auto" w:sz="4" w:space="0"/>
              <w:right w:val="single" w:color="auto" w:sz="4" w:space="0"/>
            </w:tcBorders>
          </w:tcPr>
          <w:p w14:paraId="7DB81840">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5B877B89">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4B3A14F8">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5899DACF">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14:paraId="2A1C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296F29D1">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4164" w:type="dxa"/>
            <w:tcBorders>
              <w:top w:val="single" w:color="auto" w:sz="4" w:space="0"/>
              <w:left w:val="single" w:color="auto" w:sz="4" w:space="0"/>
              <w:bottom w:val="single" w:color="auto" w:sz="4" w:space="0"/>
              <w:right w:val="single" w:color="auto" w:sz="4" w:space="0"/>
            </w:tcBorders>
          </w:tcPr>
          <w:p w14:paraId="385036F3">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52153DB1">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65239C32">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322ECD19">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14:paraId="4BE8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0E821201">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4164" w:type="dxa"/>
            <w:tcBorders>
              <w:top w:val="single" w:color="auto" w:sz="4" w:space="0"/>
              <w:left w:val="single" w:color="auto" w:sz="4" w:space="0"/>
              <w:bottom w:val="single" w:color="auto" w:sz="4" w:space="0"/>
              <w:right w:val="single" w:color="auto" w:sz="4" w:space="0"/>
            </w:tcBorders>
          </w:tcPr>
          <w:p w14:paraId="53B45A0B">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2E547728">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77E91B9A">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2025B535">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14:paraId="4D2E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223F9B06">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4164" w:type="dxa"/>
            <w:tcBorders>
              <w:top w:val="single" w:color="auto" w:sz="4" w:space="0"/>
              <w:left w:val="single" w:color="auto" w:sz="4" w:space="0"/>
              <w:bottom w:val="single" w:color="auto" w:sz="4" w:space="0"/>
              <w:right w:val="single" w:color="auto" w:sz="4" w:space="0"/>
            </w:tcBorders>
          </w:tcPr>
          <w:p w14:paraId="37BAD7D8">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0A281E6B">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63A500D6">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5F2DB9D9">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14:paraId="23B8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1E0B9A2F">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4164" w:type="dxa"/>
            <w:tcBorders>
              <w:top w:val="single" w:color="auto" w:sz="4" w:space="0"/>
              <w:left w:val="single" w:color="auto" w:sz="4" w:space="0"/>
              <w:bottom w:val="single" w:color="auto" w:sz="4" w:space="0"/>
              <w:right w:val="single" w:color="auto" w:sz="4" w:space="0"/>
            </w:tcBorders>
          </w:tcPr>
          <w:p w14:paraId="26DAAE58">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72D6090B">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3866B8DF">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5A90088B">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14:paraId="4ADC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7C299F0B">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4164" w:type="dxa"/>
            <w:tcBorders>
              <w:top w:val="single" w:color="auto" w:sz="4" w:space="0"/>
              <w:left w:val="single" w:color="auto" w:sz="4" w:space="0"/>
              <w:bottom w:val="single" w:color="auto" w:sz="4" w:space="0"/>
              <w:right w:val="single" w:color="auto" w:sz="4" w:space="0"/>
            </w:tcBorders>
          </w:tcPr>
          <w:p w14:paraId="71C6D00E">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0085EEA9">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543571F0">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53521C2D">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14:paraId="51A2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tcBorders>
              <w:top w:val="single" w:color="auto" w:sz="4" w:space="0"/>
              <w:left w:val="single" w:color="auto" w:sz="4" w:space="0"/>
              <w:bottom w:val="single" w:color="auto" w:sz="4" w:space="0"/>
              <w:right w:val="single" w:color="auto" w:sz="4" w:space="0"/>
            </w:tcBorders>
            <w:vAlign w:val="center"/>
          </w:tcPr>
          <w:p w14:paraId="38569B2A">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自评结论</w:t>
            </w:r>
          </w:p>
        </w:tc>
        <w:tc>
          <w:tcPr>
            <w:tcW w:w="1265" w:type="dxa"/>
            <w:tcBorders>
              <w:top w:val="single" w:color="auto" w:sz="4" w:space="0"/>
              <w:left w:val="single" w:color="auto" w:sz="4" w:space="0"/>
              <w:bottom w:val="single" w:color="auto" w:sz="4" w:space="0"/>
              <w:right w:val="single" w:color="auto" w:sz="4" w:space="0"/>
            </w:tcBorders>
          </w:tcPr>
          <w:p w14:paraId="59A02D19">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61B16963">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588C2737">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bl>
    <w:p w14:paraId="4C4C3EEC">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14:paraId="7FA5B6E9">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14:paraId="05150834">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应对照磋商文件的要求，逐条说明所提供资格证明文件已对磋商文件要求作出了实质性的响应，并说明响应情况。如果仅注明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14:paraId="6C087C14">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14:paraId="182E1A9E">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14:paraId="7DEDDDD4">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14:paraId="631B93B8">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14:paraId="7FB000FA">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p>
    <w:p w14:paraId="27375016">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14:paraId="56743190">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14:paraId="4E5C0F5C">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14:paraId="61FCE845">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bCs/>
          <w:color w:val="auto"/>
          <w:sz w:val="24"/>
          <w:szCs w:val="24"/>
        </w:rPr>
      </w:pPr>
      <w:bookmarkStart w:id="75" w:name="_Toc18252"/>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bookmarkEnd w:id="75"/>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14:paraId="4CC8C0EE">
      <w:pPr>
        <w:pStyle w:val="27"/>
        <w:rPr>
          <w:rFonts w:hint="eastAsia"/>
          <w:lang w:eastAsia="zh-CN"/>
        </w:rPr>
      </w:pPr>
    </w:p>
    <w:p w14:paraId="75D35AE4">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14:paraId="58797C30">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w:t>
      </w:r>
      <w:r>
        <w:rPr>
          <w:rFonts w:hint="eastAsia" w:ascii="Times New Roman" w:hAnsi="Times New Roman" w:cs="Times New Roman"/>
          <w:color w:val="auto"/>
          <w:sz w:val="24"/>
          <w:szCs w:val="24"/>
        </w:rPr>
        <w:t>（包号）</w:t>
      </w:r>
      <w:r>
        <w:rPr>
          <w:rFonts w:hint="eastAsia" w:ascii="Times New Roman" w:hAnsi="Times New Roman" w:cs="Times New Roman"/>
          <w:bCs/>
          <w:color w:val="auto"/>
          <w:sz w:val="24"/>
          <w:szCs w:val="24"/>
        </w:rPr>
        <w:t>：</w:t>
      </w:r>
    </w:p>
    <w:p w14:paraId="67D12CD7">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203"/>
        <w:gridCol w:w="2268"/>
        <w:gridCol w:w="1278"/>
        <w:gridCol w:w="2314"/>
      </w:tblGrid>
      <w:tr w14:paraId="41B9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14:paraId="7BCAA328">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204" w:type="dxa"/>
            <w:tcBorders>
              <w:top w:val="single" w:color="auto" w:sz="4" w:space="0"/>
              <w:left w:val="single" w:color="auto" w:sz="4" w:space="0"/>
              <w:bottom w:val="single" w:color="auto" w:sz="4" w:space="0"/>
              <w:right w:val="single" w:color="auto" w:sz="4" w:space="0"/>
            </w:tcBorders>
            <w:vAlign w:val="center"/>
          </w:tcPr>
          <w:p w14:paraId="4FEA7418">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14:paraId="1128759D">
            <w:pPr>
              <w:keepNext w:val="0"/>
              <w:keepLines w:val="0"/>
              <w:pageBreakBefore w:val="0"/>
              <w:kinsoku/>
              <w:wordWrap/>
              <w:overflowPunct/>
              <w:topLinePunct w:val="0"/>
              <w:bidi w:val="0"/>
              <w:adjustRightInd/>
              <w:ind w:left="25" w:leftChars="-38" w:right="0" w:rightChars="0" w:hanging="105" w:hangingChars="44"/>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8" w:type="dxa"/>
            <w:tcBorders>
              <w:top w:val="single" w:color="auto" w:sz="4" w:space="0"/>
              <w:left w:val="single" w:color="auto" w:sz="4" w:space="0"/>
              <w:bottom w:val="single" w:color="auto" w:sz="4" w:space="0"/>
              <w:right w:val="single" w:color="auto" w:sz="4" w:space="0"/>
            </w:tcBorders>
            <w:vAlign w:val="center"/>
          </w:tcPr>
          <w:p w14:paraId="3A994B57">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315" w:type="dxa"/>
            <w:tcBorders>
              <w:top w:val="single" w:color="auto" w:sz="4" w:space="0"/>
              <w:left w:val="single" w:color="auto" w:sz="4" w:space="0"/>
              <w:bottom w:val="single" w:color="auto" w:sz="4" w:space="0"/>
              <w:right w:val="single" w:color="auto" w:sz="4" w:space="0"/>
            </w:tcBorders>
            <w:vAlign w:val="center"/>
          </w:tcPr>
          <w:p w14:paraId="2FDD2A0E">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14:paraId="12BE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78F43F4F">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204" w:type="dxa"/>
            <w:tcBorders>
              <w:top w:val="single" w:color="auto" w:sz="4" w:space="0"/>
              <w:left w:val="single" w:color="auto" w:sz="4" w:space="0"/>
              <w:bottom w:val="single" w:color="auto" w:sz="4" w:space="0"/>
              <w:right w:val="single" w:color="auto" w:sz="4" w:space="0"/>
            </w:tcBorders>
            <w:vAlign w:val="center"/>
          </w:tcPr>
          <w:p w14:paraId="469F0DD4">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268743A9">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0B5BCFE0">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14:paraId="1D582EFA">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02C7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2A9125A8">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204" w:type="dxa"/>
            <w:tcBorders>
              <w:top w:val="single" w:color="auto" w:sz="4" w:space="0"/>
              <w:left w:val="single" w:color="auto" w:sz="4" w:space="0"/>
              <w:bottom w:val="single" w:color="auto" w:sz="4" w:space="0"/>
              <w:right w:val="single" w:color="auto" w:sz="4" w:space="0"/>
            </w:tcBorders>
            <w:vAlign w:val="center"/>
          </w:tcPr>
          <w:p w14:paraId="234BFDF9">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106EDCBD">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405D6E89">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14:paraId="279F01ED">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682F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40ECEE82">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204" w:type="dxa"/>
            <w:tcBorders>
              <w:top w:val="single" w:color="auto" w:sz="4" w:space="0"/>
              <w:left w:val="single" w:color="auto" w:sz="4" w:space="0"/>
              <w:bottom w:val="single" w:color="auto" w:sz="4" w:space="0"/>
              <w:right w:val="single" w:color="auto" w:sz="4" w:space="0"/>
            </w:tcBorders>
            <w:vAlign w:val="center"/>
          </w:tcPr>
          <w:p w14:paraId="7B63D650">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68028B1C">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30087075">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14:paraId="4107417D">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5E00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16D31654">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204" w:type="dxa"/>
            <w:tcBorders>
              <w:top w:val="single" w:color="auto" w:sz="4" w:space="0"/>
              <w:left w:val="single" w:color="auto" w:sz="4" w:space="0"/>
              <w:bottom w:val="single" w:color="auto" w:sz="4" w:space="0"/>
              <w:right w:val="single" w:color="auto" w:sz="4" w:space="0"/>
            </w:tcBorders>
            <w:vAlign w:val="center"/>
          </w:tcPr>
          <w:p w14:paraId="770B4426">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6CFFB786">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108B83CC">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14:paraId="09DF7ED2">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15D2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02EB8875">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204" w:type="dxa"/>
            <w:tcBorders>
              <w:top w:val="single" w:color="auto" w:sz="4" w:space="0"/>
              <w:left w:val="single" w:color="auto" w:sz="4" w:space="0"/>
              <w:bottom w:val="single" w:color="auto" w:sz="4" w:space="0"/>
              <w:right w:val="single" w:color="auto" w:sz="4" w:space="0"/>
            </w:tcBorders>
            <w:vAlign w:val="center"/>
          </w:tcPr>
          <w:p w14:paraId="36696256">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39CF0DB6">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165B24D1">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14:paraId="785D5037">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205C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22A4A1C9">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204" w:type="dxa"/>
            <w:tcBorders>
              <w:top w:val="single" w:color="auto" w:sz="4" w:space="0"/>
              <w:left w:val="single" w:color="auto" w:sz="4" w:space="0"/>
              <w:bottom w:val="single" w:color="auto" w:sz="4" w:space="0"/>
              <w:right w:val="single" w:color="auto" w:sz="4" w:space="0"/>
            </w:tcBorders>
            <w:vAlign w:val="center"/>
          </w:tcPr>
          <w:p w14:paraId="57CBF168">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3A3CFD84">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5421D5E3">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14:paraId="22F7B49A">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2DB6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135AC4D7">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204" w:type="dxa"/>
            <w:tcBorders>
              <w:top w:val="single" w:color="auto" w:sz="4" w:space="0"/>
              <w:left w:val="single" w:color="auto" w:sz="4" w:space="0"/>
              <w:bottom w:val="single" w:color="auto" w:sz="4" w:space="0"/>
              <w:right w:val="single" w:color="auto" w:sz="4" w:space="0"/>
            </w:tcBorders>
            <w:vAlign w:val="center"/>
          </w:tcPr>
          <w:p w14:paraId="7ED41DB8">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43E28195">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1EE9FFA2">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14:paraId="27C51AD9">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1199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360BEE40">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204" w:type="dxa"/>
            <w:tcBorders>
              <w:top w:val="single" w:color="auto" w:sz="4" w:space="0"/>
              <w:left w:val="single" w:color="auto" w:sz="4" w:space="0"/>
              <w:bottom w:val="single" w:color="auto" w:sz="4" w:space="0"/>
              <w:right w:val="single" w:color="auto" w:sz="4" w:space="0"/>
            </w:tcBorders>
            <w:vAlign w:val="center"/>
          </w:tcPr>
          <w:p w14:paraId="0399DBA7">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1CC691E6">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171BF43B">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14:paraId="057AE197">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5DA0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6EBEE29D">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204" w:type="dxa"/>
            <w:tcBorders>
              <w:top w:val="single" w:color="auto" w:sz="4" w:space="0"/>
              <w:left w:val="single" w:color="auto" w:sz="4" w:space="0"/>
              <w:bottom w:val="single" w:color="auto" w:sz="4" w:space="0"/>
              <w:right w:val="single" w:color="auto" w:sz="4" w:space="0"/>
            </w:tcBorders>
            <w:vAlign w:val="center"/>
          </w:tcPr>
          <w:p w14:paraId="13A06DC3">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263680ED">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3114DDF0">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14:paraId="480BB510">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14:paraId="39B1B541">
      <w:pPr>
        <w:keepNext w:val="0"/>
        <w:keepLines w:val="0"/>
        <w:pageBreakBefore w:val="0"/>
        <w:kinsoku/>
        <w:wordWrap/>
        <w:overflowPunct/>
        <w:topLinePunct w:val="0"/>
        <w:bidi w:val="0"/>
        <w:adjustRightInd/>
        <w:snapToGrid w:val="0"/>
        <w:ind w:left="720" w:right="0" w:rightChars="0" w:hanging="720" w:hangingChars="3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14:paraId="2CA2B15D">
      <w:pPr>
        <w:keepNext w:val="0"/>
        <w:keepLines w:val="0"/>
        <w:pageBreakBefore w:val="0"/>
        <w:widowControl w:val="0"/>
        <w:kinsoku/>
        <w:wordWrap/>
        <w:overflowPunct/>
        <w:topLinePunct w:val="0"/>
        <w:autoSpaceDE/>
        <w:autoSpaceDN/>
        <w:bidi w:val="0"/>
        <w:adjustRightIn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14:paraId="0C35D466">
      <w:pPr>
        <w:keepNext w:val="0"/>
        <w:keepLines w:val="0"/>
        <w:pageBreakBefore w:val="0"/>
        <w:widowControl w:val="0"/>
        <w:kinsoku/>
        <w:wordWrap/>
        <w:overflowPunct/>
        <w:topLinePunct w:val="0"/>
        <w:autoSpaceDE/>
        <w:autoSpaceDN/>
        <w:bidi w:val="0"/>
        <w:adjustRightInd/>
        <w:snapToGrid w:val="0"/>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应对照磋商文件的要求，逐条说明所提供技术文件已对磋商文件作出了实质性的响应，并说明响应情况。特别对有具体数量要求的指标，供应商必须提供具体数值。如果仅注明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14:paraId="3B17E00D">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p w14:paraId="6B32A816">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14:paraId="5C187FCD">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14:paraId="21E9881C">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时间：</w:t>
      </w:r>
    </w:p>
    <w:p w14:paraId="42AD9FF8">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bCs/>
          <w:color w:val="auto"/>
          <w:sz w:val="24"/>
          <w:szCs w:val="24"/>
        </w:rPr>
      </w:pPr>
      <w:r>
        <w:rPr>
          <w:rFonts w:ascii="Times New Roman" w:hAnsi="Times New Roman" w:cs="Times New Roman"/>
          <w:bCs/>
          <w:color w:val="auto"/>
          <w:sz w:val="24"/>
          <w:szCs w:val="24"/>
        </w:rPr>
        <w:br w:type="page"/>
      </w:r>
      <w:bookmarkStart w:id="76" w:name="_Toc27253"/>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bookmarkEnd w:id="76"/>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商务（合同草案条款）响应、偏离情况说明表</w:t>
      </w:r>
    </w:p>
    <w:p w14:paraId="3DA7922F">
      <w:pPr>
        <w:pStyle w:val="27"/>
        <w:rPr>
          <w:rFonts w:hint="eastAsia"/>
          <w:lang w:eastAsia="zh-CN"/>
        </w:rPr>
      </w:pPr>
    </w:p>
    <w:p w14:paraId="3685CF50">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商务（合同草案条款）响应、偏离情况说明表</w:t>
      </w:r>
    </w:p>
    <w:p w14:paraId="103E3C05">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项目编号（包号）：</w:t>
      </w:r>
    </w:p>
    <w:p w14:paraId="78A890C5">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8"/>
        <w:gridCol w:w="1277"/>
        <w:gridCol w:w="2458"/>
      </w:tblGrid>
      <w:tr w14:paraId="6CFC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14:paraId="1AD9B629">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061" w:type="dxa"/>
            <w:tcBorders>
              <w:top w:val="single" w:color="auto" w:sz="4" w:space="0"/>
              <w:left w:val="single" w:color="auto" w:sz="4" w:space="0"/>
              <w:bottom w:val="single" w:color="auto" w:sz="4" w:space="0"/>
              <w:right w:val="single" w:color="auto" w:sz="4" w:space="0"/>
            </w:tcBorders>
            <w:vAlign w:val="center"/>
          </w:tcPr>
          <w:p w14:paraId="308FB00A">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14:paraId="4D99419B">
            <w:pPr>
              <w:keepNext w:val="0"/>
              <w:keepLines w:val="0"/>
              <w:pageBreakBefore w:val="0"/>
              <w:kinsoku/>
              <w:wordWrap/>
              <w:overflowPunct/>
              <w:topLinePunct w:val="0"/>
              <w:bidi w:val="0"/>
              <w:adjustRightInd/>
              <w:ind w:left="28" w:leftChars="-38" w:right="0" w:rightChars="0" w:hanging="108" w:hangingChars="45"/>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7" w:type="dxa"/>
            <w:tcBorders>
              <w:top w:val="single" w:color="auto" w:sz="4" w:space="0"/>
              <w:left w:val="single" w:color="auto" w:sz="4" w:space="0"/>
              <w:bottom w:val="single" w:color="auto" w:sz="4" w:space="0"/>
              <w:right w:val="single" w:color="auto" w:sz="4" w:space="0"/>
            </w:tcBorders>
            <w:vAlign w:val="center"/>
          </w:tcPr>
          <w:p w14:paraId="62FB2F05">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459" w:type="dxa"/>
            <w:tcBorders>
              <w:top w:val="single" w:color="auto" w:sz="4" w:space="0"/>
              <w:left w:val="single" w:color="auto" w:sz="4" w:space="0"/>
              <w:bottom w:val="single" w:color="auto" w:sz="4" w:space="0"/>
              <w:right w:val="single" w:color="auto" w:sz="4" w:space="0"/>
            </w:tcBorders>
            <w:vAlign w:val="center"/>
          </w:tcPr>
          <w:p w14:paraId="3BEBD95D">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14:paraId="025B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542DB58D">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061" w:type="dxa"/>
            <w:tcBorders>
              <w:top w:val="single" w:color="auto" w:sz="4" w:space="0"/>
              <w:left w:val="single" w:color="auto" w:sz="4" w:space="0"/>
              <w:bottom w:val="single" w:color="auto" w:sz="4" w:space="0"/>
              <w:right w:val="single" w:color="auto" w:sz="4" w:space="0"/>
            </w:tcBorders>
            <w:vAlign w:val="center"/>
          </w:tcPr>
          <w:p w14:paraId="75C63FFB">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3631820B">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361B5B40">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14:paraId="48E06E2B">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789D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2B5AF773">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061" w:type="dxa"/>
            <w:tcBorders>
              <w:top w:val="single" w:color="auto" w:sz="4" w:space="0"/>
              <w:left w:val="single" w:color="auto" w:sz="4" w:space="0"/>
              <w:bottom w:val="single" w:color="auto" w:sz="4" w:space="0"/>
              <w:right w:val="single" w:color="auto" w:sz="4" w:space="0"/>
            </w:tcBorders>
            <w:vAlign w:val="center"/>
          </w:tcPr>
          <w:p w14:paraId="4618D222">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5D3F9032">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5ED0B944">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14:paraId="2B155212">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6B8C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5FB5894B">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061" w:type="dxa"/>
            <w:tcBorders>
              <w:top w:val="single" w:color="auto" w:sz="4" w:space="0"/>
              <w:left w:val="single" w:color="auto" w:sz="4" w:space="0"/>
              <w:bottom w:val="single" w:color="auto" w:sz="4" w:space="0"/>
              <w:right w:val="single" w:color="auto" w:sz="4" w:space="0"/>
            </w:tcBorders>
            <w:vAlign w:val="center"/>
          </w:tcPr>
          <w:p w14:paraId="6EAF51FD">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50A07A65">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35302D31">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14:paraId="7041E6F2">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2A73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1E7DD304">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061" w:type="dxa"/>
            <w:tcBorders>
              <w:top w:val="single" w:color="auto" w:sz="4" w:space="0"/>
              <w:left w:val="single" w:color="auto" w:sz="4" w:space="0"/>
              <w:bottom w:val="single" w:color="auto" w:sz="4" w:space="0"/>
              <w:right w:val="single" w:color="auto" w:sz="4" w:space="0"/>
            </w:tcBorders>
            <w:vAlign w:val="center"/>
          </w:tcPr>
          <w:p w14:paraId="52565D76">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60B733A2">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06D420AD">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14:paraId="19A157F5">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3570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203C8382">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061" w:type="dxa"/>
            <w:tcBorders>
              <w:top w:val="single" w:color="auto" w:sz="4" w:space="0"/>
              <w:left w:val="single" w:color="auto" w:sz="4" w:space="0"/>
              <w:bottom w:val="single" w:color="auto" w:sz="4" w:space="0"/>
              <w:right w:val="single" w:color="auto" w:sz="4" w:space="0"/>
            </w:tcBorders>
            <w:vAlign w:val="center"/>
          </w:tcPr>
          <w:p w14:paraId="769667A3">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3BC1A557">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6FC7B729">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14:paraId="04544621">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6D0C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3C0E234E">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061" w:type="dxa"/>
            <w:tcBorders>
              <w:top w:val="single" w:color="auto" w:sz="4" w:space="0"/>
              <w:left w:val="single" w:color="auto" w:sz="4" w:space="0"/>
              <w:bottom w:val="single" w:color="auto" w:sz="4" w:space="0"/>
              <w:right w:val="single" w:color="auto" w:sz="4" w:space="0"/>
            </w:tcBorders>
            <w:vAlign w:val="center"/>
          </w:tcPr>
          <w:p w14:paraId="0492F2BF">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1BE201EC">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0A88F229">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14:paraId="0F65598D">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25E9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2451D5C5">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061" w:type="dxa"/>
            <w:tcBorders>
              <w:top w:val="single" w:color="auto" w:sz="4" w:space="0"/>
              <w:left w:val="single" w:color="auto" w:sz="4" w:space="0"/>
              <w:bottom w:val="single" w:color="auto" w:sz="4" w:space="0"/>
              <w:right w:val="single" w:color="auto" w:sz="4" w:space="0"/>
            </w:tcBorders>
            <w:vAlign w:val="center"/>
          </w:tcPr>
          <w:p w14:paraId="178B14A2">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08004254">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4B3A3D35">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14:paraId="2A7C57A0">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1835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5CC6BE92">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061" w:type="dxa"/>
            <w:tcBorders>
              <w:top w:val="single" w:color="auto" w:sz="4" w:space="0"/>
              <w:left w:val="single" w:color="auto" w:sz="4" w:space="0"/>
              <w:bottom w:val="single" w:color="auto" w:sz="4" w:space="0"/>
              <w:right w:val="single" w:color="auto" w:sz="4" w:space="0"/>
            </w:tcBorders>
            <w:vAlign w:val="center"/>
          </w:tcPr>
          <w:p w14:paraId="57B53715">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3BCD9F53">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1D4FAE60">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14:paraId="43AD96B9">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243D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03D7EB6B">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061" w:type="dxa"/>
            <w:tcBorders>
              <w:top w:val="single" w:color="auto" w:sz="4" w:space="0"/>
              <w:left w:val="single" w:color="auto" w:sz="4" w:space="0"/>
              <w:bottom w:val="single" w:color="auto" w:sz="4" w:space="0"/>
              <w:right w:val="single" w:color="auto" w:sz="4" w:space="0"/>
            </w:tcBorders>
            <w:vAlign w:val="center"/>
          </w:tcPr>
          <w:p w14:paraId="0A20BD34">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49882D17">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09A2984E">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14:paraId="3C64DC50">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14:paraId="6C114C62">
      <w:pPr>
        <w:pStyle w:val="18"/>
        <w:keepNext w:val="0"/>
        <w:keepLines w:val="0"/>
        <w:pageBreakBefore w:val="0"/>
        <w:kinsoku/>
        <w:wordWrap/>
        <w:overflowPunct/>
        <w:topLinePunct w:val="0"/>
        <w:bidi w:val="0"/>
        <w:adjustRightInd/>
        <w:spacing w:line="300" w:lineRule="auto"/>
        <w:ind w:right="0" w:rightChars="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14:paraId="742CD35C">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14:paraId="33690DD1">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b/>
          <w:bCs/>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应对照磋商文件的要求，逐条说明所提供服务已对磋商文件的合同草案条款作出了实质性的响应，并说明响应情况。特别对有具体数量要求的指标，供应商应提供具体数值。如果仅注明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14:paraId="21697C40">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14:paraId="142EBEF9">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14:paraId="30717E3A">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法人（授权代表）或自然人（签字）：</w:t>
      </w:r>
    </w:p>
    <w:p w14:paraId="2AF46BA5">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14:paraId="5CB20D06">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p>
    <w:p w14:paraId="6C24CA76">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14:paraId="6B0D9351">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14:paraId="0EB993E4">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bCs/>
          <w:color w:val="auto"/>
          <w:sz w:val="24"/>
          <w:szCs w:val="24"/>
        </w:rPr>
      </w:pPr>
      <w:bookmarkStart w:id="77" w:name="_Toc18943"/>
    </w:p>
    <w:p w14:paraId="492DE267">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7</w:t>
      </w:r>
      <w:bookmarkEnd w:id="77"/>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法人（负责人）代表授权书</w:t>
      </w:r>
    </w:p>
    <w:p w14:paraId="2B549907">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法人（负责人）代表授权书</w:t>
      </w:r>
    </w:p>
    <w:p w14:paraId="2BC3C581">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p>
    <w:p w14:paraId="593AA9B2">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（集中采购机构名称）：</w:t>
      </w:r>
    </w:p>
    <w:p w14:paraId="6DAF8B2A">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u w:val="single"/>
        </w:rPr>
        <w:t>（磋商供应商名称）</w:t>
      </w:r>
      <w:r>
        <w:rPr>
          <w:rFonts w:hint="eastAsia" w:ascii="Times New Roman" w:hAnsi="Times New Roman" w:cs="Times New Roman"/>
          <w:bCs/>
          <w:color w:val="auto"/>
          <w:sz w:val="24"/>
          <w:szCs w:val="24"/>
        </w:rPr>
        <w:t>在下面签字的（</w:t>
      </w:r>
      <w:r>
        <w:rPr>
          <w:rFonts w:hint="eastAsia" w:ascii="Times New Roman" w:hAnsi="Times New Roman" w:cs="Times New Roman"/>
          <w:bCs/>
          <w:color w:val="auto"/>
          <w:sz w:val="24"/>
          <w:szCs w:val="24"/>
          <w:u w:val="single"/>
        </w:rPr>
        <w:t>法定代表人姓名、职务</w:t>
      </w:r>
      <w:r>
        <w:rPr>
          <w:rFonts w:hint="eastAsia" w:ascii="Times New Roman" w:hAnsi="Times New Roman" w:cs="Times New Roman"/>
          <w:bCs/>
          <w:color w:val="auto"/>
          <w:sz w:val="24"/>
          <w:szCs w:val="24"/>
        </w:rPr>
        <w:t>）代表本公司授权（供应商名称）的下面签字的</w:t>
      </w:r>
      <w:r>
        <w:rPr>
          <w:rFonts w:hint="eastAsia" w:ascii="Times New Roman" w:hAnsi="Times New Roman" w:cs="Times New Roman"/>
          <w:bCs/>
          <w:color w:val="auto"/>
          <w:sz w:val="24"/>
          <w:szCs w:val="24"/>
          <w:u w:val="single"/>
        </w:rPr>
        <w:t>（被授权代表的姓名、职务）</w:t>
      </w:r>
      <w:r>
        <w:rPr>
          <w:rFonts w:hint="eastAsia" w:ascii="Times New Roman" w:hAnsi="Times New Roman" w:cs="Times New Roman"/>
          <w:bCs/>
          <w:color w:val="auto"/>
          <w:sz w:val="24"/>
          <w:szCs w:val="24"/>
        </w:rPr>
        <w:t>为本公司的合法代理人，就（</w:t>
      </w:r>
      <w:r>
        <w:rPr>
          <w:rFonts w:hint="eastAsia" w:ascii="Times New Roman" w:hAnsi="Times New Roman" w:cs="Times New Roman"/>
          <w:bCs/>
          <w:color w:val="auto"/>
          <w:sz w:val="24"/>
          <w:szCs w:val="24"/>
          <w:u w:val="single"/>
        </w:rPr>
        <w:t>项目名称、项目编号</w:t>
      </w:r>
      <w:r>
        <w:rPr>
          <w:rFonts w:hint="eastAsia" w:ascii="Times New Roman" w:hAnsi="Times New Roman" w:cs="Times New Roman"/>
          <w:bCs/>
          <w:color w:val="auto"/>
          <w:sz w:val="24"/>
          <w:szCs w:val="24"/>
        </w:rPr>
        <w:t>）的谈判，以本公司的名义处理一切与之有关的事务。</w:t>
      </w:r>
    </w:p>
    <w:p w14:paraId="683B3725">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本授权书自（）年（）月（）日至（）年（）月（）日止签字有效。</w:t>
      </w:r>
    </w:p>
    <w:p w14:paraId="412F1818">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特此声明。</w:t>
      </w:r>
    </w:p>
    <w:p w14:paraId="41342092">
      <w:pPr>
        <w:keepNext w:val="0"/>
        <w:keepLines w:val="0"/>
        <w:pageBreakBefore w:val="0"/>
        <w:widowControl w:val="0"/>
        <w:kinsoku/>
        <w:wordWrap/>
        <w:overflowPunct/>
        <w:topLinePunct w:val="0"/>
        <w:autoSpaceDE/>
        <w:autoSpaceDN/>
        <w:bidi w:val="0"/>
        <w:adjustRightInd/>
        <w:snapToGrid/>
        <w:spacing w:before="156" w:beforeLines="50" w:after="312" w:afterLines="100" w:line="440" w:lineRule="exact"/>
        <w:ind w:right="0" w:rightChars="0"/>
        <w:textAlignment w:val="auto"/>
        <w:rPr>
          <w:rFonts w:ascii="Times New Roman" w:hAnsi="Times New Roman" w:cs="Times New Roman"/>
          <w:bCs/>
          <w:color w:val="auto"/>
          <w:sz w:val="24"/>
          <w:szCs w:val="24"/>
        </w:rPr>
      </w:pPr>
    </w:p>
    <w:p w14:paraId="6F66F8CD">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委托人名称（公章）：              被授权人（签章）：</w:t>
      </w:r>
    </w:p>
    <w:p w14:paraId="5F3A2822">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法定（负责人）代表人（签章）：     身份证号码：</w:t>
      </w:r>
    </w:p>
    <w:p w14:paraId="43B832E9">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电话：电话（手机）：</w:t>
      </w:r>
    </w:p>
    <w:p w14:paraId="645CB459">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传真：办公电话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传真：</w:t>
      </w:r>
    </w:p>
    <w:p w14:paraId="725E2FB2">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u w:val="single"/>
        </w:rPr>
      </w:pPr>
    </w:p>
    <w:tbl>
      <w:tblPr>
        <w:tblStyle w:val="4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0796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Borders>
              <w:top w:val="single" w:color="auto" w:sz="4" w:space="0"/>
              <w:left w:val="single" w:color="auto" w:sz="4" w:space="0"/>
              <w:bottom w:val="single" w:color="auto" w:sz="4" w:space="0"/>
              <w:right w:val="single" w:color="auto" w:sz="4" w:space="0"/>
            </w:tcBorders>
          </w:tcPr>
          <w:p w14:paraId="412DE2BA">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粘贴被授权人身份证（复印件）</w:t>
            </w:r>
          </w:p>
        </w:tc>
      </w:tr>
    </w:tbl>
    <w:p w14:paraId="195F71B7">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p>
    <w:p w14:paraId="2D1727A2">
      <w:pPr>
        <w:keepNext w:val="0"/>
        <w:keepLines w:val="0"/>
        <w:pageBreakBefore w:val="0"/>
        <w:kinsoku/>
        <w:wordWrap/>
        <w:overflowPunct/>
        <w:topLinePunct w:val="0"/>
        <w:bidi w:val="0"/>
        <w:adjustRightInd/>
        <w:spacing w:line="500" w:lineRule="exact"/>
        <w:ind w:right="0" w:rightChars="0"/>
        <w:jc w:val="left"/>
        <w:textAlignment w:val="auto"/>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78" w:name="_Toc3324"/>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8</w:t>
      </w:r>
      <w:bookmarkEnd w:id="78"/>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法人或者其他组织的营业执照等证明文件，自然人的身份证明等证明材料</w:t>
      </w:r>
    </w:p>
    <w:p w14:paraId="3D3F6A53">
      <w:pPr>
        <w:keepNext w:val="0"/>
        <w:keepLines w:val="0"/>
        <w:pageBreakBefore w:val="0"/>
        <w:kinsoku/>
        <w:wordWrap/>
        <w:overflowPunct/>
        <w:topLinePunct w:val="0"/>
        <w:bidi w:val="0"/>
        <w:adjustRightInd/>
        <w:spacing w:line="500" w:lineRule="exact"/>
        <w:ind w:right="0" w:rightChars="0"/>
        <w:jc w:val="center"/>
        <w:textAlignment w:val="auto"/>
        <w:rPr>
          <w:rFonts w:hint="eastAsia" w:ascii="Times New Roman" w:hAnsi="Times New Roman" w:cs="Times New Roman"/>
          <w:bCs/>
          <w:color w:val="auto"/>
          <w:sz w:val="24"/>
          <w:szCs w:val="24"/>
        </w:rPr>
      </w:pPr>
    </w:p>
    <w:p w14:paraId="1BCB89DA">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法人或者其他组织的营业执照等证明文件，自然人的</w:t>
      </w:r>
    </w:p>
    <w:p w14:paraId="65A2491B">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身份证明等证明材料</w:t>
      </w:r>
    </w:p>
    <w:p w14:paraId="3BA61F10">
      <w:pPr>
        <w:keepNext w:val="0"/>
        <w:keepLines w:val="0"/>
        <w:pageBreakBefore w:val="0"/>
        <w:kinsoku/>
        <w:wordWrap/>
        <w:overflowPunct/>
        <w:topLinePunct w:val="0"/>
        <w:bidi w:val="0"/>
        <w:adjustRightInd/>
        <w:ind w:right="0" w:rightChars="0"/>
        <w:textAlignment w:val="auto"/>
        <w:rPr>
          <w:rFonts w:ascii="Times New Roman" w:hAnsi="Times New Roman" w:eastAsia="仿宋_GB2312" w:cs="Times New Roman"/>
          <w:bCs/>
          <w:color w:val="auto"/>
          <w:sz w:val="24"/>
          <w:szCs w:val="24"/>
        </w:rPr>
      </w:pPr>
    </w:p>
    <w:p w14:paraId="2579325A">
      <w:pPr>
        <w:keepNext w:val="0"/>
        <w:keepLines w:val="0"/>
        <w:pageBreakBefore w:val="0"/>
        <w:kinsoku/>
        <w:wordWrap/>
        <w:overflowPunct/>
        <w:topLinePunct w:val="0"/>
        <w:bidi w:val="0"/>
        <w:adjustRightInd/>
        <w:spacing w:line="440" w:lineRule="exact"/>
        <w:ind w:left="360" w:right="0" w:rightChars="0" w:hanging="360" w:hangingChars="15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（企业法人营业执照、税务登记证，供应商是自然人的身份证明材料等）</w:t>
      </w:r>
    </w:p>
    <w:p w14:paraId="5CA760D2">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14:paraId="2A8E00F1">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14:paraId="4C537752">
      <w:pPr>
        <w:keepNext w:val="0"/>
        <w:keepLines w:val="0"/>
        <w:pageBreakBefore w:val="0"/>
        <w:kinsoku/>
        <w:wordWrap/>
        <w:overflowPunct/>
        <w:topLinePunct w:val="0"/>
        <w:bidi w:val="0"/>
        <w:adjustRightInd/>
        <w:spacing w:line="440" w:lineRule="exact"/>
        <w:ind w:left="360" w:right="0" w:rightChars="0" w:hanging="360" w:hangingChars="150"/>
        <w:textAlignment w:val="auto"/>
        <w:outlineLvl w:val="0"/>
        <w:rPr>
          <w:rFonts w:hint="eastAsia" w:ascii="Times New Roman" w:hAnsi="Times New Roman" w:cs="Times New Roman" w:eastAsiaTheme="minorEastAsia"/>
          <w:bCs/>
          <w:color w:val="auto"/>
          <w:sz w:val="24"/>
          <w:szCs w:val="24"/>
          <w:lang w:eastAsia="zh-CN"/>
        </w:rPr>
      </w:pPr>
      <w:bookmarkStart w:id="79" w:name="_Toc10537"/>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9</w:t>
      </w:r>
      <w:bookmarkEnd w:id="79"/>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财务状况报告</w:t>
      </w:r>
      <w:r>
        <w:rPr>
          <w:rFonts w:hint="eastAsia" w:ascii="Times New Roman" w:hAnsi="Times New Roman" w:cs="Times New Roman"/>
          <w:bCs/>
          <w:color w:val="auto"/>
          <w:sz w:val="24"/>
          <w:szCs w:val="24"/>
          <w:lang w:eastAsia="zh-CN"/>
        </w:rPr>
        <w:t>，缴纳税收和社会保障资金的相关材料</w:t>
      </w:r>
    </w:p>
    <w:p w14:paraId="75C02D29">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14:paraId="16788068">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财务状况报告，依法缴纳税收和社会保障资金的相关材料</w:t>
      </w:r>
    </w:p>
    <w:p w14:paraId="341B65E7">
      <w:pPr>
        <w:keepNext w:val="0"/>
        <w:keepLines w:val="0"/>
        <w:pageBreakBefore w:val="0"/>
        <w:widowControl w:val="0"/>
        <w:kinsoku/>
        <w:wordWrap/>
        <w:overflowPunct/>
        <w:topLinePunct w:val="0"/>
        <w:autoSpaceDE/>
        <w:autoSpaceDN/>
        <w:bidi w:val="0"/>
        <w:adjustRightInd/>
        <w:snapToGrid/>
        <w:ind w:right="0" w:rightChars="0"/>
        <w:textAlignment w:val="auto"/>
        <w:rPr>
          <w:rFonts w:ascii="Times New Roman" w:hAnsi="Times New Roman" w:eastAsia="仿宋_GB2312" w:cs="Times New Roman"/>
          <w:bCs/>
          <w:color w:val="auto"/>
          <w:sz w:val="24"/>
          <w:szCs w:val="24"/>
        </w:rPr>
      </w:pPr>
    </w:p>
    <w:p w14:paraId="3C812946">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一、参加本采购项目前一年度的财务报表（企业成立时间不足一年不适用），或其他证明具备实施本项目的财务状况证明材料；</w:t>
      </w:r>
    </w:p>
    <w:p w14:paraId="3E93CA41">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二、参加本采购项目前，近期的纳税证明；</w:t>
      </w:r>
    </w:p>
    <w:p w14:paraId="2E5A068A">
      <w:pPr>
        <w:keepNext w:val="0"/>
        <w:keepLines w:val="0"/>
        <w:pageBreakBefore w:val="0"/>
        <w:widowControl w:val="0"/>
        <w:kinsoku/>
        <w:wordWrap/>
        <w:overflowPunct/>
        <w:topLinePunct w:val="0"/>
        <w:autoSpaceDE/>
        <w:autoSpaceDN/>
        <w:bidi w:val="0"/>
        <w:adjustRightInd/>
        <w:snapToGrid/>
        <w:spacing w:line="440" w:lineRule="exact"/>
        <w:ind w:left="2" w:leftChars="1" w:right="0" w:rightChars="0" w:firstLine="480" w:firstLineChars="200"/>
        <w:textAlignment w:val="auto"/>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三、参加本采购项目前，近期缴纳社会保障资金证明等。</w:t>
      </w:r>
      <w:r>
        <w:rPr>
          <w:rFonts w:ascii="Times New Roman" w:hAnsi="Times New Roman" w:cs="Times New Roman"/>
          <w:color w:val="auto"/>
          <w:sz w:val="24"/>
          <w:szCs w:val="24"/>
        </w:rPr>
        <w:br w:type="page"/>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lang w:eastAsia="zh-CN"/>
        </w:rPr>
        <w:t>：履行合同所必需的设备和专业技术能力的证明材料</w:t>
      </w:r>
    </w:p>
    <w:p w14:paraId="4C9ABD39">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14:paraId="3702EC1F">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具备履行合同所必需的设备和专业技术能力的</w:t>
      </w:r>
    </w:p>
    <w:p w14:paraId="56A2B361">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证明材料</w:t>
      </w:r>
    </w:p>
    <w:p w14:paraId="0D1CB348">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p>
    <w:p w14:paraId="4B784F22">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bCs/>
          <w:color w:val="auto"/>
          <w:sz w:val="24"/>
          <w:szCs w:val="24"/>
        </w:rPr>
        <w:t>（提供履行合同所必需的设备和专业技术能力的相关文件）</w:t>
      </w:r>
    </w:p>
    <w:p w14:paraId="53851A10">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69B4C539">
      <w:pPr>
        <w:keepNext w:val="0"/>
        <w:keepLines w:val="0"/>
        <w:pageBreakBefore w:val="0"/>
        <w:kinsoku/>
        <w:wordWrap/>
        <w:overflowPunct/>
        <w:topLinePunct w:val="0"/>
        <w:bidi w:val="0"/>
        <w:adjustRightInd/>
        <w:spacing w:before="156" w:beforeLines="50" w:after="312" w:afterLines="100"/>
        <w:ind w:right="0" w:rightChars="0"/>
        <w:textAlignment w:val="auto"/>
        <w:outlineLvl w:val="0"/>
        <w:rPr>
          <w:rFonts w:hint="eastAsia" w:ascii="Times New Roman" w:hAnsi="Times New Roman" w:cs="Times New Roman" w:eastAsiaTheme="minorEastAsia"/>
          <w:bCs/>
          <w:color w:val="auto"/>
          <w:sz w:val="24"/>
          <w:szCs w:val="24"/>
          <w:lang w:eastAsia="zh-CN"/>
        </w:rPr>
      </w:pPr>
      <w:bookmarkStart w:id="80" w:name="_Toc1828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11</w:t>
      </w:r>
      <w:bookmarkEnd w:id="80"/>
      <w:r>
        <w:rPr>
          <w:rFonts w:hint="eastAsia" w:ascii="Times New Roman" w:hAnsi="Times New Roman" w:cs="Times New Roman"/>
          <w:bCs/>
          <w:color w:val="auto"/>
          <w:sz w:val="24"/>
          <w:szCs w:val="24"/>
          <w:lang w:eastAsia="zh-CN"/>
        </w:rPr>
        <w:t>：参加政府采购活动前3年内在经营活动中没有重大违法记录的书面声明</w:t>
      </w:r>
    </w:p>
    <w:p w14:paraId="630E822E">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w:t>
      </w:r>
    </w:p>
    <w:p w14:paraId="14411882">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没有重大违法记录的书面声明</w:t>
      </w:r>
    </w:p>
    <w:p w14:paraId="10B8DEFC">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eastAsia="仿宋_GB2312" w:cs="Times New Roman"/>
          <w:color w:val="auto"/>
          <w:sz w:val="24"/>
          <w:szCs w:val="24"/>
        </w:rPr>
      </w:pPr>
    </w:p>
    <w:p w14:paraId="318B76F6">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color w:val="auto"/>
          <w:sz w:val="24"/>
          <w:szCs w:val="24"/>
        </w:rPr>
        <w:t>（供应商自行编写）</w:t>
      </w:r>
    </w:p>
    <w:p w14:paraId="0C045302">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eastAsiaTheme="majorEastAsia"/>
          <w:bCs/>
          <w:color w:val="auto"/>
          <w:sz w:val="24"/>
          <w:szCs w:val="24"/>
        </w:rPr>
      </w:pPr>
      <w:r>
        <w:rPr>
          <w:rFonts w:ascii="Times New Roman" w:hAnsi="Times New Roman" w:cs="Times New Roman" w:eastAsiaTheme="majorEastAsia"/>
          <w:bCs/>
          <w:color w:val="auto"/>
          <w:sz w:val="24"/>
          <w:szCs w:val="24"/>
        </w:rPr>
        <w:br w:type="page"/>
      </w:r>
    </w:p>
    <w:p w14:paraId="160B327A">
      <w:pPr>
        <w:keepNext w:val="0"/>
        <w:keepLines w:val="0"/>
        <w:pageBreakBefore w:val="0"/>
        <w:widowControl/>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81" w:name="_Toc2810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12</w:t>
      </w:r>
      <w:bookmarkEnd w:id="81"/>
      <w:r>
        <w:rPr>
          <w:rFonts w:hint="eastAsia" w:ascii="Times New Roman" w:hAnsi="Times New Roman" w:cs="Times New Roman"/>
          <w:bCs/>
          <w:color w:val="auto"/>
          <w:sz w:val="24"/>
          <w:szCs w:val="24"/>
          <w:lang w:eastAsia="zh-CN"/>
        </w:rPr>
        <w:t>：信用记录查询网页打印件</w:t>
      </w:r>
    </w:p>
    <w:p w14:paraId="4AD6F69C">
      <w:pPr>
        <w:keepNext w:val="0"/>
        <w:keepLines w:val="0"/>
        <w:pageBreakBefore w:val="0"/>
        <w:kinsoku/>
        <w:wordWrap/>
        <w:overflowPunct/>
        <w:topLinePunct w:val="0"/>
        <w:bidi w:val="0"/>
        <w:adjustRightInd/>
        <w:snapToGrid w:val="0"/>
        <w:ind w:right="0" w:rightChars="0"/>
        <w:jc w:val="center"/>
        <w:textAlignment w:val="auto"/>
        <w:outlineLvl w:val="9"/>
        <w:rPr>
          <w:rFonts w:ascii="Times New Roman" w:hAnsi="Times New Roman" w:cs="Times New Roman"/>
          <w:color w:val="auto"/>
          <w:sz w:val="24"/>
          <w:szCs w:val="24"/>
        </w:rPr>
      </w:pPr>
    </w:p>
    <w:p w14:paraId="6255E40A">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网站失信被执行人、重大税收违法案件当事人名单、政府采购严重违法失信行为记录名单的网页打印件</w:t>
      </w:r>
    </w:p>
    <w:p w14:paraId="67F31194">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p>
    <w:p w14:paraId="15044CD6">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（供应商自行打印）</w:t>
      </w:r>
    </w:p>
    <w:p w14:paraId="154189DD">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14:paraId="03DB73B1">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14:paraId="46243A82">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14:paraId="020BE5B3">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3B2F02F5">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82" w:name="_Toc11030"/>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bookmarkEnd w:id="82"/>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政府采购政策情况表</w:t>
      </w:r>
    </w:p>
    <w:p w14:paraId="2D5F01A1">
      <w:pPr>
        <w:keepNext w:val="0"/>
        <w:keepLines w:val="0"/>
        <w:pageBreakBefore w:val="0"/>
        <w:kinsoku/>
        <w:wordWrap/>
        <w:overflowPunct/>
        <w:topLinePunct w:val="0"/>
        <w:bidi w:val="0"/>
        <w:adjustRightInd/>
        <w:ind w:right="0" w:rightChars="0"/>
        <w:jc w:val="left"/>
        <w:textAlignment w:val="auto"/>
        <w:rPr>
          <w:rFonts w:hint="eastAsia" w:ascii="Times New Roman" w:hAnsi="Times New Roman" w:cs="Times New Roman" w:eastAsiaTheme="minorEastAsia"/>
          <w:color w:val="auto"/>
          <w:sz w:val="24"/>
          <w:szCs w:val="24"/>
          <w:lang w:eastAsia="zh-CN"/>
        </w:rPr>
      </w:pPr>
    </w:p>
    <w:p w14:paraId="55DB362D">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政府采购政策情况表</w:t>
      </w:r>
    </w:p>
    <w:p w14:paraId="0370AFE2">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14:paraId="25C9E2F9">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1"/>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645"/>
        <w:gridCol w:w="99"/>
        <w:gridCol w:w="1560"/>
        <w:gridCol w:w="1415"/>
        <w:gridCol w:w="2267"/>
        <w:gridCol w:w="1472"/>
      </w:tblGrid>
      <w:tr w14:paraId="4D85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14:paraId="527AB1F3">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w:t>
            </w:r>
          </w:p>
        </w:tc>
        <w:tc>
          <w:tcPr>
            <w:tcW w:w="744" w:type="dxa"/>
            <w:gridSpan w:val="2"/>
            <w:tcBorders>
              <w:top w:val="single" w:color="auto" w:sz="4" w:space="0"/>
              <w:left w:val="single" w:color="auto" w:sz="4" w:space="0"/>
              <w:bottom w:val="single" w:color="auto" w:sz="4" w:space="0"/>
              <w:right w:val="single" w:color="auto" w:sz="4" w:space="0"/>
            </w:tcBorders>
          </w:tcPr>
          <w:p w14:paraId="00277EB4">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14:paraId="3F30E939">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14:paraId="233C563C">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14:paraId="53A0A77F">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微型企业</w:t>
            </w:r>
          </w:p>
        </w:tc>
        <w:tc>
          <w:tcPr>
            <w:tcW w:w="1472" w:type="dxa"/>
            <w:tcBorders>
              <w:top w:val="single" w:color="auto" w:sz="4" w:space="0"/>
              <w:left w:val="single" w:color="auto" w:sz="4" w:space="0"/>
              <w:bottom w:val="single" w:color="auto" w:sz="4" w:space="0"/>
              <w:right w:val="single" w:color="auto" w:sz="4" w:space="0"/>
            </w:tcBorders>
            <w:vAlign w:val="center"/>
          </w:tcPr>
          <w:p w14:paraId="53FA929E">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14:paraId="43D8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5DB1659D">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14:paraId="274F23DB">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14:paraId="6F1E712E">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14:paraId="48E7855C">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3C81BAB3">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6078F6AF">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158E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16CF258E">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14:paraId="0D7DF3BB">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14:paraId="50C0CF59">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14:paraId="70DF816B">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6512AA9E">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2E778468">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7075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36C8B716">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14:paraId="6187F3DD">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14:paraId="7D7A94E3">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14:paraId="1C324CB3">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022BA21A">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76706FE2">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67C9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5D9F5C40">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14:paraId="6A6A3AAB">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14:paraId="7839A24D">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16A7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36B0501E">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14:paraId="535E2B07">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比重（小型、微型企业产品金额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总报价）</w:t>
            </w:r>
          </w:p>
        </w:tc>
        <w:tc>
          <w:tcPr>
            <w:tcW w:w="1472" w:type="dxa"/>
            <w:tcBorders>
              <w:top w:val="single" w:color="auto" w:sz="4" w:space="0"/>
              <w:left w:val="single" w:color="auto" w:sz="4" w:space="0"/>
              <w:bottom w:val="single" w:color="auto" w:sz="4" w:space="0"/>
              <w:right w:val="single" w:color="auto" w:sz="4" w:space="0"/>
            </w:tcBorders>
            <w:vAlign w:val="center"/>
          </w:tcPr>
          <w:p w14:paraId="5CC6FB24">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14:paraId="0639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319C5C70">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14:paraId="312C45D0">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14:paraId="65B0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14:paraId="1E09B280">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w:t>
            </w:r>
          </w:p>
        </w:tc>
        <w:tc>
          <w:tcPr>
            <w:tcW w:w="744" w:type="dxa"/>
            <w:gridSpan w:val="2"/>
            <w:tcBorders>
              <w:top w:val="single" w:color="auto" w:sz="4" w:space="0"/>
              <w:left w:val="single" w:color="auto" w:sz="4" w:space="0"/>
              <w:bottom w:val="single" w:color="auto" w:sz="4" w:space="0"/>
              <w:right w:val="single" w:color="auto" w:sz="4" w:space="0"/>
            </w:tcBorders>
          </w:tcPr>
          <w:p w14:paraId="1FB0E660">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14:paraId="4B5CD4ED">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14:paraId="3C86F3B1">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14:paraId="2C152E34">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vAlign w:val="center"/>
          </w:tcPr>
          <w:p w14:paraId="21F6B4B9">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14:paraId="2160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5B8BE10C">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14:paraId="300FBADB">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14:paraId="3998CA15">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14:paraId="32437E11">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23BD4DFF">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7423E512">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1125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75C40CC6">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14:paraId="42FC0DCE">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14:paraId="53372B06">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14:paraId="714D9464">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33491BC8">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2A27A755">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63D9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3D307E67">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14:paraId="51311A1D">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14:paraId="2B30FFA4">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14:paraId="600B6527">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7742BFB3">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028F3722">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12C0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37FDCF6B">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14:paraId="353B2760">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14:paraId="10CDB99F">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1A2F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1FCE2006">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14:paraId="08E3253C">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比重（监狱企业产品金额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vAlign w:val="center"/>
          </w:tcPr>
          <w:p w14:paraId="194871FB">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14:paraId="53D1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6354C3B5">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14:paraId="2EA7440A">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14:paraId="04C2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14:paraId="390348FD">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w:t>
            </w:r>
          </w:p>
        </w:tc>
        <w:tc>
          <w:tcPr>
            <w:tcW w:w="645" w:type="dxa"/>
            <w:tcBorders>
              <w:top w:val="single" w:color="auto" w:sz="4" w:space="0"/>
              <w:left w:val="single" w:color="auto" w:sz="4" w:space="0"/>
              <w:bottom w:val="single" w:color="auto" w:sz="4" w:space="0"/>
              <w:right w:val="single" w:color="auto" w:sz="4" w:space="0"/>
            </w:tcBorders>
          </w:tcPr>
          <w:p w14:paraId="559153B9">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659" w:type="dxa"/>
            <w:gridSpan w:val="2"/>
            <w:tcBorders>
              <w:top w:val="single" w:color="auto" w:sz="4" w:space="0"/>
              <w:left w:val="single" w:color="auto" w:sz="4" w:space="0"/>
              <w:bottom w:val="single" w:color="auto" w:sz="4" w:space="0"/>
              <w:right w:val="single" w:color="auto" w:sz="4" w:space="0"/>
            </w:tcBorders>
          </w:tcPr>
          <w:p w14:paraId="66DF4FAF">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14:paraId="639D5158">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14:paraId="76B72C26">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tcPr>
          <w:p w14:paraId="60E8BA9D">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14:paraId="7CC7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09937DC7">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14:paraId="0CFF3F0E">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659" w:type="dxa"/>
            <w:gridSpan w:val="2"/>
            <w:tcBorders>
              <w:top w:val="single" w:color="auto" w:sz="4" w:space="0"/>
              <w:left w:val="single" w:color="auto" w:sz="4" w:space="0"/>
              <w:bottom w:val="single" w:color="auto" w:sz="4" w:space="0"/>
              <w:right w:val="single" w:color="auto" w:sz="4" w:space="0"/>
            </w:tcBorders>
          </w:tcPr>
          <w:p w14:paraId="0625D8AC">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14:paraId="1864D669">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2F2E0E4D">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14:paraId="379CBF0A">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747F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04E866B2">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14:paraId="1C31622F">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659" w:type="dxa"/>
            <w:gridSpan w:val="2"/>
            <w:tcBorders>
              <w:top w:val="single" w:color="auto" w:sz="4" w:space="0"/>
              <w:left w:val="single" w:color="auto" w:sz="4" w:space="0"/>
              <w:bottom w:val="single" w:color="auto" w:sz="4" w:space="0"/>
              <w:right w:val="single" w:color="auto" w:sz="4" w:space="0"/>
            </w:tcBorders>
          </w:tcPr>
          <w:p w14:paraId="65E02AA1">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14:paraId="20100855">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36A8693A">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14:paraId="658285F0">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7E6E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39ACB92B">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14:paraId="16223B70">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659" w:type="dxa"/>
            <w:gridSpan w:val="2"/>
            <w:tcBorders>
              <w:top w:val="single" w:color="auto" w:sz="4" w:space="0"/>
              <w:left w:val="single" w:color="auto" w:sz="4" w:space="0"/>
              <w:bottom w:val="single" w:color="auto" w:sz="4" w:space="0"/>
              <w:right w:val="single" w:color="auto" w:sz="4" w:space="0"/>
            </w:tcBorders>
          </w:tcPr>
          <w:p w14:paraId="548524E7">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14:paraId="76F10461">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1093B7AD">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14:paraId="75E643EF">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408F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1E0B1B75">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14:paraId="1AB45BBB">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残疾人福利性单位产品金额合计</w:t>
            </w:r>
          </w:p>
        </w:tc>
        <w:tc>
          <w:tcPr>
            <w:tcW w:w="1472" w:type="dxa"/>
            <w:tcBorders>
              <w:top w:val="single" w:color="auto" w:sz="4" w:space="0"/>
              <w:left w:val="single" w:color="auto" w:sz="4" w:space="0"/>
              <w:bottom w:val="single" w:color="auto" w:sz="4" w:space="0"/>
              <w:right w:val="single" w:color="auto" w:sz="4" w:space="0"/>
            </w:tcBorders>
          </w:tcPr>
          <w:p w14:paraId="1D7AB906">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5A16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48F5638E">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14:paraId="7A0E5A0E">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比重（残疾人福利性单位金额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tcPr>
          <w:p w14:paraId="1392775C">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14:paraId="3D17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4E7CA135">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14:paraId="18EDE4F3">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残疾人福利性单位证明文件见响应文件第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至</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c>
          <w:tcPr>
            <w:tcW w:w="1472" w:type="dxa"/>
            <w:tcBorders>
              <w:top w:val="single" w:color="auto" w:sz="4" w:space="0"/>
              <w:left w:val="single" w:color="auto" w:sz="4" w:space="0"/>
              <w:bottom w:val="single" w:color="auto" w:sz="4" w:space="0"/>
              <w:right w:val="single" w:color="auto" w:sz="4" w:space="0"/>
            </w:tcBorders>
          </w:tcPr>
          <w:p w14:paraId="4E4114BA">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bl>
    <w:p w14:paraId="07AE3EA9">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填报要求：</w:t>
      </w:r>
    </w:p>
    <w:p w14:paraId="2F1DD2D3">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本表的产品名称、金额应与《分项报价表》一致。</w:t>
      </w:r>
    </w:p>
    <w:p w14:paraId="1867D056">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制造商为小型或微型企业时才需要填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栏，填写内容为</w:t>
      </w:r>
      <w:r>
        <w:rPr>
          <w:rFonts w:ascii="Times New Roman" w:hAnsi="Times New Roman" w:cs="Times New Roman"/>
          <w:color w:val="auto"/>
          <w:sz w:val="24"/>
          <w:szCs w:val="24"/>
        </w:rPr>
        <w:t>“</w:t>
      </w:r>
      <w:r>
        <w:rPr>
          <w:rFonts w:hint="eastAsia" w:ascii="Times New Roman" w:hAnsi="Times New Roman" w:cs="Times New Roman"/>
          <w:color w:val="auto"/>
          <w:sz w:val="24"/>
          <w:szCs w:val="24"/>
        </w:rPr>
        <w:t>小型</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或</w:t>
      </w:r>
      <w:r>
        <w:rPr>
          <w:rFonts w:ascii="Times New Roman" w:hAnsi="Times New Roman" w:cs="Times New Roman"/>
          <w:color w:val="auto"/>
          <w:sz w:val="24"/>
          <w:szCs w:val="24"/>
        </w:rPr>
        <w:t>“</w:t>
      </w:r>
      <w:r>
        <w:rPr>
          <w:rFonts w:hint="eastAsia" w:ascii="Times New Roman" w:hAnsi="Times New Roman" w:cs="Times New Roman"/>
          <w:color w:val="auto"/>
          <w:sz w:val="24"/>
          <w:szCs w:val="24"/>
        </w:rPr>
        <w:t>微型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p>
    <w:p w14:paraId="757A25FF">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制造商为监狱企业或</w:t>
      </w:r>
      <w:r>
        <w:rPr>
          <w:rFonts w:hint="eastAsia" w:ascii="Times New Roman" w:hAnsi="Times New Roman" w:cs="Times New Roman"/>
          <w:color w:val="auto"/>
          <w:kern w:val="0"/>
          <w:sz w:val="24"/>
          <w:szCs w:val="24"/>
        </w:rPr>
        <w:t>残疾人福利性单位</w:t>
      </w:r>
      <w:r>
        <w:rPr>
          <w:rFonts w:hint="eastAsia" w:ascii="Times New Roman" w:hAnsi="Times New Roman" w:cs="Times New Roman"/>
          <w:color w:val="auto"/>
          <w:sz w:val="24"/>
          <w:szCs w:val="24"/>
        </w:rPr>
        <w:t>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w:t>
      </w:r>
    </w:p>
    <w:p w14:paraId="4A74D0F7">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请供应商正确填写本表，所填内容将作为评分的依据。如果填写不完整或有误，不再享受上述政策优惠。</w:t>
      </w:r>
    </w:p>
    <w:p w14:paraId="45B7CB63">
      <w:pPr>
        <w:keepNext w:val="0"/>
        <w:keepLines w:val="0"/>
        <w:pageBreakBefore w:val="0"/>
        <w:kinsoku/>
        <w:wordWrap/>
        <w:overflowPunct/>
        <w:topLinePunct w:val="0"/>
        <w:bidi w:val="0"/>
        <w:adjustRightInd/>
        <w:ind w:right="0" w:rightChars="0" w:firstLine="480" w:firstLineChars="200"/>
        <w:textAlignment w:val="auto"/>
        <w:rPr>
          <w:rFonts w:ascii="Times New Roman" w:hAnsi="Times New Roman" w:cs="Times New Roman"/>
          <w:color w:val="auto"/>
          <w:sz w:val="24"/>
          <w:szCs w:val="24"/>
        </w:rPr>
      </w:pPr>
    </w:p>
    <w:p w14:paraId="1C0C1FA8">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14:paraId="134450EB">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授权代表（签字）：</w:t>
      </w:r>
    </w:p>
    <w:p w14:paraId="66909BC4">
      <w:pPr>
        <w:keepNext w:val="0"/>
        <w:keepLines w:val="0"/>
        <w:pageBreakBefore w:val="0"/>
        <w:widowControl/>
        <w:kinsoku/>
        <w:wordWrap/>
        <w:overflowPunct/>
        <w:topLinePunct w:val="0"/>
        <w:bidi w:val="0"/>
        <w:adjustRightInd/>
        <w:spacing w:line="440" w:lineRule="exact"/>
        <w:ind w:right="0" w:rightChars="0"/>
        <w:jc w:val="left"/>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r>
        <w:rPr>
          <w:rFonts w:ascii="Times New Roman" w:hAnsi="Times New Roman" w:cs="Times New Roman"/>
          <w:color w:val="auto"/>
          <w:sz w:val="24"/>
          <w:szCs w:val="24"/>
        </w:rPr>
        <w:br w:type="page"/>
      </w:r>
    </w:p>
    <w:p w14:paraId="10CAC9F8">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83" w:name="_Toc1762"/>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14-1</w:t>
      </w:r>
      <w:bookmarkEnd w:id="83"/>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中小企业声明函</w:t>
      </w:r>
    </w:p>
    <w:p w14:paraId="4CFFAB75">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14:paraId="4F21DF94">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14:paraId="39C95FA2">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14:paraId="592B531F">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中小企业声明函</w:t>
      </w:r>
    </w:p>
    <w:p w14:paraId="433E84BB">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　　</w:t>
      </w:r>
    </w:p>
    <w:p w14:paraId="7DCA7A37">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本公司郑重声明，根据《政府采购促进中小企业发展暂行办法》（财库〔</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181</w:t>
      </w:r>
      <w:r>
        <w:rPr>
          <w:rFonts w:hint="eastAsia" w:ascii="Times New Roman" w:hAnsi="Times New Roman" w:cs="Times New Roman" w:eastAsiaTheme="majorEastAsia"/>
          <w:color w:val="auto"/>
          <w:sz w:val="24"/>
          <w:szCs w:val="24"/>
        </w:rPr>
        <w:t>号）的规定，本公司为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（请填写：中型、小型、微型）企业。即，本公司同时满足以下条件：</w:t>
      </w:r>
    </w:p>
    <w:p w14:paraId="3256F01E">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1. </w:t>
      </w:r>
      <w:r>
        <w:rPr>
          <w:rFonts w:hint="eastAsia" w:ascii="Times New Roman" w:hAnsi="Times New Roman" w:cs="Times New Roman" w:eastAsiaTheme="majorEastAsia"/>
          <w:color w:val="auto"/>
          <w:sz w:val="24"/>
          <w:szCs w:val="24"/>
        </w:rPr>
        <w:t>根据《工业和信息化部、国家统计局、国家发展和改革委员会、财政部关于印发中小企业划型标准规定的通知》（工信部联企业〔</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300</w:t>
      </w:r>
      <w:r>
        <w:rPr>
          <w:rFonts w:hint="eastAsia" w:ascii="Times New Roman" w:hAnsi="Times New Roman" w:cs="Times New Roman" w:eastAsiaTheme="majorEastAsia"/>
          <w:color w:val="auto"/>
          <w:sz w:val="24"/>
          <w:szCs w:val="24"/>
        </w:rPr>
        <w:t>号）规定的划分标准，本公司为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w:t>
      </w:r>
    </w:p>
    <w:p w14:paraId="061F1F7B">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2. </w:t>
      </w:r>
      <w:r>
        <w:rPr>
          <w:rFonts w:hint="eastAsia" w:ascii="Times New Roman" w:hAnsi="Times New Roman" w:cs="Times New Roman" w:eastAsiaTheme="majorEastAsia"/>
          <w:color w:val="auto"/>
          <w:sz w:val="24"/>
          <w:szCs w:val="24"/>
        </w:rPr>
        <w:t>本公司参加</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单位的</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项目（项目编号：）采购活动提供本企业制造的货物，由本企业承担工程、提供服务，或者提供其他</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（请填写：中型、小型、微型）企业制造的货物。本条所称货物不包括使用大型企业注册商标的货物。</w:t>
      </w:r>
    </w:p>
    <w:p w14:paraId="02F38B8B">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　　本公司对上述声明的真实性负责。如有虚假，将依法承担相应责任。</w:t>
      </w:r>
    </w:p>
    <w:p w14:paraId="3C3AFD4F">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　　</w:t>
      </w:r>
    </w:p>
    <w:p w14:paraId="74E761BF">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企业名称（盖章）：</w:t>
      </w:r>
    </w:p>
    <w:p w14:paraId="4B972FF7">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企业法人（负责人）签字（签章）：</w:t>
      </w:r>
    </w:p>
    <w:p w14:paraId="48889E1E">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　　日</w:t>
      </w:r>
      <w:r>
        <w:rPr>
          <w:rFonts w:ascii="Times New Roman" w:hAnsi="Times New Roman" w:cs="Times New Roman" w:eastAsiaTheme="majorEastAsia"/>
          <w:color w:val="auto"/>
          <w:sz w:val="24"/>
          <w:szCs w:val="24"/>
        </w:rPr>
        <w:t>   </w:t>
      </w:r>
      <w:r>
        <w:rPr>
          <w:rFonts w:hint="eastAsia" w:ascii="Times New Roman" w:hAnsi="Times New Roman" w:cs="Times New Roman" w:eastAsiaTheme="majorEastAsia"/>
          <w:color w:val="auto"/>
          <w:sz w:val="24"/>
          <w:szCs w:val="24"/>
        </w:rPr>
        <w:t>期：</w:t>
      </w:r>
    </w:p>
    <w:p w14:paraId="3D8AE144">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ascii="Times New Roman" w:hAnsi="Times New Roman" w:cs="Times New Roman" w:eastAsiaTheme="majorEastAsia"/>
          <w:color w:val="auto"/>
          <w:sz w:val="24"/>
          <w:szCs w:val="24"/>
        </w:rPr>
        <w:sectPr>
          <w:pgSz w:w="11906" w:h="16838"/>
          <w:pgMar w:top="1417" w:right="1480" w:bottom="1417" w:left="1386" w:header="851" w:footer="992" w:gutter="0"/>
          <w:pgBorders>
            <w:top w:val="none" w:sz="0" w:space="0"/>
            <w:left w:val="none" w:sz="0" w:space="0"/>
            <w:bottom w:val="none" w:sz="0" w:space="0"/>
            <w:right w:val="none" w:sz="0" w:space="0"/>
          </w:pgBorders>
          <w:cols w:space="720" w:num="1"/>
          <w:rtlGutter w:val="0"/>
          <w:docGrid w:type="lines" w:linePitch="312" w:charSpace="0"/>
        </w:sectPr>
      </w:pPr>
    </w:p>
    <w:p w14:paraId="03599A6F">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中小企业划型标准</w:t>
      </w:r>
    </w:p>
    <w:tbl>
      <w:tblPr>
        <w:tblStyle w:val="41"/>
        <w:tblW w:w="14175" w:type="dxa"/>
        <w:tblInd w:w="0" w:type="dxa"/>
        <w:tblLayout w:type="fixed"/>
        <w:tblCellMar>
          <w:top w:w="0" w:type="dxa"/>
          <w:left w:w="108" w:type="dxa"/>
          <w:bottom w:w="0" w:type="dxa"/>
          <w:right w:w="108" w:type="dxa"/>
        </w:tblCellMar>
      </w:tblPr>
      <w:tblGrid>
        <w:gridCol w:w="427"/>
        <w:gridCol w:w="1387"/>
        <w:gridCol w:w="924"/>
        <w:gridCol w:w="916"/>
        <w:gridCol w:w="1083"/>
        <w:gridCol w:w="989"/>
        <w:gridCol w:w="904"/>
        <w:gridCol w:w="1100"/>
        <w:gridCol w:w="1057"/>
        <w:gridCol w:w="955"/>
        <w:gridCol w:w="1162"/>
        <w:gridCol w:w="1057"/>
        <w:gridCol w:w="1193"/>
        <w:gridCol w:w="1021"/>
      </w:tblGrid>
      <w:tr w14:paraId="174805B5">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27D1B8C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387" w:type="dxa"/>
            <w:vMerge w:val="restart"/>
            <w:tcBorders>
              <w:top w:val="single" w:color="auto" w:sz="4" w:space="0"/>
              <w:left w:val="nil"/>
              <w:bottom w:val="single" w:color="auto" w:sz="4" w:space="0"/>
              <w:right w:val="single" w:color="auto" w:sz="4" w:space="0"/>
            </w:tcBorders>
            <w:vAlign w:val="center"/>
          </w:tcPr>
          <w:p w14:paraId="2D9879E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行业</w:t>
            </w:r>
          </w:p>
        </w:tc>
        <w:tc>
          <w:tcPr>
            <w:tcW w:w="2923" w:type="dxa"/>
            <w:gridSpan w:val="3"/>
            <w:tcBorders>
              <w:top w:val="single" w:color="auto" w:sz="4" w:space="0"/>
              <w:left w:val="nil"/>
              <w:bottom w:val="single" w:color="auto" w:sz="4" w:space="0"/>
              <w:right w:val="single" w:color="auto" w:sz="4" w:space="0"/>
            </w:tcBorders>
            <w:vAlign w:val="center"/>
          </w:tcPr>
          <w:p w14:paraId="606A014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大型企业</w:t>
            </w:r>
          </w:p>
        </w:tc>
        <w:tc>
          <w:tcPr>
            <w:tcW w:w="2993" w:type="dxa"/>
            <w:gridSpan w:val="3"/>
            <w:tcBorders>
              <w:top w:val="single" w:color="auto" w:sz="4" w:space="0"/>
              <w:left w:val="nil"/>
              <w:bottom w:val="single" w:color="auto" w:sz="4" w:space="0"/>
              <w:right w:val="single" w:color="auto" w:sz="4" w:space="0"/>
            </w:tcBorders>
            <w:vAlign w:val="center"/>
          </w:tcPr>
          <w:p w14:paraId="72BBCA4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中型企业</w:t>
            </w:r>
          </w:p>
        </w:tc>
        <w:tc>
          <w:tcPr>
            <w:tcW w:w="3174" w:type="dxa"/>
            <w:gridSpan w:val="3"/>
            <w:tcBorders>
              <w:top w:val="single" w:color="auto" w:sz="4" w:space="0"/>
              <w:left w:val="nil"/>
              <w:bottom w:val="single" w:color="auto" w:sz="4" w:space="0"/>
              <w:right w:val="single" w:color="auto" w:sz="4" w:space="0"/>
            </w:tcBorders>
            <w:vAlign w:val="center"/>
          </w:tcPr>
          <w:p w14:paraId="4B13013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小型企业</w:t>
            </w:r>
          </w:p>
        </w:tc>
        <w:tc>
          <w:tcPr>
            <w:tcW w:w="3271" w:type="dxa"/>
            <w:gridSpan w:val="3"/>
            <w:tcBorders>
              <w:top w:val="single" w:color="auto" w:sz="4" w:space="0"/>
              <w:left w:val="nil"/>
              <w:bottom w:val="single" w:color="auto" w:sz="4" w:space="0"/>
              <w:right w:val="single" w:color="auto" w:sz="4" w:space="0"/>
            </w:tcBorders>
            <w:vAlign w:val="center"/>
          </w:tcPr>
          <w:p w14:paraId="3D6BBBC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微型企业</w:t>
            </w:r>
          </w:p>
        </w:tc>
      </w:tr>
      <w:tr w14:paraId="06019778">
        <w:tblPrEx>
          <w:tblCellMar>
            <w:top w:w="0" w:type="dxa"/>
            <w:left w:w="108" w:type="dxa"/>
            <w:bottom w:w="0" w:type="dxa"/>
            <w:right w:w="108" w:type="dxa"/>
          </w:tblCellMar>
        </w:tblPrEx>
        <w:trPr>
          <w:trHeight w:val="226" w:hRule="atLeast"/>
          <w:tblHead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F854E15">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387" w:type="dxa"/>
            <w:vMerge w:val="continue"/>
            <w:tcBorders>
              <w:top w:val="single" w:color="auto" w:sz="4" w:space="0"/>
              <w:left w:val="nil"/>
              <w:bottom w:val="single" w:color="auto" w:sz="4" w:space="0"/>
              <w:right w:val="single" w:color="auto" w:sz="4" w:space="0"/>
            </w:tcBorders>
            <w:vAlign w:val="center"/>
          </w:tcPr>
          <w:p w14:paraId="40191E96">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924" w:type="dxa"/>
            <w:tcBorders>
              <w:top w:val="nil"/>
              <w:left w:val="nil"/>
              <w:bottom w:val="single" w:color="auto" w:sz="4" w:space="0"/>
              <w:right w:val="single" w:color="auto" w:sz="4" w:space="0"/>
            </w:tcBorders>
            <w:vAlign w:val="center"/>
          </w:tcPr>
          <w:p w14:paraId="0224D6E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14:paraId="04846C4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16" w:type="dxa"/>
            <w:tcBorders>
              <w:top w:val="nil"/>
              <w:left w:val="nil"/>
              <w:bottom w:val="single" w:color="auto" w:sz="4" w:space="0"/>
              <w:right w:val="single" w:color="auto" w:sz="4" w:space="0"/>
            </w:tcBorders>
            <w:vAlign w:val="center"/>
          </w:tcPr>
          <w:p w14:paraId="3FA4835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14:paraId="6A06D5A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83" w:type="dxa"/>
            <w:tcBorders>
              <w:top w:val="nil"/>
              <w:left w:val="nil"/>
              <w:bottom w:val="single" w:color="auto" w:sz="4" w:space="0"/>
              <w:right w:val="single" w:color="auto" w:sz="4" w:space="0"/>
            </w:tcBorders>
            <w:vAlign w:val="center"/>
          </w:tcPr>
          <w:p w14:paraId="488FE2A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14:paraId="5658172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89" w:type="dxa"/>
            <w:tcBorders>
              <w:top w:val="nil"/>
              <w:left w:val="nil"/>
              <w:bottom w:val="single" w:color="auto" w:sz="4" w:space="0"/>
              <w:right w:val="single" w:color="auto" w:sz="4" w:space="0"/>
            </w:tcBorders>
            <w:vAlign w:val="center"/>
          </w:tcPr>
          <w:p w14:paraId="48AF977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14:paraId="0C49B4E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04" w:type="dxa"/>
            <w:tcBorders>
              <w:top w:val="nil"/>
              <w:left w:val="nil"/>
              <w:bottom w:val="single" w:color="auto" w:sz="4" w:space="0"/>
              <w:right w:val="single" w:color="auto" w:sz="4" w:space="0"/>
            </w:tcBorders>
            <w:vAlign w:val="center"/>
          </w:tcPr>
          <w:p w14:paraId="5CA1887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14:paraId="0B68194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00" w:type="dxa"/>
            <w:tcBorders>
              <w:top w:val="nil"/>
              <w:left w:val="nil"/>
              <w:bottom w:val="single" w:color="auto" w:sz="4" w:space="0"/>
              <w:right w:val="single" w:color="auto" w:sz="4" w:space="0"/>
            </w:tcBorders>
            <w:vAlign w:val="center"/>
          </w:tcPr>
          <w:p w14:paraId="4A52A2A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14:paraId="59DE994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14:paraId="1C453FC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14:paraId="3375389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55" w:type="dxa"/>
            <w:tcBorders>
              <w:top w:val="nil"/>
              <w:left w:val="nil"/>
              <w:bottom w:val="single" w:color="auto" w:sz="4" w:space="0"/>
              <w:right w:val="single" w:color="auto" w:sz="4" w:space="0"/>
            </w:tcBorders>
            <w:vAlign w:val="center"/>
          </w:tcPr>
          <w:p w14:paraId="3CD2B77C">
            <w:pPr>
              <w:keepNext w:val="0"/>
              <w:keepLines w:val="0"/>
              <w:pageBreakBefore w:val="0"/>
              <w:widowControl/>
              <w:kinsoku/>
              <w:wordWrap/>
              <w:overflowPunct/>
              <w:topLinePunct w:val="0"/>
              <w:bidi w:val="0"/>
              <w:adjustRightInd/>
              <w:spacing w:line="240" w:lineRule="atLeast"/>
              <w:ind w:left="105" w:leftChars="-40" w:right="0" w:rightChars="0" w:hanging="189" w:hangingChars="79"/>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14:paraId="3CACDA5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62" w:type="dxa"/>
            <w:tcBorders>
              <w:top w:val="nil"/>
              <w:left w:val="nil"/>
              <w:bottom w:val="single" w:color="auto" w:sz="4" w:space="0"/>
              <w:right w:val="single" w:color="auto" w:sz="4" w:space="0"/>
            </w:tcBorders>
            <w:vAlign w:val="center"/>
          </w:tcPr>
          <w:p w14:paraId="1E99B4A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14:paraId="5A4B9CA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14:paraId="7084287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14:paraId="282EFF0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193" w:type="dxa"/>
            <w:tcBorders>
              <w:top w:val="nil"/>
              <w:left w:val="nil"/>
              <w:bottom w:val="single" w:color="auto" w:sz="4" w:space="0"/>
              <w:right w:val="single" w:color="auto" w:sz="4" w:space="0"/>
            </w:tcBorders>
            <w:vAlign w:val="center"/>
          </w:tcPr>
          <w:p w14:paraId="0137C37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14:paraId="2189553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21" w:type="dxa"/>
            <w:tcBorders>
              <w:top w:val="nil"/>
              <w:left w:val="nil"/>
              <w:bottom w:val="single" w:color="auto" w:sz="4" w:space="0"/>
              <w:right w:val="single" w:color="auto" w:sz="4" w:space="0"/>
            </w:tcBorders>
            <w:vAlign w:val="center"/>
          </w:tcPr>
          <w:p w14:paraId="5202E3F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14:paraId="5FBCFE2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r>
      <w:tr w14:paraId="1F7B7BD3">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vAlign w:val="center"/>
          </w:tcPr>
          <w:p w14:paraId="21210C7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387" w:type="dxa"/>
            <w:tcBorders>
              <w:top w:val="single" w:color="auto" w:sz="4" w:space="0"/>
              <w:left w:val="nil"/>
              <w:bottom w:val="single" w:color="auto" w:sz="4" w:space="0"/>
              <w:right w:val="single" w:color="auto" w:sz="4" w:space="0"/>
            </w:tcBorders>
            <w:vAlign w:val="center"/>
          </w:tcPr>
          <w:p w14:paraId="2AF3B203">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农、林、牧、渔业</w:t>
            </w:r>
          </w:p>
        </w:tc>
        <w:tc>
          <w:tcPr>
            <w:tcW w:w="924" w:type="dxa"/>
            <w:tcBorders>
              <w:top w:val="single" w:color="auto" w:sz="4" w:space="0"/>
              <w:left w:val="nil"/>
              <w:bottom w:val="single" w:color="auto" w:sz="4" w:space="0"/>
              <w:right w:val="single" w:color="auto" w:sz="4" w:space="0"/>
            </w:tcBorders>
            <w:vAlign w:val="center"/>
          </w:tcPr>
          <w:p w14:paraId="6E5D6D3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14:paraId="68E126A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14:paraId="5DAA0DD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02CBB9C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14:paraId="4300C7D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14:paraId="2F59B92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5F63CAF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14:paraId="6C1E852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14:paraId="1102A4E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5B2311A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bottom"/>
          </w:tcPr>
          <w:p w14:paraId="66E293B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bottom"/>
          </w:tcPr>
          <w:p w14:paraId="728C62E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1512C887">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401DEC3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387" w:type="dxa"/>
            <w:tcBorders>
              <w:top w:val="nil"/>
              <w:left w:val="nil"/>
              <w:bottom w:val="single" w:color="auto" w:sz="4" w:space="0"/>
              <w:right w:val="single" w:color="auto" w:sz="4" w:space="0"/>
            </w:tcBorders>
            <w:vAlign w:val="center"/>
          </w:tcPr>
          <w:p w14:paraId="42BBA79A">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工业</w:t>
            </w:r>
          </w:p>
        </w:tc>
        <w:tc>
          <w:tcPr>
            <w:tcW w:w="924" w:type="dxa"/>
            <w:tcBorders>
              <w:top w:val="nil"/>
              <w:left w:val="nil"/>
              <w:bottom w:val="single" w:color="auto" w:sz="4" w:space="0"/>
              <w:right w:val="single" w:color="auto" w:sz="4" w:space="0"/>
            </w:tcBorders>
            <w:vAlign w:val="center"/>
          </w:tcPr>
          <w:p w14:paraId="435239D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14:paraId="352A7E1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14:paraId="3287B9F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064AB1A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14:paraId="529B4C2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14:paraId="515AAFC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74D0850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14:paraId="0917656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14:paraId="77C310A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640C0B0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14:paraId="15C6F82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14:paraId="00D5126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71A27F54">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071D693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1387" w:type="dxa"/>
            <w:tcBorders>
              <w:top w:val="nil"/>
              <w:left w:val="nil"/>
              <w:bottom w:val="single" w:color="auto" w:sz="4" w:space="0"/>
              <w:right w:val="single" w:color="auto" w:sz="4" w:space="0"/>
            </w:tcBorders>
            <w:vAlign w:val="center"/>
          </w:tcPr>
          <w:p w14:paraId="2687239C">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建筑业</w:t>
            </w:r>
          </w:p>
        </w:tc>
        <w:tc>
          <w:tcPr>
            <w:tcW w:w="924" w:type="dxa"/>
            <w:tcBorders>
              <w:top w:val="nil"/>
              <w:left w:val="nil"/>
              <w:bottom w:val="single" w:color="auto" w:sz="4" w:space="0"/>
              <w:right w:val="single" w:color="auto" w:sz="4" w:space="0"/>
            </w:tcBorders>
            <w:vAlign w:val="center"/>
          </w:tcPr>
          <w:p w14:paraId="559DA8F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16" w:type="dxa"/>
            <w:tcBorders>
              <w:top w:val="nil"/>
              <w:left w:val="nil"/>
              <w:bottom w:val="single" w:color="auto" w:sz="4" w:space="0"/>
              <w:right w:val="single" w:color="auto" w:sz="4" w:space="0"/>
            </w:tcBorders>
            <w:vAlign w:val="center"/>
          </w:tcPr>
          <w:p w14:paraId="3C91066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14:paraId="6135A9D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89" w:type="dxa"/>
            <w:tcBorders>
              <w:top w:val="nil"/>
              <w:left w:val="nil"/>
              <w:bottom w:val="single" w:color="auto" w:sz="4" w:space="0"/>
              <w:right w:val="single" w:color="auto" w:sz="4" w:space="0"/>
            </w:tcBorders>
            <w:vAlign w:val="center"/>
          </w:tcPr>
          <w:p w14:paraId="0E37520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14:paraId="78429ED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14:paraId="79F3433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14:paraId="0A4CC50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14:paraId="515527B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14:paraId="1A6CBDD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57" w:type="dxa"/>
            <w:tcBorders>
              <w:top w:val="nil"/>
              <w:left w:val="nil"/>
              <w:bottom w:val="single" w:color="auto" w:sz="4" w:space="0"/>
              <w:right w:val="single" w:color="auto" w:sz="4" w:space="0"/>
            </w:tcBorders>
            <w:vAlign w:val="center"/>
          </w:tcPr>
          <w:p w14:paraId="1717F81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14:paraId="55EB3AD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14:paraId="3644F2D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r>
      <w:tr w14:paraId="523CDFB8">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5B9C98B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1387" w:type="dxa"/>
            <w:tcBorders>
              <w:top w:val="nil"/>
              <w:left w:val="nil"/>
              <w:bottom w:val="single" w:color="auto" w:sz="4" w:space="0"/>
              <w:right w:val="single" w:color="auto" w:sz="4" w:space="0"/>
            </w:tcBorders>
            <w:vAlign w:val="center"/>
          </w:tcPr>
          <w:p w14:paraId="278CA60F">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批发业</w:t>
            </w:r>
          </w:p>
        </w:tc>
        <w:tc>
          <w:tcPr>
            <w:tcW w:w="924" w:type="dxa"/>
            <w:tcBorders>
              <w:top w:val="nil"/>
              <w:left w:val="nil"/>
              <w:bottom w:val="single" w:color="auto" w:sz="4" w:space="0"/>
              <w:right w:val="single" w:color="auto" w:sz="4" w:space="0"/>
            </w:tcBorders>
            <w:vAlign w:val="center"/>
          </w:tcPr>
          <w:p w14:paraId="7AD14AA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14:paraId="29AFCBD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14:paraId="62A9B3E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20FC67E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14:paraId="0DB87E1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00" w:type="dxa"/>
            <w:tcBorders>
              <w:top w:val="nil"/>
              <w:left w:val="nil"/>
              <w:bottom w:val="single" w:color="auto" w:sz="4" w:space="0"/>
              <w:right w:val="single" w:color="auto" w:sz="4" w:space="0"/>
            </w:tcBorders>
            <w:vAlign w:val="center"/>
          </w:tcPr>
          <w:p w14:paraId="7E3E27C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1F11614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55" w:type="dxa"/>
            <w:tcBorders>
              <w:top w:val="nil"/>
              <w:left w:val="nil"/>
              <w:bottom w:val="single" w:color="auto" w:sz="4" w:space="0"/>
              <w:right w:val="single" w:color="auto" w:sz="4" w:space="0"/>
            </w:tcBorders>
            <w:vAlign w:val="center"/>
          </w:tcPr>
          <w:p w14:paraId="75286F8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14:paraId="36F2840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1929A03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1000</w:t>
            </w:r>
          </w:p>
        </w:tc>
        <w:tc>
          <w:tcPr>
            <w:tcW w:w="1193" w:type="dxa"/>
            <w:tcBorders>
              <w:top w:val="nil"/>
              <w:left w:val="nil"/>
              <w:bottom w:val="single" w:color="auto" w:sz="4" w:space="0"/>
              <w:right w:val="single" w:color="auto" w:sz="4" w:space="0"/>
            </w:tcBorders>
            <w:vAlign w:val="center"/>
          </w:tcPr>
          <w:p w14:paraId="402FCE7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w:t>
            </w:r>
          </w:p>
        </w:tc>
        <w:tc>
          <w:tcPr>
            <w:tcW w:w="1021" w:type="dxa"/>
            <w:tcBorders>
              <w:top w:val="nil"/>
              <w:left w:val="nil"/>
              <w:bottom w:val="single" w:color="auto" w:sz="4" w:space="0"/>
              <w:right w:val="single" w:color="auto" w:sz="4" w:space="0"/>
            </w:tcBorders>
            <w:vAlign w:val="bottom"/>
          </w:tcPr>
          <w:p w14:paraId="6F810A4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76AB7193">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68ED4AA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1387" w:type="dxa"/>
            <w:tcBorders>
              <w:top w:val="nil"/>
              <w:left w:val="nil"/>
              <w:bottom w:val="single" w:color="auto" w:sz="4" w:space="0"/>
              <w:right w:val="single" w:color="auto" w:sz="4" w:space="0"/>
            </w:tcBorders>
            <w:vAlign w:val="center"/>
          </w:tcPr>
          <w:p w14:paraId="2D385EF4">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零售业</w:t>
            </w:r>
          </w:p>
        </w:tc>
        <w:tc>
          <w:tcPr>
            <w:tcW w:w="924" w:type="dxa"/>
            <w:tcBorders>
              <w:top w:val="nil"/>
              <w:left w:val="nil"/>
              <w:bottom w:val="single" w:color="auto" w:sz="4" w:space="0"/>
              <w:right w:val="single" w:color="auto" w:sz="4" w:space="0"/>
            </w:tcBorders>
            <w:vAlign w:val="center"/>
          </w:tcPr>
          <w:p w14:paraId="07B7E59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14:paraId="43E2A19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14:paraId="1495571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03330CC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14:paraId="1248EEA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1100" w:type="dxa"/>
            <w:tcBorders>
              <w:top w:val="nil"/>
              <w:left w:val="nil"/>
              <w:bottom w:val="single" w:color="auto" w:sz="4" w:space="0"/>
              <w:right w:val="single" w:color="auto" w:sz="4" w:space="0"/>
            </w:tcBorders>
            <w:vAlign w:val="center"/>
          </w:tcPr>
          <w:p w14:paraId="599EAFA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1F93C99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14:paraId="5A4A187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14:paraId="4971AC1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0054752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14:paraId="3BDACD2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14:paraId="6DD5835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08135748">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063F94C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1387" w:type="dxa"/>
            <w:tcBorders>
              <w:top w:val="nil"/>
              <w:left w:val="nil"/>
              <w:bottom w:val="single" w:color="auto" w:sz="4" w:space="0"/>
              <w:right w:val="single" w:color="auto" w:sz="4" w:space="0"/>
            </w:tcBorders>
            <w:vAlign w:val="center"/>
          </w:tcPr>
          <w:p w14:paraId="1A6EFFE2">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交通运输业</w:t>
            </w:r>
          </w:p>
        </w:tc>
        <w:tc>
          <w:tcPr>
            <w:tcW w:w="924" w:type="dxa"/>
            <w:tcBorders>
              <w:top w:val="nil"/>
              <w:left w:val="nil"/>
              <w:bottom w:val="single" w:color="auto" w:sz="4" w:space="0"/>
              <w:right w:val="single" w:color="auto" w:sz="4" w:space="0"/>
            </w:tcBorders>
            <w:vAlign w:val="center"/>
          </w:tcPr>
          <w:p w14:paraId="1FD037C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14:paraId="713F5DF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14:paraId="449795F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5A79AB8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w:t>
            </w:r>
          </w:p>
        </w:tc>
        <w:tc>
          <w:tcPr>
            <w:tcW w:w="904" w:type="dxa"/>
            <w:tcBorders>
              <w:top w:val="nil"/>
              <w:left w:val="nil"/>
              <w:bottom w:val="single" w:color="auto" w:sz="4" w:space="0"/>
              <w:right w:val="single" w:color="auto" w:sz="4" w:space="0"/>
            </w:tcBorders>
            <w:vAlign w:val="center"/>
          </w:tcPr>
          <w:p w14:paraId="3D66D34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14:paraId="0389BA5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566E58B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955" w:type="dxa"/>
            <w:tcBorders>
              <w:top w:val="nil"/>
              <w:left w:val="nil"/>
              <w:bottom w:val="single" w:color="auto" w:sz="4" w:space="0"/>
              <w:right w:val="single" w:color="auto" w:sz="4" w:space="0"/>
            </w:tcBorders>
            <w:vAlign w:val="center"/>
          </w:tcPr>
          <w:p w14:paraId="32F0A3A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14:paraId="1AE61A2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52243E1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w:t>
            </w:r>
          </w:p>
        </w:tc>
        <w:tc>
          <w:tcPr>
            <w:tcW w:w="1193" w:type="dxa"/>
            <w:tcBorders>
              <w:top w:val="nil"/>
              <w:left w:val="nil"/>
              <w:bottom w:val="single" w:color="auto" w:sz="4" w:space="0"/>
              <w:right w:val="single" w:color="auto" w:sz="4" w:space="0"/>
            </w:tcBorders>
            <w:vAlign w:val="center"/>
          </w:tcPr>
          <w:p w14:paraId="6871A99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14:paraId="78540A9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65D80D95">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1E22586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1387" w:type="dxa"/>
            <w:tcBorders>
              <w:top w:val="nil"/>
              <w:left w:val="nil"/>
              <w:bottom w:val="single" w:color="auto" w:sz="4" w:space="0"/>
              <w:right w:val="single" w:color="auto" w:sz="4" w:space="0"/>
            </w:tcBorders>
            <w:vAlign w:val="center"/>
          </w:tcPr>
          <w:p w14:paraId="345869E8">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仓储业</w:t>
            </w:r>
          </w:p>
        </w:tc>
        <w:tc>
          <w:tcPr>
            <w:tcW w:w="924" w:type="dxa"/>
            <w:tcBorders>
              <w:top w:val="nil"/>
              <w:left w:val="nil"/>
              <w:bottom w:val="single" w:color="auto" w:sz="4" w:space="0"/>
              <w:right w:val="single" w:color="auto" w:sz="4" w:space="0"/>
            </w:tcBorders>
            <w:vAlign w:val="center"/>
          </w:tcPr>
          <w:p w14:paraId="021AEFB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14:paraId="743CACC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14:paraId="7F50304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356DCE3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14:paraId="58D789A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14:paraId="77ACD55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15620A0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14:paraId="1145EE6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14:paraId="2AF869A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6BAC7D1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14:paraId="1BB600C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14:paraId="03CBC69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3B1FA29F">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3A0028B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1387" w:type="dxa"/>
            <w:tcBorders>
              <w:top w:val="nil"/>
              <w:left w:val="nil"/>
              <w:bottom w:val="single" w:color="auto" w:sz="4" w:space="0"/>
              <w:right w:val="single" w:color="auto" w:sz="4" w:space="0"/>
            </w:tcBorders>
            <w:vAlign w:val="center"/>
          </w:tcPr>
          <w:p w14:paraId="3B089588">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邮政业</w:t>
            </w:r>
          </w:p>
        </w:tc>
        <w:tc>
          <w:tcPr>
            <w:tcW w:w="924" w:type="dxa"/>
            <w:tcBorders>
              <w:top w:val="nil"/>
              <w:left w:val="nil"/>
              <w:bottom w:val="single" w:color="auto" w:sz="4" w:space="0"/>
              <w:right w:val="single" w:color="auto" w:sz="4" w:space="0"/>
            </w:tcBorders>
            <w:vAlign w:val="center"/>
          </w:tcPr>
          <w:p w14:paraId="7F12BD9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14:paraId="1D5FF11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14:paraId="03C1DA8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763F5F0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14:paraId="4760D33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14:paraId="2D721B2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5601C08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14:paraId="2E27114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14:paraId="1765BB0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14B05F9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14:paraId="3104BB8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14:paraId="00AE44A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070ED5F2">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361E379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1387" w:type="dxa"/>
            <w:tcBorders>
              <w:top w:val="nil"/>
              <w:left w:val="nil"/>
              <w:bottom w:val="single" w:color="auto" w:sz="4" w:space="0"/>
              <w:right w:val="single" w:color="auto" w:sz="4" w:space="0"/>
            </w:tcBorders>
            <w:vAlign w:val="center"/>
          </w:tcPr>
          <w:p w14:paraId="1117B412">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住宿业</w:t>
            </w:r>
          </w:p>
        </w:tc>
        <w:tc>
          <w:tcPr>
            <w:tcW w:w="924" w:type="dxa"/>
            <w:tcBorders>
              <w:top w:val="nil"/>
              <w:left w:val="nil"/>
              <w:bottom w:val="single" w:color="auto" w:sz="4" w:space="0"/>
              <w:right w:val="single" w:color="auto" w:sz="4" w:space="0"/>
            </w:tcBorders>
            <w:vAlign w:val="center"/>
          </w:tcPr>
          <w:p w14:paraId="34C9868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14:paraId="7BA3ACA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14:paraId="68425BD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06ECE01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14:paraId="6DEF81F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14:paraId="52CE940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293D67F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14:paraId="308F120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14:paraId="1F9F432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16CA12F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14:paraId="2CDFBD9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14:paraId="4DB7522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1039262A">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3288C8A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387" w:type="dxa"/>
            <w:tcBorders>
              <w:top w:val="nil"/>
              <w:left w:val="nil"/>
              <w:bottom w:val="single" w:color="auto" w:sz="4" w:space="0"/>
              <w:right w:val="single" w:color="auto" w:sz="4" w:space="0"/>
            </w:tcBorders>
            <w:vAlign w:val="center"/>
          </w:tcPr>
          <w:p w14:paraId="56A9E6F7">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餐饮业</w:t>
            </w:r>
          </w:p>
        </w:tc>
        <w:tc>
          <w:tcPr>
            <w:tcW w:w="924" w:type="dxa"/>
            <w:tcBorders>
              <w:top w:val="nil"/>
              <w:left w:val="nil"/>
              <w:bottom w:val="single" w:color="auto" w:sz="4" w:space="0"/>
              <w:right w:val="single" w:color="auto" w:sz="4" w:space="0"/>
            </w:tcBorders>
            <w:vAlign w:val="center"/>
          </w:tcPr>
          <w:p w14:paraId="3C33387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14:paraId="643BB4C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14:paraId="33A1014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318B169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14:paraId="085FB40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14:paraId="35728EA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2ADEACC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14:paraId="4129A33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14:paraId="5818386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28A9606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14:paraId="6ABD76A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14:paraId="0B27145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6D14129C">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1691999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p>
        </w:tc>
        <w:tc>
          <w:tcPr>
            <w:tcW w:w="1387" w:type="dxa"/>
            <w:tcBorders>
              <w:top w:val="nil"/>
              <w:left w:val="nil"/>
              <w:bottom w:val="single" w:color="auto" w:sz="4" w:space="0"/>
              <w:right w:val="single" w:color="auto" w:sz="4" w:space="0"/>
            </w:tcBorders>
            <w:vAlign w:val="center"/>
          </w:tcPr>
          <w:p w14:paraId="31F71CAF">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信息传输业</w:t>
            </w:r>
          </w:p>
        </w:tc>
        <w:tc>
          <w:tcPr>
            <w:tcW w:w="924" w:type="dxa"/>
            <w:tcBorders>
              <w:top w:val="nil"/>
              <w:left w:val="nil"/>
              <w:bottom w:val="single" w:color="auto" w:sz="4" w:space="0"/>
              <w:right w:val="single" w:color="auto" w:sz="4" w:space="0"/>
            </w:tcBorders>
            <w:vAlign w:val="center"/>
          </w:tcPr>
          <w:p w14:paraId="36D64E0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≥100000</w:t>
            </w:r>
          </w:p>
        </w:tc>
        <w:tc>
          <w:tcPr>
            <w:tcW w:w="916" w:type="dxa"/>
            <w:tcBorders>
              <w:top w:val="nil"/>
              <w:left w:val="nil"/>
              <w:bottom w:val="single" w:color="auto" w:sz="4" w:space="0"/>
              <w:right w:val="single" w:color="auto" w:sz="4" w:space="0"/>
            </w:tcBorders>
            <w:vAlign w:val="center"/>
          </w:tcPr>
          <w:p w14:paraId="59ADB1A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1083" w:type="dxa"/>
            <w:tcBorders>
              <w:top w:val="nil"/>
              <w:left w:val="nil"/>
              <w:bottom w:val="single" w:color="auto" w:sz="4" w:space="0"/>
              <w:right w:val="single" w:color="auto" w:sz="4" w:space="0"/>
            </w:tcBorders>
            <w:vAlign w:val="center"/>
          </w:tcPr>
          <w:p w14:paraId="35E7B95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1B346BB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14:paraId="080BBC3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14:paraId="66A801E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42ADEA2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14:paraId="17049AC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14:paraId="717F901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0CE6AC3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14:paraId="255D11E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14:paraId="53CE219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099B91D6">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14:paraId="4EAE172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12</w:t>
            </w:r>
          </w:p>
        </w:tc>
        <w:tc>
          <w:tcPr>
            <w:tcW w:w="1387" w:type="dxa"/>
            <w:tcBorders>
              <w:top w:val="nil"/>
              <w:left w:val="nil"/>
              <w:bottom w:val="single" w:color="auto" w:sz="4" w:space="0"/>
              <w:right w:val="single" w:color="auto" w:sz="4" w:space="0"/>
            </w:tcBorders>
            <w:vAlign w:val="center"/>
          </w:tcPr>
          <w:p w14:paraId="6AC72A2D">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软件和信息技术服务业</w:t>
            </w:r>
          </w:p>
        </w:tc>
        <w:tc>
          <w:tcPr>
            <w:tcW w:w="924" w:type="dxa"/>
            <w:tcBorders>
              <w:top w:val="nil"/>
              <w:left w:val="nil"/>
              <w:bottom w:val="single" w:color="auto" w:sz="4" w:space="0"/>
              <w:right w:val="single" w:color="auto" w:sz="4" w:space="0"/>
            </w:tcBorders>
            <w:vAlign w:val="center"/>
          </w:tcPr>
          <w:p w14:paraId="18A1E22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14:paraId="7F76196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14:paraId="56402C0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75D2592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14:paraId="6BD140F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14:paraId="14C6AB8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7311860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14:paraId="6FE0CD2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14:paraId="76E7909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7164D75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center"/>
          </w:tcPr>
          <w:p w14:paraId="717774E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14:paraId="27020F9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2E00D23D">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149062A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13</w:t>
            </w:r>
          </w:p>
        </w:tc>
        <w:tc>
          <w:tcPr>
            <w:tcW w:w="1387" w:type="dxa"/>
            <w:tcBorders>
              <w:top w:val="nil"/>
              <w:left w:val="nil"/>
              <w:bottom w:val="single" w:color="auto" w:sz="4" w:space="0"/>
              <w:right w:val="single" w:color="auto" w:sz="4" w:space="0"/>
            </w:tcBorders>
            <w:vAlign w:val="center"/>
          </w:tcPr>
          <w:p w14:paraId="60EAF21C">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房地产开发经验</w:t>
            </w:r>
          </w:p>
        </w:tc>
        <w:tc>
          <w:tcPr>
            <w:tcW w:w="924" w:type="dxa"/>
            <w:tcBorders>
              <w:top w:val="nil"/>
              <w:left w:val="nil"/>
              <w:bottom w:val="single" w:color="auto" w:sz="4" w:space="0"/>
              <w:right w:val="single" w:color="auto" w:sz="4" w:space="0"/>
            </w:tcBorders>
            <w:vAlign w:val="center"/>
          </w:tcPr>
          <w:p w14:paraId="5149A30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≥200000</w:t>
            </w:r>
          </w:p>
        </w:tc>
        <w:tc>
          <w:tcPr>
            <w:tcW w:w="916" w:type="dxa"/>
            <w:tcBorders>
              <w:top w:val="nil"/>
              <w:left w:val="nil"/>
              <w:bottom w:val="single" w:color="auto" w:sz="4" w:space="0"/>
              <w:right w:val="single" w:color="auto" w:sz="4" w:space="0"/>
            </w:tcBorders>
            <w:vAlign w:val="center"/>
          </w:tcPr>
          <w:p w14:paraId="5B94505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14:paraId="458627B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,≥10000</w:t>
            </w:r>
          </w:p>
        </w:tc>
        <w:tc>
          <w:tcPr>
            <w:tcW w:w="989" w:type="dxa"/>
            <w:tcBorders>
              <w:top w:val="nil"/>
              <w:left w:val="nil"/>
              <w:bottom w:val="single" w:color="auto" w:sz="4" w:space="0"/>
              <w:right w:val="single" w:color="auto" w:sz="4" w:space="0"/>
            </w:tcBorders>
            <w:vAlign w:val="center"/>
          </w:tcPr>
          <w:p w14:paraId="58AEDF8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14:paraId="42D8E0D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14:paraId="2CAAC49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14:paraId="494F8C5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14:paraId="3DDDFE1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14:paraId="655A3D8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,≥2000</w:t>
            </w:r>
          </w:p>
        </w:tc>
        <w:tc>
          <w:tcPr>
            <w:tcW w:w="1057" w:type="dxa"/>
            <w:tcBorders>
              <w:top w:val="nil"/>
              <w:left w:val="nil"/>
              <w:bottom w:val="single" w:color="auto" w:sz="4" w:space="0"/>
              <w:right w:val="single" w:color="auto" w:sz="4" w:space="0"/>
            </w:tcBorders>
            <w:vAlign w:val="center"/>
          </w:tcPr>
          <w:p w14:paraId="7A1DBA7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14:paraId="6D639B4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14:paraId="14294EC2">
            <w:pPr>
              <w:keepNext w:val="0"/>
              <w:keepLines w:val="0"/>
              <w:pageBreakBefore w:val="0"/>
              <w:widowControl/>
              <w:kinsoku/>
              <w:wordWrap/>
              <w:overflowPunct/>
              <w:topLinePunct w:val="0"/>
              <w:bidi w:val="0"/>
              <w:adjustRightInd/>
              <w:spacing w:line="240" w:lineRule="atLeast"/>
              <w:ind w:left="43" w:leftChars="-40" w:right="0" w:rightChars="0" w:hanging="127" w:hangingChars="53"/>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2000</w:t>
            </w:r>
          </w:p>
        </w:tc>
      </w:tr>
      <w:tr w14:paraId="2B24F7E5">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3EE8C4D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14</w:t>
            </w:r>
          </w:p>
        </w:tc>
        <w:tc>
          <w:tcPr>
            <w:tcW w:w="1387" w:type="dxa"/>
            <w:tcBorders>
              <w:top w:val="nil"/>
              <w:left w:val="nil"/>
              <w:bottom w:val="single" w:color="auto" w:sz="4" w:space="0"/>
              <w:right w:val="single" w:color="auto" w:sz="4" w:space="0"/>
            </w:tcBorders>
            <w:vAlign w:val="center"/>
          </w:tcPr>
          <w:p w14:paraId="0BF2A450">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物业管理</w:t>
            </w:r>
          </w:p>
        </w:tc>
        <w:tc>
          <w:tcPr>
            <w:tcW w:w="924" w:type="dxa"/>
            <w:tcBorders>
              <w:top w:val="nil"/>
              <w:left w:val="nil"/>
              <w:bottom w:val="single" w:color="auto" w:sz="4" w:space="0"/>
              <w:right w:val="single" w:color="auto" w:sz="4" w:space="0"/>
            </w:tcBorders>
            <w:vAlign w:val="center"/>
          </w:tcPr>
          <w:p w14:paraId="1A6F3DB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16" w:type="dxa"/>
            <w:tcBorders>
              <w:top w:val="nil"/>
              <w:left w:val="nil"/>
              <w:bottom w:val="single" w:color="auto" w:sz="4" w:space="0"/>
              <w:right w:val="single" w:color="auto" w:sz="4" w:space="0"/>
            </w:tcBorders>
            <w:vAlign w:val="center"/>
          </w:tcPr>
          <w:p w14:paraId="1302B20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14:paraId="2058064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7B313FD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14:paraId="6164BBD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14:paraId="63271F2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35C4718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55" w:type="dxa"/>
            <w:tcBorders>
              <w:top w:val="nil"/>
              <w:left w:val="nil"/>
              <w:bottom w:val="single" w:color="auto" w:sz="4" w:space="0"/>
              <w:right w:val="single" w:color="auto" w:sz="4" w:space="0"/>
            </w:tcBorders>
            <w:vAlign w:val="center"/>
          </w:tcPr>
          <w:p w14:paraId="6FD87C6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62" w:type="dxa"/>
            <w:tcBorders>
              <w:top w:val="nil"/>
              <w:left w:val="nil"/>
              <w:bottom w:val="single" w:color="auto" w:sz="4" w:space="0"/>
              <w:right w:val="single" w:color="auto" w:sz="4" w:space="0"/>
            </w:tcBorders>
            <w:vAlign w:val="center"/>
          </w:tcPr>
          <w:p w14:paraId="3ADDE9E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1D8907E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500</w:t>
            </w:r>
          </w:p>
        </w:tc>
        <w:tc>
          <w:tcPr>
            <w:tcW w:w="1193" w:type="dxa"/>
            <w:tcBorders>
              <w:top w:val="nil"/>
              <w:left w:val="nil"/>
              <w:bottom w:val="single" w:color="auto" w:sz="4" w:space="0"/>
              <w:right w:val="single" w:color="auto" w:sz="4" w:space="0"/>
            </w:tcBorders>
            <w:vAlign w:val="center"/>
          </w:tcPr>
          <w:p w14:paraId="4033BF0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021" w:type="dxa"/>
            <w:tcBorders>
              <w:top w:val="nil"/>
              <w:left w:val="nil"/>
              <w:bottom w:val="single" w:color="auto" w:sz="4" w:space="0"/>
              <w:right w:val="single" w:color="auto" w:sz="4" w:space="0"/>
            </w:tcBorders>
            <w:vAlign w:val="bottom"/>
          </w:tcPr>
          <w:p w14:paraId="3EC0BC9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428839ED">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14:paraId="6308D2B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15</w:t>
            </w:r>
          </w:p>
        </w:tc>
        <w:tc>
          <w:tcPr>
            <w:tcW w:w="1387" w:type="dxa"/>
            <w:tcBorders>
              <w:top w:val="nil"/>
              <w:left w:val="nil"/>
              <w:bottom w:val="single" w:color="auto" w:sz="4" w:space="0"/>
              <w:right w:val="single" w:color="auto" w:sz="4" w:space="0"/>
            </w:tcBorders>
            <w:vAlign w:val="center"/>
          </w:tcPr>
          <w:p w14:paraId="2CA83D03">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租赁和商务服务业</w:t>
            </w:r>
          </w:p>
        </w:tc>
        <w:tc>
          <w:tcPr>
            <w:tcW w:w="924" w:type="dxa"/>
            <w:tcBorders>
              <w:top w:val="nil"/>
              <w:left w:val="nil"/>
              <w:bottom w:val="single" w:color="auto" w:sz="4" w:space="0"/>
              <w:right w:val="single" w:color="auto" w:sz="4" w:space="0"/>
            </w:tcBorders>
            <w:vAlign w:val="center"/>
          </w:tcPr>
          <w:p w14:paraId="2D4D2E8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14:paraId="721EBFC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14:paraId="09D30AC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,≥120000</w:t>
            </w:r>
          </w:p>
        </w:tc>
        <w:tc>
          <w:tcPr>
            <w:tcW w:w="989" w:type="dxa"/>
            <w:tcBorders>
              <w:top w:val="nil"/>
              <w:left w:val="nil"/>
              <w:bottom w:val="single" w:color="auto" w:sz="4" w:space="0"/>
              <w:right w:val="single" w:color="auto" w:sz="4" w:space="0"/>
            </w:tcBorders>
            <w:vAlign w:val="center"/>
          </w:tcPr>
          <w:p w14:paraId="5A0DAF1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14:paraId="29702C2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14:paraId="492A884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,≥8000</w:t>
            </w:r>
          </w:p>
        </w:tc>
        <w:tc>
          <w:tcPr>
            <w:tcW w:w="1057" w:type="dxa"/>
            <w:tcBorders>
              <w:top w:val="nil"/>
              <w:left w:val="nil"/>
              <w:bottom w:val="single" w:color="auto" w:sz="4" w:space="0"/>
              <w:right w:val="single" w:color="auto" w:sz="4" w:space="0"/>
            </w:tcBorders>
            <w:vAlign w:val="center"/>
          </w:tcPr>
          <w:p w14:paraId="5B90572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14:paraId="33004CF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14:paraId="3140053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,≥100</w:t>
            </w:r>
          </w:p>
        </w:tc>
        <w:tc>
          <w:tcPr>
            <w:tcW w:w="1057" w:type="dxa"/>
            <w:tcBorders>
              <w:top w:val="nil"/>
              <w:left w:val="nil"/>
              <w:bottom w:val="single" w:color="auto" w:sz="4" w:space="0"/>
              <w:right w:val="single" w:color="auto" w:sz="4" w:space="0"/>
            </w:tcBorders>
            <w:vAlign w:val="center"/>
          </w:tcPr>
          <w:p w14:paraId="50D2B85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14:paraId="5178698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center"/>
          </w:tcPr>
          <w:p w14:paraId="027ED24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r>
      <w:tr w14:paraId="49F02DC3">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3D39CD8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16</w:t>
            </w:r>
          </w:p>
        </w:tc>
        <w:tc>
          <w:tcPr>
            <w:tcW w:w="1387" w:type="dxa"/>
            <w:tcBorders>
              <w:top w:val="nil"/>
              <w:left w:val="nil"/>
              <w:bottom w:val="single" w:color="auto" w:sz="4" w:space="0"/>
              <w:right w:val="single" w:color="auto" w:sz="4" w:space="0"/>
            </w:tcBorders>
            <w:vAlign w:val="center"/>
          </w:tcPr>
          <w:p w14:paraId="6D8143C0">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其他未列明行业</w:t>
            </w:r>
          </w:p>
        </w:tc>
        <w:tc>
          <w:tcPr>
            <w:tcW w:w="924" w:type="dxa"/>
            <w:tcBorders>
              <w:top w:val="nil"/>
              <w:left w:val="nil"/>
              <w:bottom w:val="single" w:color="auto" w:sz="4" w:space="0"/>
              <w:right w:val="single" w:color="auto" w:sz="4" w:space="0"/>
            </w:tcBorders>
            <w:vAlign w:val="center"/>
          </w:tcPr>
          <w:p w14:paraId="560F06B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14:paraId="66DD7DA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14:paraId="7D5DBF6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61ED094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14:paraId="129CB04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14:paraId="374189C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4A2EB57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14:paraId="466FC0D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14:paraId="59D3EF3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1A407BE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14:paraId="0083EF4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14:paraId="0F1A699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bl>
    <w:p w14:paraId="47E96EDD">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sectPr>
          <w:pgSz w:w="16838" w:h="11906" w:orient="landscape"/>
          <w:pgMar w:top="1417" w:right="1786" w:bottom="1417" w:left="946" w:header="851" w:footer="992" w:gutter="0"/>
          <w:pgBorders>
            <w:top w:val="none" w:sz="0" w:space="0"/>
            <w:left w:val="none" w:sz="0" w:space="0"/>
            <w:bottom w:val="none" w:sz="0" w:space="0"/>
            <w:right w:val="none" w:sz="0" w:space="0"/>
          </w:pgBorders>
          <w:cols w:space="720" w:num="1"/>
          <w:rtlGutter w:val="0"/>
          <w:docGrid w:type="lines" w:linePitch="312" w:charSpace="0"/>
        </w:sectPr>
      </w:pPr>
    </w:p>
    <w:p w14:paraId="241E5160">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eastAsiaTheme="majorEastAsia"/>
          <w:b/>
          <w:color w:val="auto"/>
          <w:spacing w:val="6"/>
          <w:sz w:val="24"/>
          <w:szCs w:val="24"/>
          <w:lang w:eastAsia="zh-CN"/>
        </w:rPr>
      </w:pPr>
      <w:bookmarkStart w:id="84" w:name="_Toc2406"/>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14-2</w:t>
      </w:r>
      <w:bookmarkEnd w:id="84"/>
      <w:r>
        <w:rPr>
          <w:rFonts w:hint="eastAsia" w:ascii="Times New Roman" w:hAnsi="Times New Roman" w:cs="Times New Roman"/>
          <w:color w:val="auto"/>
          <w:sz w:val="24"/>
          <w:szCs w:val="24"/>
          <w:lang w:eastAsia="zh-CN"/>
        </w:rPr>
        <w:t>：残疾人福利性单位声明函</w:t>
      </w:r>
      <w:r>
        <w:rPr>
          <w:rFonts w:hint="eastAsia" w:ascii="Times New Roman" w:hAnsi="Times New Roman" w:cs="Times New Roman"/>
          <w:color w:val="auto"/>
          <w:sz w:val="24"/>
          <w:szCs w:val="24"/>
          <w:lang w:val="en-US" w:eastAsia="zh-CN"/>
        </w:rPr>
        <w:t xml:space="preserve"> </w:t>
      </w:r>
    </w:p>
    <w:p w14:paraId="08EEFD58">
      <w:pPr>
        <w:pStyle w:val="2"/>
        <w:keepNext w:val="0"/>
        <w:keepLines w:val="0"/>
        <w:pageBreakBefore w:val="0"/>
        <w:kinsoku/>
        <w:wordWrap/>
        <w:overflowPunct/>
        <w:topLinePunct w:val="0"/>
        <w:bidi w:val="0"/>
        <w:adjustRightInd/>
        <w:ind w:right="0" w:rightChars="0"/>
        <w:textAlignment w:val="auto"/>
        <w:rPr>
          <w:rFonts w:hint="eastAsia"/>
          <w:color w:val="auto"/>
          <w:lang w:val="en-US" w:eastAsia="zh-CN"/>
        </w:rPr>
      </w:pPr>
    </w:p>
    <w:p w14:paraId="290CE0F4">
      <w:pPr>
        <w:keepNext w:val="0"/>
        <w:keepLines w:val="0"/>
        <w:pageBreakBefore w:val="0"/>
        <w:widowControl w:val="0"/>
        <w:kinsoku/>
        <w:wordWrap/>
        <w:overflowPunct/>
        <w:topLinePunct w:val="0"/>
        <w:autoSpaceDE/>
        <w:autoSpaceDN/>
        <w:bidi w:val="0"/>
        <w:adjustRightInd/>
        <w:snapToGrid/>
        <w:spacing w:line="588" w:lineRule="exact"/>
        <w:ind w:right="0" w:rightChars="0"/>
        <w:jc w:val="center"/>
        <w:textAlignment w:val="auto"/>
        <w:rPr>
          <w:rFonts w:ascii="Times New Roman" w:hAnsi="Times New Roman" w:cs="Times New Roman" w:eastAsiaTheme="majorEastAsia"/>
          <w:b/>
          <w:color w:val="auto"/>
          <w:spacing w:val="6"/>
          <w:sz w:val="24"/>
          <w:szCs w:val="24"/>
        </w:rPr>
      </w:pPr>
      <w:bookmarkStart w:id="85" w:name="OLE_LINK14"/>
      <w:bookmarkStart w:id="86" w:name="OLE_LINK13"/>
      <w:r>
        <w:rPr>
          <w:rFonts w:hint="eastAsia" w:ascii="Times New Roman" w:hAnsi="Times New Roman" w:cs="Times New Roman" w:eastAsiaTheme="majorEastAsia"/>
          <w:b/>
          <w:color w:val="auto"/>
          <w:spacing w:val="6"/>
          <w:sz w:val="24"/>
          <w:szCs w:val="24"/>
        </w:rPr>
        <w:t>残疾人福利性单位声明函</w:t>
      </w:r>
    </w:p>
    <w:bookmarkEnd w:id="85"/>
    <w:bookmarkEnd w:id="86"/>
    <w:p w14:paraId="1DD022A0">
      <w:pPr>
        <w:keepNext w:val="0"/>
        <w:keepLines w:val="0"/>
        <w:pageBreakBefore w:val="0"/>
        <w:kinsoku/>
        <w:wordWrap/>
        <w:overflowPunct/>
        <w:topLinePunct w:val="0"/>
        <w:bidi w:val="0"/>
        <w:adjustRightInd/>
        <w:spacing w:line="588" w:lineRule="exact"/>
        <w:ind w:right="0" w:rightChars="0" w:firstLine="626"/>
        <w:textAlignment w:val="auto"/>
        <w:rPr>
          <w:rFonts w:ascii="Times New Roman" w:hAnsi="Times New Roman" w:eastAsia="仿宋_GB2312" w:cs="Times New Roman"/>
          <w:b/>
          <w:color w:val="auto"/>
          <w:spacing w:val="6"/>
          <w:sz w:val="24"/>
          <w:szCs w:val="24"/>
        </w:rPr>
      </w:pPr>
    </w:p>
    <w:p w14:paraId="054F57AA">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本单位郑重声明，根据《财政部 民政部 中国残疾人联合会关于促进残疾人就业政府采购政策的通知》（财库</w:t>
      </w:r>
      <w:r>
        <w:rPr>
          <w:rFonts w:hint="eastAsia" w:cs="Times New Roman" w:asciiTheme="minorEastAsia" w:hAnsiTheme="minorEastAsia"/>
          <w:color w:val="auto"/>
          <w:sz w:val="24"/>
          <w:szCs w:val="24"/>
        </w:rPr>
        <w:t>〔2017〕 141</w:t>
      </w:r>
      <w:r>
        <w:rPr>
          <w:rFonts w:hint="eastAsia" w:cs="Times New Roman" w:asciiTheme="minorEastAsia" w:hAnsiTheme="minor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8337A5">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本单位对上述声明的真实性负责。如有虚假，将依法承担相应责任。</w:t>
      </w:r>
    </w:p>
    <w:p w14:paraId="5C61CD98">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14:paraId="2330E33F">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14:paraId="6FB031A4">
      <w:pPr>
        <w:keepNext w:val="0"/>
        <w:keepLines w:val="0"/>
        <w:pageBreakBefore w:val="0"/>
        <w:widowControl w:val="0"/>
        <w:tabs>
          <w:tab w:val="left" w:pos="4860"/>
        </w:tabs>
        <w:kinsoku/>
        <w:wordWrap/>
        <w:overflowPunct/>
        <w:topLinePunct w:val="0"/>
        <w:autoSpaceDE/>
        <w:autoSpaceDN/>
        <w:bidi w:val="0"/>
        <w:adjustRightInd/>
        <w:snapToGri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单位名称（盖章）：</w:t>
      </w:r>
    </w:p>
    <w:p w14:paraId="7F6D232D">
      <w:pPr>
        <w:keepNext w:val="0"/>
        <w:keepLines w:val="0"/>
        <w:pageBreakBefore w:val="0"/>
        <w:tabs>
          <w:tab w:val="left" w:pos="4860"/>
        </w:tabs>
        <w:kinsoku/>
        <w:wordWrap/>
        <w:overflowPunct/>
        <w:topLinePunct w:val="0"/>
        <w:bidi w:val="0"/>
        <w:adjustRightIn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w:t>
      </w:r>
      <w:r>
        <w:rPr>
          <w:rFonts w:hint="eastAsia" w:cs="Times New Roman" w:asciiTheme="minorEastAsia" w:hAnsiTheme="minorEastAsia"/>
          <w:color w:val="auto"/>
          <w:spacing w:val="6"/>
          <w:sz w:val="24"/>
          <w:szCs w:val="24"/>
          <w:lang w:val="en-US" w:eastAsia="zh-CN"/>
        </w:rPr>
        <w:t xml:space="preserve">   </w:t>
      </w:r>
      <w:r>
        <w:rPr>
          <w:rFonts w:hint="eastAsia" w:cs="Times New Roman" w:asciiTheme="minorEastAsia" w:hAnsiTheme="minorEastAsia"/>
          <w:color w:val="auto"/>
          <w:spacing w:val="6"/>
          <w:sz w:val="24"/>
          <w:szCs w:val="24"/>
        </w:rPr>
        <w:t>日  期：</w:t>
      </w:r>
    </w:p>
    <w:p w14:paraId="2AEC5802">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14:paraId="6D5BEAA4">
      <w:pPr>
        <w:keepNext w:val="0"/>
        <w:keepLines w:val="0"/>
        <w:pageBreakBefore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color w:val="auto"/>
          <w:sz w:val="24"/>
          <w:szCs w:val="24"/>
          <w:lang w:eastAsia="zh-CN"/>
        </w:rPr>
      </w:pPr>
      <w:bookmarkStart w:id="87" w:name="_Toc3218"/>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14-3</w:t>
      </w:r>
      <w:bookmarkEnd w:id="87"/>
      <w:r>
        <w:rPr>
          <w:rFonts w:hint="eastAsia" w:ascii="Times New Roman" w:hAnsi="Times New Roman" w:cs="Times New Roman"/>
          <w:color w:val="auto"/>
          <w:sz w:val="24"/>
          <w:szCs w:val="24"/>
          <w:lang w:eastAsia="zh-CN"/>
        </w:rPr>
        <w:t>：</w:t>
      </w:r>
      <w:r>
        <w:rPr>
          <w:rFonts w:hint="eastAsia" w:ascii="Times New Roman" w:hAnsi="Times New Roman" w:cs="Times New Roman"/>
          <w:bCs/>
          <w:color w:val="auto"/>
          <w:sz w:val="24"/>
          <w:szCs w:val="24"/>
        </w:rPr>
        <w:t>省级以上监狱管理局、戒毒管理局（含新疆生产建设兵团）出具的属于监狱企业的证明文件</w:t>
      </w:r>
    </w:p>
    <w:p w14:paraId="4E464A57">
      <w:pPr>
        <w:pStyle w:val="27"/>
      </w:pPr>
    </w:p>
    <w:p w14:paraId="3A7DEF5D">
      <w:pPr>
        <w:keepNext w:val="0"/>
        <w:keepLines w:val="0"/>
        <w:pageBreakBefore w:val="0"/>
        <w:tabs>
          <w:tab w:val="left" w:pos="7665"/>
        </w:tabs>
        <w:kinsoku/>
        <w:wordWrap/>
        <w:overflowPunct/>
        <w:topLinePunct w:val="0"/>
        <w:autoSpaceDE/>
        <w:autoSpaceDN/>
        <w:bidi w:val="0"/>
        <w:adjustRightInd/>
        <w:snapToGrid/>
        <w:ind w:right="0" w:rightChars="0"/>
        <w:jc w:val="center"/>
        <w:textAlignment w:val="auto"/>
        <w:outlineLvl w:val="1"/>
        <w:rPr>
          <w:rFonts w:hint="eastAsia" w:ascii="Times New Roman" w:hAnsi="Times New Roman" w:cs="Times New Roman" w:eastAsiaTheme="minorEastAsia"/>
          <w:bCs/>
          <w:color w:val="auto"/>
          <w:sz w:val="24"/>
          <w:szCs w:val="24"/>
          <w:lang w:eastAsia="zh-CN"/>
        </w:rPr>
      </w:pPr>
      <w:bookmarkStart w:id="88" w:name="_Toc15768"/>
      <w:r>
        <w:rPr>
          <w:rFonts w:hint="eastAsia" w:ascii="Times New Roman" w:hAnsi="Times New Roman" w:cs="Times New Roman"/>
          <w:bCs/>
          <w:color w:val="auto"/>
          <w:sz w:val="24"/>
          <w:szCs w:val="24"/>
        </w:rPr>
        <w:t>省级以上监狱管理局、戒毒管理局（含新疆生产建设兵团）出具的属于监狱企业的证明文件</w:t>
      </w:r>
      <w:bookmarkEnd w:id="88"/>
    </w:p>
    <w:p w14:paraId="2D872544">
      <w:pPr>
        <w:pStyle w:val="2"/>
        <w:rPr>
          <w:rFonts w:hint="eastAsia"/>
          <w:lang w:eastAsia="zh-CN"/>
        </w:rPr>
      </w:pPr>
    </w:p>
    <w:p w14:paraId="64BF40AD">
      <w:pPr>
        <w:pStyle w:val="2"/>
        <w:rPr>
          <w:rFonts w:hint="eastAsia"/>
          <w:lang w:eastAsia="zh-CN"/>
        </w:rPr>
      </w:pPr>
    </w:p>
    <w:p w14:paraId="61F16C07">
      <w:pPr>
        <w:keepNext w:val="0"/>
        <w:keepLines w:val="0"/>
        <w:pageBreakBefore w:val="0"/>
        <w:widowControl/>
        <w:kinsoku/>
        <w:wordWrap/>
        <w:overflowPunct/>
        <w:topLinePunct w:val="0"/>
        <w:autoSpaceDE/>
        <w:autoSpaceDN/>
        <w:bidi w:val="0"/>
        <w:adjustRightInd/>
        <w:snapToGri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14:paraId="7CC11BD5">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bCs/>
          <w:color w:val="auto"/>
          <w:sz w:val="24"/>
          <w:szCs w:val="24"/>
        </w:rPr>
        <w:t>其他资格证明文件及资料</w:t>
      </w:r>
    </w:p>
    <w:p w14:paraId="37C15493">
      <w:pPr>
        <w:rPr>
          <w:color w:val="auto"/>
          <w:sz w:val="24"/>
          <w:szCs w:val="24"/>
        </w:rPr>
      </w:pPr>
    </w:p>
    <w:p w14:paraId="6789E452">
      <w:pPr>
        <w:rPr>
          <w:color w:val="auto"/>
        </w:rPr>
      </w:pPr>
    </w:p>
    <w:p w14:paraId="579EEC32">
      <w:pPr>
        <w:rPr>
          <w:color w:val="auto"/>
        </w:rPr>
      </w:pPr>
    </w:p>
    <w:sectPr>
      <w:headerReference r:id="rId5" w:type="default"/>
      <w:footerReference r:id="rId6" w:type="default"/>
      <w:pgSz w:w="11906" w:h="16838"/>
      <w:pgMar w:top="1417" w:right="1786" w:bottom="1417" w:left="1366" w:header="851" w:footer="992" w:gutter="0"/>
      <w:pgBorders>
        <w:top w:val="none" w:sz="0" w:space="0"/>
        <w:left w:val="none" w:sz="0" w:space="0"/>
        <w:bottom w:val="none" w:sz="0" w:space="0"/>
        <w:right w:val="none" w:sz="0" w:space="0"/>
      </w:pgBorders>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Noto Sans Mono CJK JP Regular">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Futura Bk">
    <w:altName w:val="Arial"/>
    <w:panose1 w:val="00000000000000000000"/>
    <w:charset w:val="00"/>
    <w:family w:val="swiss"/>
    <w:pitch w:val="default"/>
    <w:sig w:usb0="00000000" w:usb1="00000000" w:usb2="00000000" w:usb3="00000000" w:csb0="0000009F" w:csb1="00000000"/>
  </w:font>
  <w:font w:name="Garamond">
    <w:altName w:val="PMingLiU-ExtB"/>
    <w:panose1 w:val="02020404030301010803"/>
    <w:charset w:val="00"/>
    <w:family w:val="roman"/>
    <w:pitch w:val="default"/>
    <w:sig w:usb0="00000000"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方正姚体">
    <w:altName w:val="宋体"/>
    <w:panose1 w:val="02010601030101010101"/>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89AF0">
    <w:pPr>
      <w:spacing w:line="205" w:lineRule="auto"/>
      <w:ind w:left="4317"/>
      <w:rPr>
        <w:rFonts w:ascii="Arial" w:hAnsi="Arial" w:eastAsia="Arial" w:cs="Arial"/>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14:paraId="16A6F765">
        <w:pPr>
          <w:pStyle w:val="27"/>
          <w:jc w:val="center"/>
        </w:pPr>
        <w:r>
          <w:fldChar w:fldCharType="begin"/>
        </w:r>
        <w:r>
          <w:instrText xml:space="preserve">PAGE   \* MERGEFORMAT</w:instrText>
        </w:r>
        <w:r>
          <w:fldChar w:fldCharType="separate"/>
        </w:r>
        <w:r>
          <w:rPr>
            <w:lang w:val="zh-CN"/>
          </w:rPr>
          <w:t>56</w:t>
        </w:r>
        <w:r>
          <w:rPr>
            <w:lang w:val="zh-CN"/>
          </w:rPr>
          <w:fldChar w:fldCharType="end"/>
        </w:r>
      </w:p>
    </w:sdtContent>
  </w:sdt>
  <w:p w14:paraId="1113BBA7">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1074B">
    <w:pPr>
      <w:spacing w:line="269" w:lineRule="auto"/>
      <w:rPr>
        <w:rFonts w:ascii="Arial"/>
        <w:sz w:val="21"/>
      </w:rPr>
    </w:pPr>
    <w: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903605</wp:posOffset>
              </wp:positionV>
              <wp:extent cx="527431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274310" cy="6350"/>
                      </a:xfrm>
                      <a:custGeom>
                        <a:avLst/>
                        <a:gdLst/>
                        <a:ahLst/>
                        <a:cxnLst/>
                        <a:pathLst>
                          <a:path w="8305" h="10">
                            <a:moveTo>
                              <a:pt x="0" y="0"/>
                            </a:moveTo>
                            <a:lnTo>
                              <a:pt x="8305" y="0"/>
                            </a:lnTo>
                            <a:lnTo>
                              <a:pt x="8305"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71.15pt;height:0.5pt;width:415.3pt;mso-position-horizontal-relative:page;mso-position-vertical-relative:page;z-index:251659264;mso-width-relative:page;mso-height-relative:page;" fillcolor="#000000" filled="t" stroked="f" coordsize="8305,10" o:allowincell="f" o:gfxdata="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9ugQvZAAAADAEAAA8AAAAAAAAAAQAg&#10;AAAAIgAAAGRycy9kb3ducmV2LnhtbFBLAQIUABQAAAAIAIdO4kAXPG58DQIAAHkEAAAOAAAAAAAA&#10;AAEAIAAAACgBAABkcnMvZTJvRG9jLnhtbFBLBQYAAAAABgAGAFkBAACnBQAAAAA=&#10;" path="m0,0l8305,0,8305,9,0,9,0,0xe">
              <v:fill on="t" focussize="0,0"/>
              <v:stroke on="f"/>
              <v:imagedata o:title=""/>
              <o:lock v:ext="edit" aspectratio="f"/>
            </v:shape>
          </w:pict>
        </mc:Fallback>
      </mc:AlternateContent>
    </w:r>
  </w:p>
  <w:p w14:paraId="5F0CA121">
    <w:pPr>
      <w:spacing w:before="55" w:line="231" w:lineRule="auto"/>
      <w:ind w:right="137"/>
      <w:jc w:val="both"/>
      <w:rPr>
        <w:rFonts w:ascii="宋体" w:hAnsi="宋体" w:eastAsia="宋体" w:cs="宋体"/>
        <w:sz w:val="17"/>
        <w:szCs w:val="17"/>
      </w:rPr>
    </w:pPr>
    <w:bookmarkStart w:id="89" w:name="_bookmark1"/>
    <w:bookmarkEnd w:id="8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D45C8">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293A3"/>
    <w:multiLevelType w:val="singleLevel"/>
    <w:tmpl w:val="C5C293A3"/>
    <w:lvl w:ilvl="0" w:tentative="0">
      <w:start w:val="1"/>
      <w:numFmt w:val="decimal"/>
      <w:suff w:val="nothing"/>
      <w:lvlText w:val="（%1）"/>
      <w:lvlJc w:val="left"/>
    </w:lvl>
  </w:abstractNum>
  <w:abstractNum w:abstractNumId="1">
    <w:nsid w:val="CB82A49A"/>
    <w:multiLevelType w:val="singleLevel"/>
    <w:tmpl w:val="CB82A49A"/>
    <w:lvl w:ilvl="0" w:tentative="0">
      <w:start w:val="1"/>
      <w:numFmt w:val="decimal"/>
      <w:suff w:val="nothing"/>
      <w:lvlText w:val="%1、"/>
      <w:lvlJc w:val="left"/>
    </w:lvl>
  </w:abstractNum>
  <w:abstractNum w:abstractNumId="2">
    <w:nsid w:val="D40E07F9"/>
    <w:multiLevelType w:val="singleLevel"/>
    <w:tmpl w:val="D40E07F9"/>
    <w:lvl w:ilvl="0" w:tentative="0">
      <w:start w:val="7"/>
      <w:numFmt w:val="chineseCounting"/>
      <w:suff w:val="nothing"/>
      <w:lvlText w:val="%1、"/>
      <w:lvlJc w:val="left"/>
      <w:rPr>
        <w:rFonts w:hint="eastAsia"/>
      </w:rPr>
    </w:lvl>
  </w:abstractNum>
  <w:abstractNum w:abstractNumId="3">
    <w:nsid w:val="DA8447DE"/>
    <w:multiLevelType w:val="singleLevel"/>
    <w:tmpl w:val="DA8447DE"/>
    <w:lvl w:ilvl="0" w:tentative="0">
      <w:start w:val="1"/>
      <w:numFmt w:val="chineseCounting"/>
      <w:suff w:val="nothing"/>
      <w:lvlText w:val="%1、"/>
      <w:lvlJc w:val="left"/>
      <w:rPr>
        <w:rFonts w:hint="eastAsia"/>
      </w:rPr>
    </w:lvl>
  </w:abstractNum>
  <w:abstractNum w:abstractNumId="4">
    <w:nsid w:val="E730C8BB"/>
    <w:multiLevelType w:val="singleLevel"/>
    <w:tmpl w:val="E730C8BB"/>
    <w:lvl w:ilvl="0" w:tentative="0">
      <w:start w:val="3"/>
      <w:numFmt w:val="chineseCounting"/>
      <w:suff w:val="space"/>
      <w:lvlText w:val="第%1章"/>
      <w:lvlJc w:val="left"/>
      <w:pPr>
        <w:ind w:left="840"/>
      </w:pPr>
      <w:rPr>
        <w:rFonts w:hint="eastAsia"/>
      </w:rPr>
    </w:lvl>
  </w:abstractNum>
  <w:abstractNum w:abstractNumId="5">
    <w:nsid w:val="EEC284E0"/>
    <w:multiLevelType w:val="singleLevel"/>
    <w:tmpl w:val="EEC284E0"/>
    <w:lvl w:ilvl="0" w:tentative="0">
      <w:start w:val="5"/>
      <w:numFmt w:val="chineseCounting"/>
      <w:suff w:val="nothing"/>
      <w:lvlText w:val="%1、"/>
      <w:lvlJc w:val="left"/>
      <w:rPr>
        <w:rFonts w:hint="eastAsia"/>
      </w:rPr>
    </w:lvl>
  </w:abstractNum>
  <w:abstractNum w:abstractNumId="6">
    <w:nsid w:val="07987FDE"/>
    <w:multiLevelType w:val="multilevel"/>
    <w:tmpl w:val="07987FD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0D7D4B"/>
    <w:multiLevelType w:val="singleLevel"/>
    <w:tmpl w:val="110D7D4B"/>
    <w:lvl w:ilvl="0" w:tentative="0">
      <w:start w:val="1"/>
      <w:numFmt w:val="decimal"/>
      <w:suff w:val="space"/>
      <w:lvlText w:val="%1."/>
      <w:lvlJc w:val="left"/>
    </w:lvl>
  </w:abstractNum>
  <w:abstractNum w:abstractNumId="8">
    <w:nsid w:val="13A54688"/>
    <w:multiLevelType w:val="multilevel"/>
    <w:tmpl w:val="13A54688"/>
    <w:lvl w:ilvl="0" w:tentative="0">
      <w:start w:val="1"/>
      <w:numFmt w:val="japaneseCounting"/>
      <w:lvlText w:val="%1、"/>
      <w:lvlJc w:val="left"/>
      <w:pPr>
        <w:tabs>
          <w:tab w:val="left" w:pos="1260"/>
        </w:tabs>
        <w:ind w:left="126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41DFE11"/>
    <w:multiLevelType w:val="singleLevel"/>
    <w:tmpl w:val="141DFE11"/>
    <w:lvl w:ilvl="0" w:tentative="0">
      <w:start w:val="1"/>
      <w:numFmt w:val="decimal"/>
      <w:suff w:val="nothing"/>
      <w:lvlText w:val="%1、"/>
      <w:lvlJc w:val="left"/>
    </w:lvl>
  </w:abstractNum>
  <w:abstractNum w:abstractNumId="10">
    <w:nsid w:val="167F32C8"/>
    <w:multiLevelType w:val="singleLevel"/>
    <w:tmpl w:val="167F32C8"/>
    <w:lvl w:ilvl="0" w:tentative="0">
      <w:start w:val="1"/>
      <w:numFmt w:val="decimal"/>
      <w:suff w:val="nothing"/>
      <w:lvlText w:val="%1、"/>
      <w:lvlJc w:val="left"/>
    </w:lvl>
  </w:abstractNum>
  <w:abstractNum w:abstractNumId="11">
    <w:nsid w:val="31D865DC"/>
    <w:multiLevelType w:val="multilevel"/>
    <w:tmpl w:val="31D865DC"/>
    <w:lvl w:ilvl="0" w:tentative="0">
      <w:start w:val="1"/>
      <w:numFmt w:val="decimal"/>
      <w:lvlText w:val="%1."/>
      <w:lvlJc w:val="left"/>
      <w:pPr>
        <w:tabs>
          <w:tab w:val="left" w:pos="425"/>
        </w:tabs>
        <w:ind w:left="425" w:hanging="425"/>
      </w:pPr>
    </w:lvl>
    <w:lvl w:ilvl="1" w:tentative="0">
      <w:start w:val="1"/>
      <w:numFmt w:val="decimal"/>
      <w:pStyle w:val="165"/>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45C42C9A"/>
    <w:multiLevelType w:val="multilevel"/>
    <w:tmpl w:val="45C42C9A"/>
    <w:lvl w:ilvl="0" w:tentative="0">
      <w:start w:val="1"/>
      <w:numFmt w:val="decimal"/>
      <w:pStyle w:val="3"/>
      <w:lvlText w:val="%1"/>
      <w:lvlJc w:val="left"/>
      <w:pPr>
        <w:tabs>
          <w:tab w:val="left" w:pos="432"/>
        </w:tabs>
        <w:ind w:left="432" w:hanging="432"/>
      </w:pPr>
      <w:rPr>
        <w:rFonts w:cs="Times New Roman"/>
      </w:rPr>
    </w:lvl>
    <w:lvl w:ilvl="1" w:tentative="0">
      <w:start w:val="1"/>
      <w:numFmt w:val="decimal"/>
      <w:pStyle w:val="4"/>
      <w:lvlText w:val="%1.%2"/>
      <w:lvlJc w:val="left"/>
      <w:pPr>
        <w:tabs>
          <w:tab w:val="left" w:pos="576"/>
        </w:tabs>
        <w:ind w:left="576" w:hanging="576"/>
      </w:pPr>
      <w:rPr>
        <w:rFonts w:cs="Times New Roman"/>
      </w:rPr>
    </w:lvl>
    <w:lvl w:ilvl="2" w:tentative="0">
      <w:start w:val="1"/>
      <w:numFmt w:val="decimal"/>
      <w:pStyle w:val="5"/>
      <w:lvlText w:val="%1.%2.%3"/>
      <w:lvlJc w:val="left"/>
      <w:pPr>
        <w:tabs>
          <w:tab w:val="left" w:pos="1260"/>
        </w:tabs>
        <w:ind w:left="1260" w:hanging="720"/>
      </w:pPr>
      <w:rPr>
        <w:rFonts w:cs="Times New Roman"/>
      </w:rPr>
    </w:lvl>
    <w:lvl w:ilvl="3" w:tentative="0">
      <w:start w:val="1"/>
      <w:numFmt w:val="decimal"/>
      <w:pStyle w:val="6"/>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abstractNum w:abstractNumId="13">
    <w:nsid w:val="59D21939"/>
    <w:multiLevelType w:val="multilevel"/>
    <w:tmpl w:val="59D21939"/>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9CB7350"/>
    <w:multiLevelType w:val="multilevel"/>
    <w:tmpl w:val="69CB7350"/>
    <w:lvl w:ilvl="0" w:tentative="0">
      <w:start w:val="1"/>
      <w:numFmt w:val="decimal"/>
      <w:lvlText w:val="1.%1"/>
      <w:lvlJc w:val="left"/>
      <w:pPr>
        <w:ind w:left="496" w:hanging="341"/>
      </w:pPr>
      <w:rPr>
        <w:rFonts w:hint="default" w:ascii="宋体" w:hAnsi="宋体" w:eastAsia="宋体"/>
        <w:b w:val="0"/>
        <w:color w:val="auto"/>
      </w:rPr>
    </w:lvl>
    <w:lvl w:ilvl="1" w:tentative="0">
      <w:start w:val="1"/>
      <w:numFmt w:val="lowerLetter"/>
      <w:lvlText w:val="%2)"/>
      <w:lvlJc w:val="left"/>
      <w:pPr>
        <w:ind w:left="1019" w:hanging="420"/>
      </w:pPr>
      <w:rPr>
        <w:rFonts w:hint="eastAsia"/>
      </w:rPr>
    </w:lvl>
    <w:lvl w:ilvl="2" w:tentative="0">
      <w:start w:val="1"/>
      <w:numFmt w:val="lowerRoman"/>
      <w:lvlText w:val="%3."/>
      <w:lvlJc w:val="right"/>
      <w:pPr>
        <w:ind w:left="1439" w:hanging="420"/>
      </w:pPr>
      <w:rPr>
        <w:rFonts w:hint="eastAsia"/>
      </w:rPr>
    </w:lvl>
    <w:lvl w:ilvl="3" w:tentative="0">
      <w:start w:val="1"/>
      <w:numFmt w:val="decimal"/>
      <w:lvlText w:val="%4."/>
      <w:lvlJc w:val="left"/>
      <w:pPr>
        <w:ind w:left="1859" w:hanging="420"/>
      </w:pPr>
      <w:rPr>
        <w:rFonts w:hint="eastAsia"/>
      </w:rPr>
    </w:lvl>
    <w:lvl w:ilvl="4" w:tentative="0">
      <w:start w:val="1"/>
      <w:numFmt w:val="lowerLetter"/>
      <w:lvlText w:val="%5)"/>
      <w:lvlJc w:val="left"/>
      <w:pPr>
        <w:ind w:left="2279" w:hanging="420"/>
      </w:pPr>
      <w:rPr>
        <w:rFonts w:hint="eastAsia"/>
      </w:rPr>
    </w:lvl>
    <w:lvl w:ilvl="5" w:tentative="0">
      <w:start w:val="1"/>
      <w:numFmt w:val="lowerRoman"/>
      <w:lvlText w:val="%6."/>
      <w:lvlJc w:val="right"/>
      <w:pPr>
        <w:ind w:left="2699" w:hanging="420"/>
      </w:pPr>
      <w:rPr>
        <w:rFonts w:hint="eastAsia"/>
      </w:rPr>
    </w:lvl>
    <w:lvl w:ilvl="6" w:tentative="0">
      <w:start w:val="1"/>
      <w:numFmt w:val="decimal"/>
      <w:lvlText w:val="%7."/>
      <w:lvlJc w:val="left"/>
      <w:pPr>
        <w:ind w:left="3119" w:hanging="420"/>
      </w:pPr>
      <w:rPr>
        <w:rFonts w:hint="eastAsia"/>
      </w:rPr>
    </w:lvl>
    <w:lvl w:ilvl="7" w:tentative="0">
      <w:start w:val="1"/>
      <w:numFmt w:val="lowerLetter"/>
      <w:lvlText w:val="%8)"/>
      <w:lvlJc w:val="left"/>
      <w:pPr>
        <w:ind w:left="3539" w:hanging="420"/>
      </w:pPr>
      <w:rPr>
        <w:rFonts w:hint="eastAsia"/>
      </w:rPr>
    </w:lvl>
    <w:lvl w:ilvl="8" w:tentative="0">
      <w:start w:val="1"/>
      <w:numFmt w:val="lowerRoman"/>
      <w:lvlText w:val="%9."/>
      <w:lvlJc w:val="right"/>
      <w:pPr>
        <w:ind w:left="3959" w:hanging="420"/>
      </w:pPr>
      <w:rPr>
        <w:rFonts w:hint="eastAsia"/>
      </w:rPr>
    </w:lvl>
  </w:abstractNum>
  <w:abstractNum w:abstractNumId="15">
    <w:nsid w:val="7E54280B"/>
    <w:multiLevelType w:val="singleLevel"/>
    <w:tmpl w:val="7E54280B"/>
    <w:lvl w:ilvl="0" w:tentative="0">
      <w:start w:val="2"/>
      <w:numFmt w:val="decimal"/>
      <w:suff w:val="nothing"/>
      <w:lvlText w:val="%1、"/>
      <w:lvlJc w:val="left"/>
    </w:lvl>
  </w:abstractNum>
  <w:num w:numId="1">
    <w:abstractNumId w:val="12"/>
  </w:num>
  <w:num w:numId="2">
    <w:abstractNumId w:val="8"/>
  </w:num>
  <w:num w:numId="3">
    <w:abstractNumId w:val="11"/>
  </w:num>
  <w:num w:numId="4">
    <w:abstractNumId w:val="5"/>
  </w:num>
  <w:num w:numId="5">
    <w:abstractNumId w:val="9"/>
  </w:num>
  <w:num w:numId="6">
    <w:abstractNumId w:val="2"/>
  </w:num>
  <w:num w:numId="7">
    <w:abstractNumId w:val="13"/>
  </w:num>
  <w:num w:numId="8">
    <w:abstractNumId w:val="0"/>
  </w:num>
  <w:num w:numId="9">
    <w:abstractNumId w:val="4"/>
  </w:num>
  <w:num w:numId="10">
    <w:abstractNumId w:val="3"/>
  </w:num>
  <w:num w:numId="11">
    <w:abstractNumId w:val="7"/>
  </w:num>
  <w:num w:numId="12">
    <w:abstractNumId w:val="1"/>
  </w:num>
  <w:num w:numId="13">
    <w:abstractNumId w:val="6"/>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009640B3"/>
    <w:rsid w:val="00002D19"/>
    <w:rsid w:val="00006938"/>
    <w:rsid w:val="00007EF9"/>
    <w:rsid w:val="00026D2A"/>
    <w:rsid w:val="0003757A"/>
    <w:rsid w:val="000375CD"/>
    <w:rsid w:val="000A527F"/>
    <w:rsid w:val="000C2AE6"/>
    <w:rsid w:val="00102780"/>
    <w:rsid w:val="00150BAB"/>
    <w:rsid w:val="00183E52"/>
    <w:rsid w:val="00194EF2"/>
    <w:rsid w:val="00230A31"/>
    <w:rsid w:val="002536C9"/>
    <w:rsid w:val="002555F4"/>
    <w:rsid w:val="00280EDE"/>
    <w:rsid w:val="002879D2"/>
    <w:rsid w:val="00312B68"/>
    <w:rsid w:val="003673D8"/>
    <w:rsid w:val="00382A57"/>
    <w:rsid w:val="00394B4B"/>
    <w:rsid w:val="00406BCC"/>
    <w:rsid w:val="004962DF"/>
    <w:rsid w:val="004D067A"/>
    <w:rsid w:val="004D6BE4"/>
    <w:rsid w:val="00500FD8"/>
    <w:rsid w:val="005213BE"/>
    <w:rsid w:val="00543BD8"/>
    <w:rsid w:val="005606DB"/>
    <w:rsid w:val="005A77D5"/>
    <w:rsid w:val="005A7983"/>
    <w:rsid w:val="005D01A9"/>
    <w:rsid w:val="005F4E7F"/>
    <w:rsid w:val="006074E8"/>
    <w:rsid w:val="00654471"/>
    <w:rsid w:val="0065764E"/>
    <w:rsid w:val="00661709"/>
    <w:rsid w:val="006617D4"/>
    <w:rsid w:val="00676650"/>
    <w:rsid w:val="00677134"/>
    <w:rsid w:val="006B44FC"/>
    <w:rsid w:val="006C5B29"/>
    <w:rsid w:val="006C71C8"/>
    <w:rsid w:val="006F4C4A"/>
    <w:rsid w:val="00721E48"/>
    <w:rsid w:val="00742F58"/>
    <w:rsid w:val="007B69F6"/>
    <w:rsid w:val="008A46A4"/>
    <w:rsid w:val="008A7DDB"/>
    <w:rsid w:val="008B579D"/>
    <w:rsid w:val="008B6468"/>
    <w:rsid w:val="008C72CD"/>
    <w:rsid w:val="008F0249"/>
    <w:rsid w:val="0092247F"/>
    <w:rsid w:val="009640B3"/>
    <w:rsid w:val="009879CB"/>
    <w:rsid w:val="009C70D1"/>
    <w:rsid w:val="009E0A06"/>
    <w:rsid w:val="009F2F71"/>
    <w:rsid w:val="00A0095C"/>
    <w:rsid w:val="00A42588"/>
    <w:rsid w:val="00A73A50"/>
    <w:rsid w:val="00AA6AC1"/>
    <w:rsid w:val="00AA6C8B"/>
    <w:rsid w:val="00AD693B"/>
    <w:rsid w:val="00B00993"/>
    <w:rsid w:val="00B10938"/>
    <w:rsid w:val="00B123A3"/>
    <w:rsid w:val="00B66215"/>
    <w:rsid w:val="00BA656B"/>
    <w:rsid w:val="00C7308F"/>
    <w:rsid w:val="00C767D5"/>
    <w:rsid w:val="00CD65F2"/>
    <w:rsid w:val="00CD7ECE"/>
    <w:rsid w:val="00D240EF"/>
    <w:rsid w:val="00D678AE"/>
    <w:rsid w:val="00DA4B47"/>
    <w:rsid w:val="00DC3AFD"/>
    <w:rsid w:val="00DF553F"/>
    <w:rsid w:val="00E92D4B"/>
    <w:rsid w:val="00EB7035"/>
    <w:rsid w:val="00EE2653"/>
    <w:rsid w:val="00EF7446"/>
    <w:rsid w:val="00F27D19"/>
    <w:rsid w:val="00FD1DF5"/>
    <w:rsid w:val="00FF47AE"/>
    <w:rsid w:val="00FF65CD"/>
    <w:rsid w:val="0135138A"/>
    <w:rsid w:val="014411C9"/>
    <w:rsid w:val="0167418D"/>
    <w:rsid w:val="018330AD"/>
    <w:rsid w:val="0184338F"/>
    <w:rsid w:val="01B415D2"/>
    <w:rsid w:val="01BB614C"/>
    <w:rsid w:val="01E8526A"/>
    <w:rsid w:val="02000B1F"/>
    <w:rsid w:val="023221B6"/>
    <w:rsid w:val="023817D2"/>
    <w:rsid w:val="023C209A"/>
    <w:rsid w:val="02491FE5"/>
    <w:rsid w:val="024E5007"/>
    <w:rsid w:val="02736BB0"/>
    <w:rsid w:val="028D5720"/>
    <w:rsid w:val="02A6660D"/>
    <w:rsid w:val="02B67651"/>
    <w:rsid w:val="02BE599B"/>
    <w:rsid w:val="02BF3353"/>
    <w:rsid w:val="02C30A61"/>
    <w:rsid w:val="02CD223D"/>
    <w:rsid w:val="02E132C9"/>
    <w:rsid w:val="02F4335E"/>
    <w:rsid w:val="03451AAA"/>
    <w:rsid w:val="03595C54"/>
    <w:rsid w:val="035961B6"/>
    <w:rsid w:val="03697B0E"/>
    <w:rsid w:val="036A37B8"/>
    <w:rsid w:val="037E4FBC"/>
    <w:rsid w:val="03BC7892"/>
    <w:rsid w:val="03C20A9D"/>
    <w:rsid w:val="03CC3F79"/>
    <w:rsid w:val="03D64AAD"/>
    <w:rsid w:val="03ED6979"/>
    <w:rsid w:val="03FE7EAB"/>
    <w:rsid w:val="04295A67"/>
    <w:rsid w:val="042F7047"/>
    <w:rsid w:val="0434199F"/>
    <w:rsid w:val="043D1622"/>
    <w:rsid w:val="043E3628"/>
    <w:rsid w:val="0443049F"/>
    <w:rsid w:val="04484106"/>
    <w:rsid w:val="04691461"/>
    <w:rsid w:val="046928C3"/>
    <w:rsid w:val="04703638"/>
    <w:rsid w:val="049E5539"/>
    <w:rsid w:val="04F6588B"/>
    <w:rsid w:val="053864EC"/>
    <w:rsid w:val="05725496"/>
    <w:rsid w:val="05757AA3"/>
    <w:rsid w:val="058F650A"/>
    <w:rsid w:val="05BF16A5"/>
    <w:rsid w:val="05C07B0D"/>
    <w:rsid w:val="05D4645E"/>
    <w:rsid w:val="06036992"/>
    <w:rsid w:val="060F6259"/>
    <w:rsid w:val="062E158F"/>
    <w:rsid w:val="0653526C"/>
    <w:rsid w:val="06AA794D"/>
    <w:rsid w:val="06B64A6C"/>
    <w:rsid w:val="070F21DB"/>
    <w:rsid w:val="0716104E"/>
    <w:rsid w:val="071E7B37"/>
    <w:rsid w:val="076B2DCE"/>
    <w:rsid w:val="076C036C"/>
    <w:rsid w:val="077855B9"/>
    <w:rsid w:val="07D11074"/>
    <w:rsid w:val="07E26E47"/>
    <w:rsid w:val="07F910B5"/>
    <w:rsid w:val="0815085B"/>
    <w:rsid w:val="08316113"/>
    <w:rsid w:val="083B2C3D"/>
    <w:rsid w:val="084F56FF"/>
    <w:rsid w:val="08555F5A"/>
    <w:rsid w:val="08774FC2"/>
    <w:rsid w:val="089808CE"/>
    <w:rsid w:val="08B84966"/>
    <w:rsid w:val="08C5351E"/>
    <w:rsid w:val="08D86F1C"/>
    <w:rsid w:val="08EA090B"/>
    <w:rsid w:val="08F73EBE"/>
    <w:rsid w:val="09002D5A"/>
    <w:rsid w:val="09041F95"/>
    <w:rsid w:val="091C0FD9"/>
    <w:rsid w:val="09324BC4"/>
    <w:rsid w:val="093D33C9"/>
    <w:rsid w:val="095B60E4"/>
    <w:rsid w:val="0960462C"/>
    <w:rsid w:val="098334BD"/>
    <w:rsid w:val="099248CD"/>
    <w:rsid w:val="09A57586"/>
    <w:rsid w:val="09E63157"/>
    <w:rsid w:val="0A430D0D"/>
    <w:rsid w:val="0A6947DE"/>
    <w:rsid w:val="0A9D2FE2"/>
    <w:rsid w:val="0A9F1F5E"/>
    <w:rsid w:val="0AA02496"/>
    <w:rsid w:val="0AB66287"/>
    <w:rsid w:val="0ABB6AF5"/>
    <w:rsid w:val="0ACA3C4C"/>
    <w:rsid w:val="0AEB67F9"/>
    <w:rsid w:val="0B0203B8"/>
    <w:rsid w:val="0B1F6B95"/>
    <w:rsid w:val="0B412C61"/>
    <w:rsid w:val="0B46799B"/>
    <w:rsid w:val="0B72170C"/>
    <w:rsid w:val="0B752C93"/>
    <w:rsid w:val="0B823F50"/>
    <w:rsid w:val="0BA63302"/>
    <w:rsid w:val="0BBD6225"/>
    <w:rsid w:val="0BC114DF"/>
    <w:rsid w:val="0BFB462A"/>
    <w:rsid w:val="0C25691C"/>
    <w:rsid w:val="0C362A70"/>
    <w:rsid w:val="0C4C0933"/>
    <w:rsid w:val="0C5E2022"/>
    <w:rsid w:val="0C670CE3"/>
    <w:rsid w:val="0C7A2AF4"/>
    <w:rsid w:val="0C7B29E0"/>
    <w:rsid w:val="0C86214C"/>
    <w:rsid w:val="0C9D23BE"/>
    <w:rsid w:val="0D163BC6"/>
    <w:rsid w:val="0D6B569C"/>
    <w:rsid w:val="0D935461"/>
    <w:rsid w:val="0DBC24DA"/>
    <w:rsid w:val="0DD76FED"/>
    <w:rsid w:val="0DEB51E0"/>
    <w:rsid w:val="0DF2383E"/>
    <w:rsid w:val="0DF857C7"/>
    <w:rsid w:val="0E2B5527"/>
    <w:rsid w:val="0E4426D7"/>
    <w:rsid w:val="0E59397E"/>
    <w:rsid w:val="0E5F4312"/>
    <w:rsid w:val="0E6446C4"/>
    <w:rsid w:val="0E823E3B"/>
    <w:rsid w:val="0E9D6C3E"/>
    <w:rsid w:val="0EA43A70"/>
    <w:rsid w:val="0EE02FCE"/>
    <w:rsid w:val="0EE7423B"/>
    <w:rsid w:val="0F29227F"/>
    <w:rsid w:val="0F687ABB"/>
    <w:rsid w:val="0FC04D9F"/>
    <w:rsid w:val="0FCE2E27"/>
    <w:rsid w:val="10001911"/>
    <w:rsid w:val="100D6038"/>
    <w:rsid w:val="102B6385"/>
    <w:rsid w:val="102D5D9F"/>
    <w:rsid w:val="10321608"/>
    <w:rsid w:val="10353222"/>
    <w:rsid w:val="105166D2"/>
    <w:rsid w:val="10CB4356"/>
    <w:rsid w:val="10E20CEC"/>
    <w:rsid w:val="10F44B0F"/>
    <w:rsid w:val="113A59F1"/>
    <w:rsid w:val="113B4BC4"/>
    <w:rsid w:val="11566C8C"/>
    <w:rsid w:val="119836EC"/>
    <w:rsid w:val="119A0012"/>
    <w:rsid w:val="11D113C2"/>
    <w:rsid w:val="12026E01"/>
    <w:rsid w:val="12051714"/>
    <w:rsid w:val="12141BC0"/>
    <w:rsid w:val="12333415"/>
    <w:rsid w:val="123C7C16"/>
    <w:rsid w:val="125D1B03"/>
    <w:rsid w:val="12704DB3"/>
    <w:rsid w:val="12794E06"/>
    <w:rsid w:val="12A3059B"/>
    <w:rsid w:val="12AF2BFA"/>
    <w:rsid w:val="12BF474E"/>
    <w:rsid w:val="12D74756"/>
    <w:rsid w:val="12E51DF2"/>
    <w:rsid w:val="12EB23CA"/>
    <w:rsid w:val="130C4392"/>
    <w:rsid w:val="130C4532"/>
    <w:rsid w:val="134D74D4"/>
    <w:rsid w:val="1356388C"/>
    <w:rsid w:val="135B74B8"/>
    <w:rsid w:val="135E3B2E"/>
    <w:rsid w:val="136A43C7"/>
    <w:rsid w:val="137B3E80"/>
    <w:rsid w:val="13964FBC"/>
    <w:rsid w:val="13A73171"/>
    <w:rsid w:val="140C1889"/>
    <w:rsid w:val="140F36CB"/>
    <w:rsid w:val="142422AF"/>
    <w:rsid w:val="147B36BB"/>
    <w:rsid w:val="147C3C8C"/>
    <w:rsid w:val="14A66120"/>
    <w:rsid w:val="14FB20E7"/>
    <w:rsid w:val="150427B3"/>
    <w:rsid w:val="15107A3E"/>
    <w:rsid w:val="1541506E"/>
    <w:rsid w:val="154E202F"/>
    <w:rsid w:val="15712BD2"/>
    <w:rsid w:val="157B735A"/>
    <w:rsid w:val="158012CD"/>
    <w:rsid w:val="159248FD"/>
    <w:rsid w:val="159B5BDB"/>
    <w:rsid w:val="15A9411A"/>
    <w:rsid w:val="15D40158"/>
    <w:rsid w:val="15FE4B6C"/>
    <w:rsid w:val="16041175"/>
    <w:rsid w:val="16112C30"/>
    <w:rsid w:val="1623156A"/>
    <w:rsid w:val="164A219D"/>
    <w:rsid w:val="164B5385"/>
    <w:rsid w:val="165C044D"/>
    <w:rsid w:val="16604336"/>
    <w:rsid w:val="167665C6"/>
    <w:rsid w:val="16810BF3"/>
    <w:rsid w:val="16CC017F"/>
    <w:rsid w:val="16EA6177"/>
    <w:rsid w:val="171730AB"/>
    <w:rsid w:val="172A2C1F"/>
    <w:rsid w:val="177B1AE6"/>
    <w:rsid w:val="17866D45"/>
    <w:rsid w:val="179B23D0"/>
    <w:rsid w:val="17B32E54"/>
    <w:rsid w:val="17BF6DAA"/>
    <w:rsid w:val="17C567B6"/>
    <w:rsid w:val="17CA39E6"/>
    <w:rsid w:val="17DD43C5"/>
    <w:rsid w:val="17E42573"/>
    <w:rsid w:val="17E663C6"/>
    <w:rsid w:val="17FA2D46"/>
    <w:rsid w:val="183345EB"/>
    <w:rsid w:val="183F12A7"/>
    <w:rsid w:val="18455C50"/>
    <w:rsid w:val="18531E50"/>
    <w:rsid w:val="185A5BA0"/>
    <w:rsid w:val="187E5752"/>
    <w:rsid w:val="18C174DB"/>
    <w:rsid w:val="18C249F0"/>
    <w:rsid w:val="18D214EE"/>
    <w:rsid w:val="191707C1"/>
    <w:rsid w:val="191B18F5"/>
    <w:rsid w:val="19223474"/>
    <w:rsid w:val="194B373A"/>
    <w:rsid w:val="196A7C74"/>
    <w:rsid w:val="198266B8"/>
    <w:rsid w:val="19946A53"/>
    <w:rsid w:val="199C1137"/>
    <w:rsid w:val="19A846E9"/>
    <w:rsid w:val="19B00734"/>
    <w:rsid w:val="19B77438"/>
    <w:rsid w:val="19B968F6"/>
    <w:rsid w:val="19E1107D"/>
    <w:rsid w:val="1A0F4768"/>
    <w:rsid w:val="1A3C68B4"/>
    <w:rsid w:val="1A424778"/>
    <w:rsid w:val="1A481984"/>
    <w:rsid w:val="1A492BF8"/>
    <w:rsid w:val="1A4E34E2"/>
    <w:rsid w:val="1A534FE3"/>
    <w:rsid w:val="1A556774"/>
    <w:rsid w:val="1AAB3704"/>
    <w:rsid w:val="1ACD6B6C"/>
    <w:rsid w:val="1AE33019"/>
    <w:rsid w:val="1AE9320B"/>
    <w:rsid w:val="1B2D768B"/>
    <w:rsid w:val="1B5F527B"/>
    <w:rsid w:val="1B701236"/>
    <w:rsid w:val="1BE42BC4"/>
    <w:rsid w:val="1C0735C5"/>
    <w:rsid w:val="1C085913"/>
    <w:rsid w:val="1C170D74"/>
    <w:rsid w:val="1C3425B4"/>
    <w:rsid w:val="1C4650FC"/>
    <w:rsid w:val="1C6C3216"/>
    <w:rsid w:val="1C8B27CB"/>
    <w:rsid w:val="1C935AE2"/>
    <w:rsid w:val="1CA3397A"/>
    <w:rsid w:val="1CAE3253"/>
    <w:rsid w:val="1CAE6F40"/>
    <w:rsid w:val="1CB339A6"/>
    <w:rsid w:val="1CB403CA"/>
    <w:rsid w:val="1CBF0ABE"/>
    <w:rsid w:val="1CE57F1E"/>
    <w:rsid w:val="1D273327"/>
    <w:rsid w:val="1D4946BC"/>
    <w:rsid w:val="1D567639"/>
    <w:rsid w:val="1D764B31"/>
    <w:rsid w:val="1D8F1A5E"/>
    <w:rsid w:val="1D9A07EC"/>
    <w:rsid w:val="1DAD1C08"/>
    <w:rsid w:val="1DAD49C3"/>
    <w:rsid w:val="1DC32E09"/>
    <w:rsid w:val="1E1117BD"/>
    <w:rsid w:val="1E2C2CAA"/>
    <w:rsid w:val="1E3302F5"/>
    <w:rsid w:val="1E38656C"/>
    <w:rsid w:val="1E4179CF"/>
    <w:rsid w:val="1E426EBA"/>
    <w:rsid w:val="1E577D0A"/>
    <w:rsid w:val="1E6D10AF"/>
    <w:rsid w:val="1E76001E"/>
    <w:rsid w:val="1E7A7539"/>
    <w:rsid w:val="1E886F79"/>
    <w:rsid w:val="1E8A7CBA"/>
    <w:rsid w:val="1E9F0361"/>
    <w:rsid w:val="1EA45E3E"/>
    <w:rsid w:val="1EA92958"/>
    <w:rsid w:val="1EB660B9"/>
    <w:rsid w:val="1EDA29DE"/>
    <w:rsid w:val="1F055549"/>
    <w:rsid w:val="1F470500"/>
    <w:rsid w:val="1F4D16E9"/>
    <w:rsid w:val="1F4E065F"/>
    <w:rsid w:val="1F5275D0"/>
    <w:rsid w:val="1F59095F"/>
    <w:rsid w:val="1F7667D5"/>
    <w:rsid w:val="1F9078D7"/>
    <w:rsid w:val="1F95570F"/>
    <w:rsid w:val="1FDC51B0"/>
    <w:rsid w:val="20230F6D"/>
    <w:rsid w:val="20410142"/>
    <w:rsid w:val="20BD525B"/>
    <w:rsid w:val="20CE0082"/>
    <w:rsid w:val="20CE10E5"/>
    <w:rsid w:val="20D94C8E"/>
    <w:rsid w:val="20EC48AF"/>
    <w:rsid w:val="212B632B"/>
    <w:rsid w:val="212D2EAE"/>
    <w:rsid w:val="21633C8B"/>
    <w:rsid w:val="2169631B"/>
    <w:rsid w:val="21807415"/>
    <w:rsid w:val="21BD0297"/>
    <w:rsid w:val="21D06ED2"/>
    <w:rsid w:val="21E76A79"/>
    <w:rsid w:val="21F24981"/>
    <w:rsid w:val="225C3FC7"/>
    <w:rsid w:val="22836C12"/>
    <w:rsid w:val="228569AB"/>
    <w:rsid w:val="228D26CE"/>
    <w:rsid w:val="22945315"/>
    <w:rsid w:val="22963F54"/>
    <w:rsid w:val="229C12E2"/>
    <w:rsid w:val="22CD0355"/>
    <w:rsid w:val="22D85D40"/>
    <w:rsid w:val="23027641"/>
    <w:rsid w:val="230C4AB2"/>
    <w:rsid w:val="23127F4D"/>
    <w:rsid w:val="23150761"/>
    <w:rsid w:val="232C09A6"/>
    <w:rsid w:val="23767F81"/>
    <w:rsid w:val="2390167A"/>
    <w:rsid w:val="239E204B"/>
    <w:rsid w:val="23AF09DE"/>
    <w:rsid w:val="23EB3B50"/>
    <w:rsid w:val="245E4322"/>
    <w:rsid w:val="24631FD7"/>
    <w:rsid w:val="248A7123"/>
    <w:rsid w:val="24970BE8"/>
    <w:rsid w:val="24E64B69"/>
    <w:rsid w:val="24FC1D1C"/>
    <w:rsid w:val="250A069B"/>
    <w:rsid w:val="25351D5B"/>
    <w:rsid w:val="255A7B19"/>
    <w:rsid w:val="257E2E5B"/>
    <w:rsid w:val="25A37D53"/>
    <w:rsid w:val="25D02FFD"/>
    <w:rsid w:val="25D8593D"/>
    <w:rsid w:val="25E47B7D"/>
    <w:rsid w:val="26021802"/>
    <w:rsid w:val="260A1F9A"/>
    <w:rsid w:val="262325D7"/>
    <w:rsid w:val="26425255"/>
    <w:rsid w:val="26797EDA"/>
    <w:rsid w:val="26B2554F"/>
    <w:rsid w:val="26DB7EAB"/>
    <w:rsid w:val="26E62DB3"/>
    <w:rsid w:val="270A70EA"/>
    <w:rsid w:val="270D4AD8"/>
    <w:rsid w:val="272A0FBB"/>
    <w:rsid w:val="27476DD9"/>
    <w:rsid w:val="275538C1"/>
    <w:rsid w:val="277E0F7D"/>
    <w:rsid w:val="279664FC"/>
    <w:rsid w:val="27C94F39"/>
    <w:rsid w:val="27CE1102"/>
    <w:rsid w:val="27CE42CA"/>
    <w:rsid w:val="27E2755C"/>
    <w:rsid w:val="27E97193"/>
    <w:rsid w:val="27EC34A4"/>
    <w:rsid w:val="28171939"/>
    <w:rsid w:val="28687E65"/>
    <w:rsid w:val="287B307B"/>
    <w:rsid w:val="28860263"/>
    <w:rsid w:val="28A349F9"/>
    <w:rsid w:val="28B22F7D"/>
    <w:rsid w:val="28C42EEB"/>
    <w:rsid w:val="28D83258"/>
    <w:rsid w:val="28FB2A3F"/>
    <w:rsid w:val="29212E8D"/>
    <w:rsid w:val="296042FF"/>
    <w:rsid w:val="296E07D8"/>
    <w:rsid w:val="296F69EA"/>
    <w:rsid w:val="2993139B"/>
    <w:rsid w:val="299376BB"/>
    <w:rsid w:val="299B5F04"/>
    <w:rsid w:val="29A155D7"/>
    <w:rsid w:val="29BF51B1"/>
    <w:rsid w:val="29EB551B"/>
    <w:rsid w:val="29F924A3"/>
    <w:rsid w:val="2A151926"/>
    <w:rsid w:val="2A2E2D26"/>
    <w:rsid w:val="2A396CA7"/>
    <w:rsid w:val="2A45548F"/>
    <w:rsid w:val="2A5138A5"/>
    <w:rsid w:val="2AB26AF0"/>
    <w:rsid w:val="2AC84ACB"/>
    <w:rsid w:val="2ACB66B1"/>
    <w:rsid w:val="2B144892"/>
    <w:rsid w:val="2B4E756B"/>
    <w:rsid w:val="2B711930"/>
    <w:rsid w:val="2B8054C5"/>
    <w:rsid w:val="2B8F3953"/>
    <w:rsid w:val="2B986D03"/>
    <w:rsid w:val="2B9C0E46"/>
    <w:rsid w:val="2BA60E1F"/>
    <w:rsid w:val="2BBC67D4"/>
    <w:rsid w:val="2BCE2D89"/>
    <w:rsid w:val="2BDB3D96"/>
    <w:rsid w:val="2BDE3535"/>
    <w:rsid w:val="2BE529DA"/>
    <w:rsid w:val="2BEA0666"/>
    <w:rsid w:val="2C1969DA"/>
    <w:rsid w:val="2C232666"/>
    <w:rsid w:val="2C3607CC"/>
    <w:rsid w:val="2C4C53A8"/>
    <w:rsid w:val="2CF306DD"/>
    <w:rsid w:val="2CFC255E"/>
    <w:rsid w:val="2CFE48F4"/>
    <w:rsid w:val="2D151532"/>
    <w:rsid w:val="2D2865B7"/>
    <w:rsid w:val="2D7F2DB0"/>
    <w:rsid w:val="2DB80421"/>
    <w:rsid w:val="2DC048C0"/>
    <w:rsid w:val="2DD85145"/>
    <w:rsid w:val="2DDD304C"/>
    <w:rsid w:val="2DE05D4B"/>
    <w:rsid w:val="2E0D1686"/>
    <w:rsid w:val="2E1B67F8"/>
    <w:rsid w:val="2E295E1B"/>
    <w:rsid w:val="2E326796"/>
    <w:rsid w:val="2E3C3598"/>
    <w:rsid w:val="2E474078"/>
    <w:rsid w:val="2E507989"/>
    <w:rsid w:val="2E8433D9"/>
    <w:rsid w:val="2EA14EC7"/>
    <w:rsid w:val="2EE01394"/>
    <w:rsid w:val="2EEE335E"/>
    <w:rsid w:val="2EFD3574"/>
    <w:rsid w:val="2F282022"/>
    <w:rsid w:val="2F445408"/>
    <w:rsid w:val="2F4B4049"/>
    <w:rsid w:val="2F6F5865"/>
    <w:rsid w:val="2FAA5B44"/>
    <w:rsid w:val="2FC70C25"/>
    <w:rsid w:val="300F6E18"/>
    <w:rsid w:val="30262C13"/>
    <w:rsid w:val="302E54F0"/>
    <w:rsid w:val="3038101C"/>
    <w:rsid w:val="30443639"/>
    <w:rsid w:val="304E7CB0"/>
    <w:rsid w:val="30501FCB"/>
    <w:rsid w:val="30595A18"/>
    <w:rsid w:val="305F38FB"/>
    <w:rsid w:val="30607673"/>
    <w:rsid w:val="30765F3C"/>
    <w:rsid w:val="30935804"/>
    <w:rsid w:val="30A9369A"/>
    <w:rsid w:val="30AB389E"/>
    <w:rsid w:val="30B57438"/>
    <w:rsid w:val="30B87E1B"/>
    <w:rsid w:val="30D541D4"/>
    <w:rsid w:val="30F37206"/>
    <w:rsid w:val="31081195"/>
    <w:rsid w:val="310C3B5A"/>
    <w:rsid w:val="31310683"/>
    <w:rsid w:val="316565AF"/>
    <w:rsid w:val="318E0967"/>
    <w:rsid w:val="31A05036"/>
    <w:rsid w:val="31B40F34"/>
    <w:rsid w:val="31EB6A65"/>
    <w:rsid w:val="320901D0"/>
    <w:rsid w:val="322E56F7"/>
    <w:rsid w:val="325B1BAE"/>
    <w:rsid w:val="325D2C33"/>
    <w:rsid w:val="326020E9"/>
    <w:rsid w:val="32805A9D"/>
    <w:rsid w:val="328C0BF4"/>
    <w:rsid w:val="32941CF1"/>
    <w:rsid w:val="32B86E31"/>
    <w:rsid w:val="32C0264B"/>
    <w:rsid w:val="32E97C4F"/>
    <w:rsid w:val="32EB1A69"/>
    <w:rsid w:val="32F04CDF"/>
    <w:rsid w:val="330B7787"/>
    <w:rsid w:val="338C5873"/>
    <w:rsid w:val="339007B2"/>
    <w:rsid w:val="33974B3A"/>
    <w:rsid w:val="33AA7583"/>
    <w:rsid w:val="33DA0B96"/>
    <w:rsid w:val="33E63FEB"/>
    <w:rsid w:val="33EA1602"/>
    <w:rsid w:val="34041A98"/>
    <w:rsid w:val="340A3E7E"/>
    <w:rsid w:val="346516FC"/>
    <w:rsid w:val="34771064"/>
    <w:rsid w:val="348B7895"/>
    <w:rsid w:val="34BE65D8"/>
    <w:rsid w:val="34C81D0F"/>
    <w:rsid w:val="34CE737B"/>
    <w:rsid w:val="34F32D46"/>
    <w:rsid w:val="35312B01"/>
    <w:rsid w:val="353317B2"/>
    <w:rsid w:val="35616BDC"/>
    <w:rsid w:val="35627CEB"/>
    <w:rsid w:val="357C50CC"/>
    <w:rsid w:val="35A50219"/>
    <w:rsid w:val="35C02DAE"/>
    <w:rsid w:val="35D24125"/>
    <w:rsid w:val="363C1E23"/>
    <w:rsid w:val="364B3C57"/>
    <w:rsid w:val="36603C16"/>
    <w:rsid w:val="36723C5D"/>
    <w:rsid w:val="368D43F8"/>
    <w:rsid w:val="36A16CDA"/>
    <w:rsid w:val="36BD5378"/>
    <w:rsid w:val="36D95871"/>
    <w:rsid w:val="36E16BA3"/>
    <w:rsid w:val="36F00469"/>
    <w:rsid w:val="37140F96"/>
    <w:rsid w:val="373566CD"/>
    <w:rsid w:val="37BC1633"/>
    <w:rsid w:val="37CC44F9"/>
    <w:rsid w:val="3809396B"/>
    <w:rsid w:val="38160A60"/>
    <w:rsid w:val="38170E61"/>
    <w:rsid w:val="385A0A9D"/>
    <w:rsid w:val="38766B4A"/>
    <w:rsid w:val="391B34FF"/>
    <w:rsid w:val="391C048E"/>
    <w:rsid w:val="394E3410"/>
    <w:rsid w:val="39D701D9"/>
    <w:rsid w:val="3A4B5CFF"/>
    <w:rsid w:val="3A5826B6"/>
    <w:rsid w:val="3A782816"/>
    <w:rsid w:val="3A960F1D"/>
    <w:rsid w:val="3AB85C59"/>
    <w:rsid w:val="3AD84E92"/>
    <w:rsid w:val="3AEC0481"/>
    <w:rsid w:val="3B107F0F"/>
    <w:rsid w:val="3B186DC4"/>
    <w:rsid w:val="3B412579"/>
    <w:rsid w:val="3B4B1C4C"/>
    <w:rsid w:val="3B533197"/>
    <w:rsid w:val="3B7D7E13"/>
    <w:rsid w:val="3BC907C3"/>
    <w:rsid w:val="3BD01CB4"/>
    <w:rsid w:val="3BDF1F72"/>
    <w:rsid w:val="3BF14D3E"/>
    <w:rsid w:val="3C031541"/>
    <w:rsid w:val="3C056013"/>
    <w:rsid w:val="3C1308C2"/>
    <w:rsid w:val="3C154C83"/>
    <w:rsid w:val="3C3860E7"/>
    <w:rsid w:val="3C507480"/>
    <w:rsid w:val="3C5924B3"/>
    <w:rsid w:val="3C8C2C34"/>
    <w:rsid w:val="3C933399"/>
    <w:rsid w:val="3C9A5CBB"/>
    <w:rsid w:val="3CAF5C0A"/>
    <w:rsid w:val="3CB430FE"/>
    <w:rsid w:val="3CD967E3"/>
    <w:rsid w:val="3CF46C13"/>
    <w:rsid w:val="3CFB279B"/>
    <w:rsid w:val="3CFD7F37"/>
    <w:rsid w:val="3D0C79E0"/>
    <w:rsid w:val="3D0D7122"/>
    <w:rsid w:val="3D27089C"/>
    <w:rsid w:val="3D346DC1"/>
    <w:rsid w:val="3D477B05"/>
    <w:rsid w:val="3D792776"/>
    <w:rsid w:val="3D9828A9"/>
    <w:rsid w:val="3DE2791A"/>
    <w:rsid w:val="3E296CB4"/>
    <w:rsid w:val="3E5A5B54"/>
    <w:rsid w:val="3E8B1D5F"/>
    <w:rsid w:val="3EA25030"/>
    <w:rsid w:val="3EA36F25"/>
    <w:rsid w:val="3EE03C1F"/>
    <w:rsid w:val="3F051B12"/>
    <w:rsid w:val="3F10258B"/>
    <w:rsid w:val="3F37118A"/>
    <w:rsid w:val="3F656D7F"/>
    <w:rsid w:val="3F7A098E"/>
    <w:rsid w:val="3F9959F3"/>
    <w:rsid w:val="3FBA3F5C"/>
    <w:rsid w:val="3FBF1CCE"/>
    <w:rsid w:val="3FCC6F8E"/>
    <w:rsid w:val="3FD716B8"/>
    <w:rsid w:val="3FDA2E5D"/>
    <w:rsid w:val="3FDB4513"/>
    <w:rsid w:val="3FE47979"/>
    <w:rsid w:val="40317410"/>
    <w:rsid w:val="403E4B1D"/>
    <w:rsid w:val="404A710D"/>
    <w:rsid w:val="404F739E"/>
    <w:rsid w:val="40574C5C"/>
    <w:rsid w:val="405F4321"/>
    <w:rsid w:val="40603DED"/>
    <w:rsid w:val="406C4ABE"/>
    <w:rsid w:val="40831BCD"/>
    <w:rsid w:val="40BF1EEA"/>
    <w:rsid w:val="40C52EAE"/>
    <w:rsid w:val="40DF6392"/>
    <w:rsid w:val="40EE7DCE"/>
    <w:rsid w:val="414C4ECB"/>
    <w:rsid w:val="415C684C"/>
    <w:rsid w:val="416F7716"/>
    <w:rsid w:val="41725AC2"/>
    <w:rsid w:val="417E2CA0"/>
    <w:rsid w:val="41874A60"/>
    <w:rsid w:val="418A5888"/>
    <w:rsid w:val="41AA69A0"/>
    <w:rsid w:val="41BF0AC3"/>
    <w:rsid w:val="41D16EB3"/>
    <w:rsid w:val="41DB66A4"/>
    <w:rsid w:val="421D7172"/>
    <w:rsid w:val="424C0CD0"/>
    <w:rsid w:val="42621029"/>
    <w:rsid w:val="42660B19"/>
    <w:rsid w:val="42744C87"/>
    <w:rsid w:val="429D08AF"/>
    <w:rsid w:val="42A33B1C"/>
    <w:rsid w:val="42A41DA4"/>
    <w:rsid w:val="42D81587"/>
    <w:rsid w:val="43140775"/>
    <w:rsid w:val="43174146"/>
    <w:rsid w:val="431B01DC"/>
    <w:rsid w:val="435374E2"/>
    <w:rsid w:val="4358764B"/>
    <w:rsid w:val="435A1C72"/>
    <w:rsid w:val="435D2328"/>
    <w:rsid w:val="436104D5"/>
    <w:rsid w:val="436A1CEB"/>
    <w:rsid w:val="43B417B7"/>
    <w:rsid w:val="43C94D0A"/>
    <w:rsid w:val="43DB5CE2"/>
    <w:rsid w:val="440E66CB"/>
    <w:rsid w:val="44772B8D"/>
    <w:rsid w:val="44A30AD6"/>
    <w:rsid w:val="44AB360A"/>
    <w:rsid w:val="44BA3374"/>
    <w:rsid w:val="44C63791"/>
    <w:rsid w:val="451A5F22"/>
    <w:rsid w:val="451D08A7"/>
    <w:rsid w:val="45490368"/>
    <w:rsid w:val="455B5334"/>
    <w:rsid w:val="459E1862"/>
    <w:rsid w:val="45A37EE8"/>
    <w:rsid w:val="45B12031"/>
    <w:rsid w:val="45B54770"/>
    <w:rsid w:val="45BC6AA8"/>
    <w:rsid w:val="45F55B38"/>
    <w:rsid w:val="4613720A"/>
    <w:rsid w:val="461E1835"/>
    <w:rsid w:val="46556A6B"/>
    <w:rsid w:val="46733FB8"/>
    <w:rsid w:val="467C4DAF"/>
    <w:rsid w:val="467E61C4"/>
    <w:rsid w:val="468477C0"/>
    <w:rsid w:val="468C4AA7"/>
    <w:rsid w:val="46913047"/>
    <w:rsid w:val="46A706A5"/>
    <w:rsid w:val="46FB0A43"/>
    <w:rsid w:val="47195646"/>
    <w:rsid w:val="47353062"/>
    <w:rsid w:val="477A3B2C"/>
    <w:rsid w:val="4780658C"/>
    <w:rsid w:val="47853783"/>
    <w:rsid w:val="47D211D2"/>
    <w:rsid w:val="47D41458"/>
    <w:rsid w:val="47F00E85"/>
    <w:rsid w:val="4801558F"/>
    <w:rsid w:val="48031F77"/>
    <w:rsid w:val="481F0A20"/>
    <w:rsid w:val="48210168"/>
    <w:rsid w:val="48434278"/>
    <w:rsid w:val="487359D2"/>
    <w:rsid w:val="4887604C"/>
    <w:rsid w:val="48BC5937"/>
    <w:rsid w:val="48C80CA0"/>
    <w:rsid w:val="48F04BCA"/>
    <w:rsid w:val="496054B6"/>
    <w:rsid w:val="496E29BE"/>
    <w:rsid w:val="496F0BFB"/>
    <w:rsid w:val="49D428AC"/>
    <w:rsid w:val="49D51101"/>
    <w:rsid w:val="49E20EB5"/>
    <w:rsid w:val="49F122A1"/>
    <w:rsid w:val="49FB5A60"/>
    <w:rsid w:val="4A5A4313"/>
    <w:rsid w:val="4A7A7858"/>
    <w:rsid w:val="4AEA0A9B"/>
    <w:rsid w:val="4B1203F7"/>
    <w:rsid w:val="4B5212F3"/>
    <w:rsid w:val="4B5C3E20"/>
    <w:rsid w:val="4B9D7F72"/>
    <w:rsid w:val="4BB33E83"/>
    <w:rsid w:val="4BC833EB"/>
    <w:rsid w:val="4BD20EF3"/>
    <w:rsid w:val="4C531E74"/>
    <w:rsid w:val="4C7B13F6"/>
    <w:rsid w:val="4C9B2BDF"/>
    <w:rsid w:val="4CA7676E"/>
    <w:rsid w:val="4CAA4A07"/>
    <w:rsid w:val="4CBB09FE"/>
    <w:rsid w:val="4CF606AD"/>
    <w:rsid w:val="4CFE6256"/>
    <w:rsid w:val="4D017D0E"/>
    <w:rsid w:val="4D14078D"/>
    <w:rsid w:val="4D302606"/>
    <w:rsid w:val="4D510618"/>
    <w:rsid w:val="4D6C1FED"/>
    <w:rsid w:val="4D851CA0"/>
    <w:rsid w:val="4DCC0992"/>
    <w:rsid w:val="4DF416CF"/>
    <w:rsid w:val="4DF8629D"/>
    <w:rsid w:val="4E154513"/>
    <w:rsid w:val="4E20028E"/>
    <w:rsid w:val="4E2512C8"/>
    <w:rsid w:val="4E252F9E"/>
    <w:rsid w:val="4E4E16AF"/>
    <w:rsid w:val="4EA24EB1"/>
    <w:rsid w:val="4EB26A8E"/>
    <w:rsid w:val="4ED41501"/>
    <w:rsid w:val="4ED4505D"/>
    <w:rsid w:val="4EF86CC0"/>
    <w:rsid w:val="4F1129C7"/>
    <w:rsid w:val="4F2A76C7"/>
    <w:rsid w:val="4F463604"/>
    <w:rsid w:val="4F72170C"/>
    <w:rsid w:val="4F7F141F"/>
    <w:rsid w:val="4F8965F3"/>
    <w:rsid w:val="4F8D562A"/>
    <w:rsid w:val="4FBF1097"/>
    <w:rsid w:val="4FCB2904"/>
    <w:rsid w:val="4FE279E5"/>
    <w:rsid w:val="503843E8"/>
    <w:rsid w:val="503A5C56"/>
    <w:rsid w:val="50401423"/>
    <w:rsid w:val="504B6593"/>
    <w:rsid w:val="504F0E3F"/>
    <w:rsid w:val="50630821"/>
    <w:rsid w:val="506508DD"/>
    <w:rsid w:val="506643B4"/>
    <w:rsid w:val="506D7FF8"/>
    <w:rsid w:val="50711C50"/>
    <w:rsid w:val="51273DCC"/>
    <w:rsid w:val="5129736E"/>
    <w:rsid w:val="512D7218"/>
    <w:rsid w:val="514161D5"/>
    <w:rsid w:val="515D758B"/>
    <w:rsid w:val="5161014F"/>
    <w:rsid w:val="516E2B15"/>
    <w:rsid w:val="51863A6C"/>
    <w:rsid w:val="51A92228"/>
    <w:rsid w:val="51AA02F7"/>
    <w:rsid w:val="51E87A97"/>
    <w:rsid w:val="51F9277A"/>
    <w:rsid w:val="52374280"/>
    <w:rsid w:val="52444B99"/>
    <w:rsid w:val="52472C6E"/>
    <w:rsid w:val="524F3C49"/>
    <w:rsid w:val="5281172B"/>
    <w:rsid w:val="529A5359"/>
    <w:rsid w:val="52A33C8A"/>
    <w:rsid w:val="52AD68DD"/>
    <w:rsid w:val="52CF6267"/>
    <w:rsid w:val="52EB52B5"/>
    <w:rsid w:val="5312128A"/>
    <w:rsid w:val="536477CB"/>
    <w:rsid w:val="537103F8"/>
    <w:rsid w:val="53C847FE"/>
    <w:rsid w:val="53D63625"/>
    <w:rsid w:val="53E84324"/>
    <w:rsid w:val="53ED7F01"/>
    <w:rsid w:val="53F84BB6"/>
    <w:rsid w:val="540439CF"/>
    <w:rsid w:val="540A1C44"/>
    <w:rsid w:val="541E10A8"/>
    <w:rsid w:val="544031EB"/>
    <w:rsid w:val="5499291E"/>
    <w:rsid w:val="54A35BFD"/>
    <w:rsid w:val="54B90C6C"/>
    <w:rsid w:val="55175CA3"/>
    <w:rsid w:val="552C79A0"/>
    <w:rsid w:val="55312D99"/>
    <w:rsid w:val="55387195"/>
    <w:rsid w:val="555E38D2"/>
    <w:rsid w:val="556355CA"/>
    <w:rsid w:val="556A04C9"/>
    <w:rsid w:val="556C2A9F"/>
    <w:rsid w:val="55787D9E"/>
    <w:rsid w:val="558143CA"/>
    <w:rsid w:val="55991245"/>
    <w:rsid w:val="55A52777"/>
    <w:rsid w:val="55C220B3"/>
    <w:rsid w:val="55DC047A"/>
    <w:rsid w:val="55F16041"/>
    <w:rsid w:val="56154105"/>
    <w:rsid w:val="561F04E5"/>
    <w:rsid w:val="562E14F6"/>
    <w:rsid w:val="56472894"/>
    <w:rsid w:val="565D04BF"/>
    <w:rsid w:val="567E0232"/>
    <w:rsid w:val="56B03DC5"/>
    <w:rsid w:val="56DF5EA4"/>
    <w:rsid w:val="56E57FF1"/>
    <w:rsid w:val="56F54421"/>
    <w:rsid w:val="573E341D"/>
    <w:rsid w:val="575A514F"/>
    <w:rsid w:val="57783D9C"/>
    <w:rsid w:val="578926C7"/>
    <w:rsid w:val="578C2F80"/>
    <w:rsid w:val="57961367"/>
    <w:rsid w:val="57A919F7"/>
    <w:rsid w:val="57FC79B0"/>
    <w:rsid w:val="581105BB"/>
    <w:rsid w:val="581225E1"/>
    <w:rsid w:val="58231207"/>
    <w:rsid w:val="58232884"/>
    <w:rsid w:val="583B32E8"/>
    <w:rsid w:val="586456A3"/>
    <w:rsid w:val="586A578B"/>
    <w:rsid w:val="588C08D1"/>
    <w:rsid w:val="5898359F"/>
    <w:rsid w:val="58E36CD2"/>
    <w:rsid w:val="58E40B5C"/>
    <w:rsid w:val="59015A60"/>
    <w:rsid w:val="59117494"/>
    <w:rsid w:val="592F41AF"/>
    <w:rsid w:val="59455C0C"/>
    <w:rsid w:val="5983112E"/>
    <w:rsid w:val="59C56849"/>
    <w:rsid w:val="59C72AA6"/>
    <w:rsid w:val="59D734D4"/>
    <w:rsid w:val="59E56191"/>
    <w:rsid w:val="59EF3692"/>
    <w:rsid w:val="5A0437C9"/>
    <w:rsid w:val="5A3966BC"/>
    <w:rsid w:val="5A841A64"/>
    <w:rsid w:val="5AB64AC4"/>
    <w:rsid w:val="5ABF40E5"/>
    <w:rsid w:val="5ACB1E38"/>
    <w:rsid w:val="5ADD7144"/>
    <w:rsid w:val="5AE3156D"/>
    <w:rsid w:val="5B456296"/>
    <w:rsid w:val="5B5A4B3C"/>
    <w:rsid w:val="5B723CA8"/>
    <w:rsid w:val="5B72714E"/>
    <w:rsid w:val="5B8B15E4"/>
    <w:rsid w:val="5B8B4FDC"/>
    <w:rsid w:val="5B995596"/>
    <w:rsid w:val="5B9B1643"/>
    <w:rsid w:val="5B9E64A1"/>
    <w:rsid w:val="5BED20C1"/>
    <w:rsid w:val="5C0536A1"/>
    <w:rsid w:val="5C0B1578"/>
    <w:rsid w:val="5C2D5CBA"/>
    <w:rsid w:val="5C313392"/>
    <w:rsid w:val="5C40670E"/>
    <w:rsid w:val="5C425CFC"/>
    <w:rsid w:val="5C4F6328"/>
    <w:rsid w:val="5C712EAE"/>
    <w:rsid w:val="5C7A1030"/>
    <w:rsid w:val="5CA67F65"/>
    <w:rsid w:val="5CAB38A1"/>
    <w:rsid w:val="5CC32DBF"/>
    <w:rsid w:val="5CDE151C"/>
    <w:rsid w:val="5D604059"/>
    <w:rsid w:val="5D687337"/>
    <w:rsid w:val="5D6926B5"/>
    <w:rsid w:val="5D7B4E54"/>
    <w:rsid w:val="5D9E7743"/>
    <w:rsid w:val="5DA9205A"/>
    <w:rsid w:val="5DB93D22"/>
    <w:rsid w:val="5DC11B92"/>
    <w:rsid w:val="5DCF1811"/>
    <w:rsid w:val="5E083E88"/>
    <w:rsid w:val="5E090FA4"/>
    <w:rsid w:val="5E377B62"/>
    <w:rsid w:val="5E400CDF"/>
    <w:rsid w:val="5E471FC2"/>
    <w:rsid w:val="5E5510FD"/>
    <w:rsid w:val="5E912F5F"/>
    <w:rsid w:val="5EBC5F3E"/>
    <w:rsid w:val="5ED70897"/>
    <w:rsid w:val="5F28567D"/>
    <w:rsid w:val="5F2C67EF"/>
    <w:rsid w:val="5F341537"/>
    <w:rsid w:val="5F7E41B6"/>
    <w:rsid w:val="5F831C34"/>
    <w:rsid w:val="5FA45965"/>
    <w:rsid w:val="5FBF20F5"/>
    <w:rsid w:val="601569D7"/>
    <w:rsid w:val="601A28EB"/>
    <w:rsid w:val="60202C27"/>
    <w:rsid w:val="603706C5"/>
    <w:rsid w:val="603810FF"/>
    <w:rsid w:val="60536711"/>
    <w:rsid w:val="60545A9A"/>
    <w:rsid w:val="606340E6"/>
    <w:rsid w:val="60C07B37"/>
    <w:rsid w:val="61217456"/>
    <w:rsid w:val="61240687"/>
    <w:rsid w:val="613E7560"/>
    <w:rsid w:val="616B6D93"/>
    <w:rsid w:val="61841DF7"/>
    <w:rsid w:val="61891CD7"/>
    <w:rsid w:val="61931174"/>
    <w:rsid w:val="61C320D7"/>
    <w:rsid w:val="61DA337A"/>
    <w:rsid w:val="61DF4169"/>
    <w:rsid w:val="61E34380"/>
    <w:rsid w:val="620504F1"/>
    <w:rsid w:val="6223305C"/>
    <w:rsid w:val="622E7628"/>
    <w:rsid w:val="6238329F"/>
    <w:rsid w:val="623D12F6"/>
    <w:rsid w:val="624F0B60"/>
    <w:rsid w:val="6268494D"/>
    <w:rsid w:val="62B954DB"/>
    <w:rsid w:val="62D7137C"/>
    <w:rsid w:val="62E30C79"/>
    <w:rsid w:val="62F31AFE"/>
    <w:rsid w:val="62F34839"/>
    <w:rsid w:val="62F51D1A"/>
    <w:rsid w:val="63203A80"/>
    <w:rsid w:val="6325172A"/>
    <w:rsid w:val="632610E9"/>
    <w:rsid w:val="63290614"/>
    <w:rsid w:val="634D067F"/>
    <w:rsid w:val="63656C59"/>
    <w:rsid w:val="637644DD"/>
    <w:rsid w:val="63790C76"/>
    <w:rsid w:val="63911720"/>
    <w:rsid w:val="639C03E7"/>
    <w:rsid w:val="63A70ADC"/>
    <w:rsid w:val="63C818EC"/>
    <w:rsid w:val="63D800D9"/>
    <w:rsid w:val="63FD3869"/>
    <w:rsid w:val="64041E13"/>
    <w:rsid w:val="64177A6E"/>
    <w:rsid w:val="64444319"/>
    <w:rsid w:val="645161E4"/>
    <w:rsid w:val="64764706"/>
    <w:rsid w:val="647E6F66"/>
    <w:rsid w:val="64836A95"/>
    <w:rsid w:val="648F0188"/>
    <w:rsid w:val="64920F15"/>
    <w:rsid w:val="649837AA"/>
    <w:rsid w:val="64B62768"/>
    <w:rsid w:val="64BF79E1"/>
    <w:rsid w:val="64F720BA"/>
    <w:rsid w:val="651915C4"/>
    <w:rsid w:val="655B422B"/>
    <w:rsid w:val="657E2FD2"/>
    <w:rsid w:val="65A1703E"/>
    <w:rsid w:val="65AB46B6"/>
    <w:rsid w:val="65BA2DA7"/>
    <w:rsid w:val="65BD5903"/>
    <w:rsid w:val="65CE2D35"/>
    <w:rsid w:val="65DF1F54"/>
    <w:rsid w:val="66095255"/>
    <w:rsid w:val="662D146F"/>
    <w:rsid w:val="66342B59"/>
    <w:rsid w:val="663E1CE5"/>
    <w:rsid w:val="66423429"/>
    <w:rsid w:val="664D7E24"/>
    <w:rsid w:val="666E7CEA"/>
    <w:rsid w:val="667F66FB"/>
    <w:rsid w:val="66976C44"/>
    <w:rsid w:val="66CE5358"/>
    <w:rsid w:val="66E850F0"/>
    <w:rsid w:val="67097C2E"/>
    <w:rsid w:val="671007B9"/>
    <w:rsid w:val="674D05B9"/>
    <w:rsid w:val="674D6636"/>
    <w:rsid w:val="676F5399"/>
    <w:rsid w:val="67773F9D"/>
    <w:rsid w:val="67BE7207"/>
    <w:rsid w:val="67CD74FD"/>
    <w:rsid w:val="681F2E0E"/>
    <w:rsid w:val="682016C0"/>
    <w:rsid w:val="68232E85"/>
    <w:rsid w:val="68282E4B"/>
    <w:rsid w:val="683C2438"/>
    <w:rsid w:val="68564138"/>
    <w:rsid w:val="687F687B"/>
    <w:rsid w:val="68844A51"/>
    <w:rsid w:val="689A2CB9"/>
    <w:rsid w:val="68CF63DB"/>
    <w:rsid w:val="68DA34E7"/>
    <w:rsid w:val="69181935"/>
    <w:rsid w:val="693370F8"/>
    <w:rsid w:val="69584DB0"/>
    <w:rsid w:val="6968396B"/>
    <w:rsid w:val="699B1675"/>
    <w:rsid w:val="69CC2514"/>
    <w:rsid w:val="69F824D3"/>
    <w:rsid w:val="69F9496F"/>
    <w:rsid w:val="6A086F97"/>
    <w:rsid w:val="6A4053F4"/>
    <w:rsid w:val="6A421C2D"/>
    <w:rsid w:val="6A6D488B"/>
    <w:rsid w:val="6A793230"/>
    <w:rsid w:val="6A8B78DD"/>
    <w:rsid w:val="6A9D6853"/>
    <w:rsid w:val="6AF8399D"/>
    <w:rsid w:val="6AFD3B53"/>
    <w:rsid w:val="6B0E4C3A"/>
    <w:rsid w:val="6B1765A5"/>
    <w:rsid w:val="6B3B44F2"/>
    <w:rsid w:val="6B5C045C"/>
    <w:rsid w:val="6B672E50"/>
    <w:rsid w:val="6B886E32"/>
    <w:rsid w:val="6B952CA4"/>
    <w:rsid w:val="6BAA7385"/>
    <w:rsid w:val="6BBF5200"/>
    <w:rsid w:val="6BD9385B"/>
    <w:rsid w:val="6BEC47F0"/>
    <w:rsid w:val="6BF66B60"/>
    <w:rsid w:val="6C2A6CAF"/>
    <w:rsid w:val="6C305081"/>
    <w:rsid w:val="6C7E3583"/>
    <w:rsid w:val="6C884BBB"/>
    <w:rsid w:val="6C8C3076"/>
    <w:rsid w:val="6C8D7096"/>
    <w:rsid w:val="6C9003BD"/>
    <w:rsid w:val="6CB735FA"/>
    <w:rsid w:val="6CBA368C"/>
    <w:rsid w:val="6CFA617E"/>
    <w:rsid w:val="6D19418D"/>
    <w:rsid w:val="6D67032A"/>
    <w:rsid w:val="6DB0559C"/>
    <w:rsid w:val="6DD422BD"/>
    <w:rsid w:val="6DF40CCD"/>
    <w:rsid w:val="6E017A54"/>
    <w:rsid w:val="6E1716F4"/>
    <w:rsid w:val="6E424EFD"/>
    <w:rsid w:val="6E6D549A"/>
    <w:rsid w:val="6E840FA7"/>
    <w:rsid w:val="6E845A1E"/>
    <w:rsid w:val="6E885CDC"/>
    <w:rsid w:val="6E934F2F"/>
    <w:rsid w:val="6EAE5472"/>
    <w:rsid w:val="6EBB1D37"/>
    <w:rsid w:val="6EBE69D3"/>
    <w:rsid w:val="6EC47B15"/>
    <w:rsid w:val="6EC6761E"/>
    <w:rsid w:val="6EFA2AD9"/>
    <w:rsid w:val="6F4D0DEE"/>
    <w:rsid w:val="6F6D2F36"/>
    <w:rsid w:val="6F703537"/>
    <w:rsid w:val="6F9771B5"/>
    <w:rsid w:val="6FB55565"/>
    <w:rsid w:val="70012AEC"/>
    <w:rsid w:val="70241EE0"/>
    <w:rsid w:val="70292969"/>
    <w:rsid w:val="703075FB"/>
    <w:rsid w:val="704F6F95"/>
    <w:rsid w:val="707C03B1"/>
    <w:rsid w:val="70821F84"/>
    <w:rsid w:val="7086638A"/>
    <w:rsid w:val="709E3FA2"/>
    <w:rsid w:val="71232251"/>
    <w:rsid w:val="71260C9B"/>
    <w:rsid w:val="7128150C"/>
    <w:rsid w:val="713A37F8"/>
    <w:rsid w:val="7153231D"/>
    <w:rsid w:val="715B3690"/>
    <w:rsid w:val="71925DB5"/>
    <w:rsid w:val="71B96EE0"/>
    <w:rsid w:val="71F87375"/>
    <w:rsid w:val="720C2CBF"/>
    <w:rsid w:val="7246216E"/>
    <w:rsid w:val="72600832"/>
    <w:rsid w:val="72780BE9"/>
    <w:rsid w:val="72914E8F"/>
    <w:rsid w:val="72A20473"/>
    <w:rsid w:val="72AA7D37"/>
    <w:rsid w:val="72E26ED5"/>
    <w:rsid w:val="72E51913"/>
    <w:rsid w:val="72F87D20"/>
    <w:rsid w:val="733C0404"/>
    <w:rsid w:val="73470CBE"/>
    <w:rsid w:val="73CE3FC9"/>
    <w:rsid w:val="74016CFC"/>
    <w:rsid w:val="74996DF5"/>
    <w:rsid w:val="74A36660"/>
    <w:rsid w:val="74B0159F"/>
    <w:rsid w:val="74B451DD"/>
    <w:rsid w:val="74C652C4"/>
    <w:rsid w:val="74CD3E6B"/>
    <w:rsid w:val="74E20230"/>
    <w:rsid w:val="750044AD"/>
    <w:rsid w:val="751E482D"/>
    <w:rsid w:val="756B19C7"/>
    <w:rsid w:val="75950C22"/>
    <w:rsid w:val="75C26455"/>
    <w:rsid w:val="75CE1F56"/>
    <w:rsid w:val="75EB7A6A"/>
    <w:rsid w:val="76221663"/>
    <w:rsid w:val="762F3DE4"/>
    <w:rsid w:val="7634447F"/>
    <w:rsid w:val="76415001"/>
    <w:rsid w:val="76733030"/>
    <w:rsid w:val="769470F3"/>
    <w:rsid w:val="769D7C6D"/>
    <w:rsid w:val="76B502BA"/>
    <w:rsid w:val="76C24AC8"/>
    <w:rsid w:val="76CF5CCC"/>
    <w:rsid w:val="76DC47E3"/>
    <w:rsid w:val="76F86B86"/>
    <w:rsid w:val="77241D1A"/>
    <w:rsid w:val="77275D4A"/>
    <w:rsid w:val="775B5DC8"/>
    <w:rsid w:val="776517EF"/>
    <w:rsid w:val="777841F5"/>
    <w:rsid w:val="779142E8"/>
    <w:rsid w:val="779723FF"/>
    <w:rsid w:val="780A4798"/>
    <w:rsid w:val="782760B7"/>
    <w:rsid w:val="783B5C62"/>
    <w:rsid w:val="784500F5"/>
    <w:rsid w:val="7846303C"/>
    <w:rsid w:val="78833532"/>
    <w:rsid w:val="78936C2A"/>
    <w:rsid w:val="78A0413C"/>
    <w:rsid w:val="78E24696"/>
    <w:rsid w:val="7908577F"/>
    <w:rsid w:val="791A13CD"/>
    <w:rsid w:val="79225FC3"/>
    <w:rsid w:val="7924080B"/>
    <w:rsid w:val="795241FA"/>
    <w:rsid w:val="795D2CD0"/>
    <w:rsid w:val="79654A77"/>
    <w:rsid w:val="7982372F"/>
    <w:rsid w:val="79C7410C"/>
    <w:rsid w:val="79C84311"/>
    <w:rsid w:val="79D8107C"/>
    <w:rsid w:val="7A125A0C"/>
    <w:rsid w:val="7A6D33A6"/>
    <w:rsid w:val="7A7D7E20"/>
    <w:rsid w:val="7A8A0A8B"/>
    <w:rsid w:val="7AA20C8F"/>
    <w:rsid w:val="7ACD4877"/>
    <w:rsid w:val="7B294A71"/>
    <w:rsid w:val="7B441F57"/>
    <w:rsid w:val="7B981D49"/>
    <w:rsid w:val="7B9C54A1"/>
    <w:rsid w:val="7BB72877"/>
    <w:rsid w:val="7BC63E9E"/>
    <w:rsid w:val="7BD13BD4"/>
    <w:rsid w:val="7BF65B78"/>
    <w:rsid w:val="7BFA5664"/>
    <w:rsid w:val="7BFE112F"/>
    <w:rsid w:val="7C6764BE"/>
    <w:rsid w:val="7CC95A8A"/>
    <w:rsid w:val="7D1868D9"/>
    <w:rsid w:val="7D1D4835"/>
    <w:rsid w:val="7D3229F4"/>
    <w:rsid w:val="7D362B6A"/>
    <w:rsid w:val="7D73418E"/>
    <w:rsid w:val="7D7F2115"/>
    <w:rsid w:val="7D9B76DA"/>
    <w:rsid w:val="7DA17B86"/>
    <w:rsid w:val="7DF502E2"/>
    <w:rsid w:val="7DF9751C"/>
    <w:rsid w:val="7E2913E4"/>
    <w:rsid w:val="7E497933"/>
    <w:rsid w:val="7E61240B"/>
    <w:rsid w:val="7E7D275B"/>
    <w:rsid w:val="7E807A47"/>
    <w:rsid w:val="7E8E1A90"/>
    <w:rsid w:val="7EB33D84"/>
    <w:rsid w:val="7EB64039"/>
    <w:rsid w:val="7F0345A3"/>
    <w:rsid w:val="7F0B7D77"/>
    <w:rsid w:val="7F1B556B"/>
    <w:rsid w:val="7F424BEE"/>
    <w:rsid w:val="7F523730"/>
    <w:rsid w:val="7F60215C"/>
    <w:rsid w:val="7F657FCF"/>
    <w:rsid w:val="7F8411E4"/>
    <w:rsid w:val="7FC3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2"/>
    <w:qFormat/>
    <w:uiPriority w:val="0"/>
    <w:pPr>
      <w:keepNext/>
      <w:keepLines/>
      <w:numPr>
        <w:ilvl w:val="0"/>
        <w:numId w:val="1"/>
      </w:numPr>
      <w:tabs>
        <w:tab w:val="clear" w:pos="432"/>
      </w:tabs>
      <w:spacing w:before="340" w:after="330" w:line="578" w:lineRule="auto"/>
      <w:ind w:left="0" w:firstLine="0"/>
      <w:outlineLvl w:val="0"/>
    </w:pPr>
    <w:rPr>
      <w:rFonts w:ascii="Calibri" w:hAnsi="Calibri" w:eastAsia="仿宋" w:cs="Times New Roman"/>
      <w:b/>
      <w:bCs/>
      <w:kern w:val="44"/>
      <w:sz w:val="30"/>
      <w:szCs w:val="30"/>
    </w:rPr>
  </w:style>
  <w:style w:type="paragraph" w:styleId="4">
    <w:name w:val="heading 2"/>
    <w:basedOn w:val="1"/>
    <w:next w:val="1"/>
    <w:link w:val="53"/>
    <w:qFormat/>
    <w:uiPriority w:val="0"/>
    <w:pPr>
      <w:keepNext/>
      <w:keepLines/>
      <w:numPr>
        <w:ilvl w:val="1"/>
        <w:numId w:val="1"/>
      </w:numPr>
      <w:tabs>
        <w:tab w:val="left" w:pos="432"/>
      </w:tabs>
      <w:spacing w:before="260" w:after="260" w:line="416" w:lineRule="auto"/>
      <w:outlineLvl w:val="1"/>
    </w:pPr>
    <w:rPr>
      <w:rFonts w:ascii="Cambria" w:hAnsi="Cambria" w:eastAsia="宋体" w:cs="Times New Roman"/>
      <w:b/>
      <w:bCs/>
      <w:kern w:val="0"/>
      <w:sz w:val="28"/>
      <w:szCs w:val="28"/>
    </w:rPr>
  </w:style>
  <w:style w:type="paragraph" w:styleId="5">
    <w:name w:val="heading 3"/>
    <w:basedOn w:val="1"/>
    <w:next w:val="1"/>
    <w:link w:val="54"/>
    <w:qFormat/>
    <w:uiPriority w:val="0"/>
    <w:pPr>
      <w:keepNext/>
      <w:keepLines/>
      <w:numPr>
        <w:ilvl w:val="2"/>
        <w:numId w:val="1"/>
      </w:numPr>
      <w:tabs>
        <w:tab w:val="clear" w:pos="1260"/>
      </w:tabs>
      <w:spacing w:before="260" w:after="260" w:line="416" w:lineRule="auto"/>
      <w:ind w:left="0" w:firstLine="0"/>
      <w:outlineLvl w:val="2"/>
    </w:pPr>
    <w:rPr>
      <w:rFonts w:ascii="Calibri" w:hAnsi="Calibri" w:eastAsia="宋体" w:cs="Times New Roman"/>
      <w:b/>
      <w:bCs/>
      <w:kern w:val="0"/>
      <w:sz w:val="32"/>
      <w:szCs w:val="32"/>
    </w:rPr>
  </w:style>
  <w:style w:type="paragraph" w:styleId="6">
    <w:name w:val="heading 4"/>
    <w:basedOn w:val="1"/>
    <w:next w:val="1"/>
    <w:link w:val="55"/>
    <w:qFormat/>
    <w:uiPriority w:val="0"/>
    <w:pPr>
      <w:keepNext/>
      <w:keepLines/>
      <w:numPr>
        <w:ilvl w:val="3"/>
        <w:numId w:val="1"/>
      </w:numPr>
      <w:tabs>
        <w:tab w:val="clear" w:pos="864"/>
      </w:tabs>
      <w:spacing w:before="280" w:after="290" w:line="376" w:lineRule="auto"/>
      <w:ind w:left="0" w:firstLine="0"/>
      <w:outlineLvl w:val="3"/>
    </w:pPr>
    <w:rPr>
      <w:rFonts w:ascii="Cambria" w:hAnsi="Cambria" w:eastAsia="宋体" w:cs="Times New Roman"/>
      <w:b/>
      <w:bCs/>
      <w:kern w:val="0"/>
      <w:sz w:val="28"/>
      <w:szCs w:val="28"/>
    </w:rPr>
  </w:style>
  <w:style w:type="paragraph" w:styleId="7">
    <w:name w:val="heading 5"/>
    <w:basedOn w:val="1"/>
    <w:next w:val="1"/>
    <w:link w:val="56"/>
    <w:qFormat/>
    <w:uiPriority w:val="0"/>
    <w:pPr>
      <w:keepNext/>
      <w:keepLines/>
      <w:widowControl/>
      <w:numPr>
        <w:ilvl w:val="4"/>
        <w:numId w:val="1"/>
      </w:numPr>
      <w:spacing w:before="280" w:after="290" w:line="376" w:lineRule="auto"/>
      <w:jc w:val="left"/>
      <w:outlineLvl w:val="4"/>
    </w:pPr>
    <w:rPr>
      <w:rFonts w:ascii="Times New Roman" w:hAnsi="Times New Roman" w:eastAsia="宋体" w:cs="Times New Roman"/>
      <w:b/>
      <w:bCs/>
      <w:kern w:val="0"/>
      <w:sz w:val="28"/>
      <w:szCs w:val="28"/>
    </w:rPr>
  </w:style>
  <w:style w:type="paragraph" w:styleId="8">
    <w:name w:val="heading 6"/>
    <w:basedOn w:val="1"/>
    <w:next w:val="1"/>
    <w:link w:val="57"/>
    <w:qFormat/>
    <w:uiPriority w:val="0"/>
    <w:pPr>
      <w:keepNext/>
      <w:keepLines/>
      <w:widowControl/>
      <w:numPr>
        <w:ilvl w:val="5"/>
        <w:numId w:val="1"/>
      </w:numPr>
      <w:spacing w:before="240" w:after="64" w:line="320" w:lineRule="auto"/>
      <w:jc w:val="left"/>
      <w:outlineLvl w:val="5"/>
    </w:pPr>
    <w:rPr>
      <w:rFonts w:ascii="Arial" w:hAnsi="Arial" w:eastAsia="黑体" w:cs="Times New Roman"/>
      <w:b/>
      <w:bCs/>
      <w:kern w:val="0"/>
      <w:sz w:val="24"/>
      <w:szCs w:val="24"/>
    </w:rPr>
  </w:style>
  <w:style w:type="paragraph" w:styleId="9">
    <w:name w:val="heading 7"/>
    <w:basedOn w:val="1"/>
    <w:next w:val="1"/>
    <w:link w:val="58"/>
    <w:qFormat/>
    <w:uiPriority w:val="99"/>
    <w:pPr>
      <w:keepNext/>
      <w:keepLines/>
      <w:widowControl/>
      <w:numPr>
        <w:ilvl w:val="6"/>
        <w:numId w:val="1"/>
      </w:numPr>
      <w:spacing w:before="240" w:after="64" w:line="320" w:lineRule="auto"/>
      <w:jc w:val="left"/>
      <w:outlineLvl w:val="6"/>
    </w:pPr>
    <w:rPr>
      <w:rFonts w:ascii="Times New Roman" w:hAnsi="Times New Roman" w:eastAsia="宋体" w:cs="Times New Roman"/>
      <w:b/>
      <w:bCs/>
      <w:kern w:val="0"/>
      <w:sz w:val="24"/>
      <w:szCs w:val="24"/>
    </w:rPr>
  </w:style>
  <w:style w:type="paragraph" w:styleId="10">
    <w:name w:val="heading 8"/>
    <w:basedOn w:val="1"/>
    <w:next w:val="1"/>
    <w:link w:val="59"/>
    <w:qFormat/>
    <w:uiPriority w:val="99"/>
    <w:pPr>
      <w:keepNext/>
      <w:keepLines/>
      <w:widowControl/>
      <w:numPr>
        <w:ilvl w:val="7"/>
        <w:numId w:val="1"/>
      </w:numPr>
      <w:spacing w:before="240" w:after="64" w:line="320" w:lineRule="auto"/>
      <w:jc w:val="left"/>
      <w:outlineLvl w:val="7"/>
    </w:pPr>
    <w:rPr>
      <w:rFonts w:ascii="Arial" w:hAnsi="Arial" w:eastAsia="黑体" w:cs="Times New Roman"/>
      <w:kern w:val="0"/>
      <w:sz w:val="24"/>
      <w:szCs w:val="24"/>
    </w:rPr>
  </w:style>
  <w:style w:type="paragraph" w:styleId="11">
    <w:name w:val="heading 9"/>
    <w:basedOn w:val="1"/>
    <w:next w:val="1"/>
    <w:link w:val="60"/>
    <w:qFormat/>
    <w:uiPriority w:val="99"/>
    <w:pPr>
      <w:keepNext/>
      <w:keepLines/>
      <w:widowControl/>
      <w:numPr>
        <w:ilvl w:val="8"/>
        <w:numId w:val="1"/>
      </w:numPr>
      <w:spacing w:before="240" w:after="64" w:line="320" w:lineRule="auto"/>
      <w:jc w:val="left"/>
      <w:outlineLvl w:val="8"/>
    </w:pPr>
    <w:rPr>
      <w:rFonts w:ascii="Arial" w:hAnsi="Arial" w:eastAsia="黑体" w:cs="Times New Roman"/>
      <w:kern w:val="0"/>
      <w:sz w:val="20"/>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alibri" w:hAnsi="Calibri" w:eastAsia="宋体" w:cs="Times New Roman"/>
      <w:i/>
      <w:iCs/>
      <w:sz w:val="20"/>
      <w:szCs w:val="20"/>
    </w:rPr>
  </w:style>
  <w:style w:type="paragraph" w:styleId="12">
    <w:name w:val="toc 7"/>
    <w:basedOn w:val="1"/>
    <w:next w:val="1"/>
    <w:qFormat/>
    <w:uiPriority w:val="99"/>
    <w:pPr>
      <w:ind w:left="1260"/>
      <w:jc w:val="left"/>
    </w:pPr>
    <w:rPr>
      <w:rFonts w:ascii="Calibri" w:hAnsi="Calibri" w:eastAsia="宋体" w:cs="Times New Roman"/>
      <w:sz w:val="18"/>
      <w:szCs w:val="18"/>
    </w:rPr>
  </w:style>
  <w:style w:type="paragraph" w:styleId="13">
    <w:name w:val="Normal Indent"/>
    <w:basedOn w:val="1"/>
    <w:link w:val="89"/>
    <w:qFormat/>
    <w:uiPriority w:val="0"/>
    <w:pPr>
      <w:ind w:firstLine="420"/>
    </w:pPr>
    <w:rPr>
      <w:rFonts w:eastAsia="宋体"/>
    </w:rPr>
  </w:style>
  <w:style w:type="paragraph" w:styleId="14">
    <w:name w:val="caption"/>
    <w:basedOn w:val="1"/>
    <w:next w:val="1"/>
    <w:unhideWhenUsed/>
    <w:qFormat/>
    <w:uiPriority w:val="35"/>
    <w:rPr>
      <w:rFonts w:eastAsia="黑体" w:asciiTheme="majorHAnsi" w:hAnsiTheme="majorHAnsi" w:cstheme="majorBidi"/>
      <w:sz w:val="20"/>
      <w:szCs w:val="20"/>
    </w:rPr>
  </w:style>
  <w:style w:type="paragraph" w:styleId="15">
    <w:name w:val="Document Map"/>
    <w:basedOn w:val="1"/>
    <w:link w:val="62"/>
    <w:qFormat/>
    <w:uiPriority w:val="99"/>
    <w:rPr>
      <w:rFonts w:ascii="宋体" w:eastAsia="宋体"/>
      <w:sz w:val="18"/>
      <w:szCs w:val="18"/>
    </w:rPr>
  </w:style>
  <w:style w:type="paragraph" w:styleId="16">
    <w:name w:val="annotation text"/>
    <w:basedOn w:val="1"/>
    <w:link w:val="63"/>
    <w:unhideWhenUsed/>
    <w:qFormat/>
    <w:uiPriority w:val="0"/>
    <w:pPr>
      <w:jc w:val="left"/>
    </w:pPr>
  </w:style>
  <w:style w:type="paragraph" w:styleId="17">
    <w:name w:val="Body Text"/>
    <w:basedOn w:val="1"/>
    <w:next w:val="1"/>
    <w:link w:val="64"/>
    <w:unhideWhenUsed/>
    <w:qFormat/>
    <w:uiPriority w:val="99"/>
    <w:pPr>
      <w:spacing w:after="120"/>
    </w:pPr>
  </w:style>
  <w:style w:type="paragraph" w:styleId="18">
    <w:name w:val="Body Text Indent"/>
    <w:basedOn w:val="1"/>
    <w:link w:val="65"/>
    <w:qFormat/>
    <w:uiPriority w:val="99"/>
    <w:pPr>
      <w:ind w:firstLine="600"/>
    </w:pPr>
    <w:rPr>
      <w:sz w:val="32"/>
      <w:szCs w:val="20"/>
    </w:rPr>
  </w:style>
  <w:style w:type="paragraph" w:styleId="19">
    <w:name w:val="Block Text"/>
    <w:basedOn w:val="1"/>
    <w:qFormat/>
    <w:uiPriority w:val="99"/>
    <w:pPr>
      <w:autoSpaceDE w:val="0"/>
      <w:autoSpaceDN w:val="0"/>
      <w:adjustRightInd w:val="0"/>
      <w:spacing w:line="500" w:lineRule="exact"/>
      <w:ind w:left="391" w:right="246"/>
    </w:pPr>
    <w:rPr>
      <w:rFonts w:ascii="仿宋_GB2312" w:hAnsi="Times New Roman" w:eastAsia="仿宋_GB2312" w:cs="Times New Roman"/>
      <w:kern w:val="0"/>
      <w:sz w:val="24"/>
      <w:szCs w:val="24"/>
    </w:rPr>
  </w:style>
  <w:style w:type="paragraph" w:styleId="20">
    <w:name w:val="List Bullet 2"/>
    <w:basedOn w:val="1"/>
    <w:qFormat/>
    <w:uiPriority w:val="99"/>
    <w:pPr>
      <w:widowControl/>
      <w:tabs>
        <w:tab w:val="left" w:pos="900"/>
      </w:tabs>
      <w:adjustRightInd w:val="0"/>
      <w:snapToGrid w:val="0"/>
      <w:spacing w:before="120" w:line="360" w:lineRule="auto"/>
      <w:ind w:left="900" w:hanging="360"/>
      <w:jc w:val="left"/>
    </w:pPr>
    <w:rPr>
      <w:rFonts w:ascii="宋体" w:hAnsi="宋体" w:eastAsia="宋体" w:cs="Times New Roman"/>
      <w:spacing w:val="-5"/>
      <w:kern w:val="0"/>
      <w:szCs w:val="20"/>
    </w:rPr>
  </w:style>
  <w:style w:type="paragraph" w:styleId="21">
    <w:name w:val="toc 5"/>
    <w:basedOn w:val="1"/>
    <w:next w:val="1"/>
    <w:qFormat/>
    <w:uiPriority w:val="99"/>
    <w:pPr>
      <w:ind w:left="840"/>
      <w:jc w:val="left"/>
    </w:pPr>
    <w:rPr>
      <w:rFonts w:ascii="Calibri" w:hAnsi="Calibri" w:eastAsia="宋体" w:cs="Times New Roman"/>
      <w:sz w:val="18"/>
      <w:szCs w:val="18"/>
    </w:rPr>
  </w:style>
  <w:style w:type="paragraph" w:styleId="22">
    <w:name w:val="Plain Text"/>
    <w:basedOn w:val="1"/>
    <w:link w:val="66"/>
    <w:qFormat/>
    <w:uiPriority w:val="99"/>
    <w:rPr>
      <w:rFonts w:ascii="宋体" w:hAnsi="Courier New" w:cs="Courier New"/>
      <w:szCs w:val="21"/>
    </w:rPr>
  </w:style>
  <w:style w:type="paragraph" w:styleId="23">
    <w:name w:val="toc 8"/>
    <w:basedOn w:val="1"/>
    <w:next w:val="1"/>
    <w:qFormat/>
    <w:uiPriority w:val="99"/>
    <w:pPr>
      <w:ind w:left="1470"/>
      <w:jc w:val="left"/>
    </w:pPr>
    <w:rPr>
      <w:rFonts w:ascii="Calibri" w:hAnsi="Calibri" w:eastAsia="宋体" w:cs="Times New Roman"/>
      <w:sz w:val="18"/>
      <w:szCs w:val="18"/>
    </w:rPr>
  </w:style>
  <w:style w:type="paragraph" w:styleId="24">
    <w:name w:val="Date"/>
    <w:basedOn w:val="1"/>
    <w:next w:val="1"/>
    <w:link w:val="67"/>
    <w:unhideWhenUsed/>
    <w:qFormat/>
    <w:uiPriority w:val="99"/>
    <w:pPr>
      <w:ind w:left="100" w:leftChars="2500"/>
    </w:pPr>
  </w:style>
  <w:style w:type="paragraph" w:styleId="25">
    <w:name w:val="Body Text Indent 2"/>
    <w:basedOn w:val="1"/>
    <w:link w:val="68"/>
    <w:qFormat/>
    <w:uiPriority w:val="99"/>
    <w:pPr>
      <w:spacing w:after="120" w:line="480" w:lineRule="auto"/>
      <w:ind w:left="420" w:leftChars="200"/>
    </w:pPr>
    <w:rPr>
      <w:rFonts w:ascii="Times New Roman" w:hAnsi="Times New Roman" w:eastAsia="宋体" w:cs="Times New Roman"/>
      <w:sz w:val="28"/>
      <w:szCs w:val="24"/>
    </w:rPr>
  </w:style>
  <w:style w:type="paragraph" w:styleId="26">
    <w:name w:val="Balloon Text"/>
    <w:basedOn w:val="1"/>
    <w:link w:val="69"/>
    <w:unhideWhenUsed/>
    <w:qFormat/>
    <w:uiPriority w:val="0"/>
    <w:rPr>
      <w:sz w:val="18"/>
      <w:szCs w:val="18"/>
    </w:rPr>
  </w:style>
  <w:style w:type="paragraph" w:styleId="27">
    <w:name w:val="footer"/>
    <w:basedOn w:val="1"/>
    <w:next w:val="28"/>
    <w:link w:val="70"/>
    <w:unhideWhenUsed/>
    <w:qFormat/>
    <w:uiPriority w:val="0"/>
    <w:pPr>
      <w:tabs>
        <w:tab w:val="center" w:pos="4153"/>
        <w:tab w:val="right" w:pos="8306"/>
      </w:tabs>
      <w:snapToGrid w:val="0"/>
      <w:jc w:val="left"/>
    </w:pPr>
    <w:rPr>
      <w:sz w:val="18"/>
      <w:szCs w:val="18"/>
    </w:rPr>
  </w:style>
  <w:style w:type="paragraph" w:customStyle="1" w:styleId="28">
    <w:name w:val="toc 21"/>
    <w:next w:val="1"/>
    <w:qFormat/>
    <w:uiPriority w:val="99"/>
    <w:pPr>
      <w:wordWrap w:val="0"/>
      <w:ind w:left="425"/>
      <w:jc w:val="both"/>
    </w:pPr>
    <w:rPr>
      <w:rFonts w:ascii="Calibri" w:hAnsi="Calibri" w:eastAsia="宋体" w:cs="Times New Roman"/>
      <w:kern w:val="0"/>
      <w:sz w:val="21"/>
      <w:szCs w:val="20"/>
      <w:lang w:val="en-US" w:eastAsia="zh-CN" w:bidi="ar-SA"/>
    </w:rPr>
  </w:style>
  <w:style w:type="paragraph" w:styleId="29">
    <w:name w:val="header"/>
    <w:basedOn w:val="1"/>
    <w:link w:val="71"/>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31">
    <w:name w:val="toc 4"/>
    <w:basedOn w:val="1"/>
    <w:next w:val="1"/>
    <w:qFormat/>
    <w:uiPriority w:val="99"/>
    <w:pPr>
      <w:ind w:left="630"/>
      <w:jc w:val="left"/>
    </w:pPr>
    <w:rPr>
      <w:rFonts w:ascii="Calibri" w:hAnsi="Calibri" w:eastAsia="宋体" w:cs="Times New Roman"/>
      <w:sz w:val="18"/>
      <w:szCs w:val="18"/>
    </w:rPr>
  </w:style>
  <w:style w:type="paragraph" w:styleId="32">
    <w:name w:val="toc 6"/>
    <w:basedOn w:val="1"/>
    <w:next w:val="1"/>
    <w:qFormat/>
    <w:uiPriority w:val="99"/>
    <w:pPr>
      <w:ind w:left="1050"/>
      <w:jc w:val="left"/>
    </w:pPr>
    <w:rPr>
      <w:rFonts w:ascii="Calibri" w:hAnsi="Calibri" w:eastAsia="宋体" w:cs="Times New Roman"/>
      <w:sz w:val="18"/>
      <w:szCs w:val="18"/>
    </w:rPr>
  </w:style>
  <w:style w:type="paragraph" w:styleId="33">
    <w:name w:val="Body Text Indent 3"/>
    <w:basedOn w:val="1"/>
    <w:link w:val="72"/>
    <w:qFormat/>
    <w:uiPriority w:val="99"/>
    <w:pPr>
      <w:spacing w:after="120"/>
      <w:ind w:left="420" w:leftChars="200"/>
    </w:pPr>
    <w:rPr>
      <w:rFonts w:ascii="Times New Roman" w:hAnsi="Times New Roman" w:eastAsia="宋体" w:cs="Times New Roman"/>
      <w:sz w:val="16"/>
      <w:szCs w:val="16"/>
    </w:rPr>
  </w:style>
  <w:style w:type="paragraph" w:styleId="34">
    <w:name w:val="toc 2"/>
    <w:basedOn w:val="1"/>
    <w:next w:val="1"/>
    <w:qFormat/>
    <w:uiPriority w:val="39"/>
    <w:pPr>
      <w:ind w:left="210"/>
      <w:jc w:val="left"/>
    </w:pPr>
    <w:rPr>
      <w:rFonts w:ascii="Calibri" w:hAnsi="Calibri" w:eastAsia="宋体" w:cs="Times New Roman"/>
      <w:smallCaps/>
      <w:sz w:val="20"/>
      <w:szCs w:val="20"/>
    </w:rPr>
  </w:style>
  <w:style w:type="paragraph" w:styleId="35">
    <w:name w:val="toc 9"/>
    <w:basedOn w:val="1"/>
    <w:next w:val="1"/>
    <w:qFormat/>
    <w:uiPriority w:val="99"/>
    <w:pPr>
      <w:ind w:left="1680"/>
      <w:jc w:val="left"/>
    </w:pPr>
    <w:rPr>
      <w:rFonts w:ascii="Calibri" w:hAnsi="Calibri" w:eastAsia="宋体" w:cs="Times New Roman"/>
      <w:sz w:val="18"/>
      <w:szCs w:val="18"/>
    </w:rPr>
  </w:style>
  <w:style w:type="paragraph" w:styleId="36">
    <w:name w:val="Body Text 2"/>
    <w:basedOn w:val="1"/>
    <w:link w:val="73"/>
    <w:qFormat/>
    <w:uiPriority w:val="99"/>
    <w:pPr>
      <w:spacing w:after="120" w:line="480" w:lineRule="auto"/>
    </w:pPr>
    <w:rPr>
      <w:rFonts w:ascii="Times New Roman" w:hAnsi="Times New Roman" w:eastAsia="宋体" w:cs="Times New Roman"/>
      <w:sz w:val="28"/>
      <w:szCs w:val="24"/>
    </w:rPr>
  </w:style>
  <w:style w:type="paragraph" w:styleId="3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4"/>
    <w:qFormat/>
    <w:uiPriority w:val="99"/>
    <w:pPr>
      <w:keepNext/>
      <w:pageBreakBefore/>
      <w:tabs>
        <w:tab w:val="left" w:pos="420"/>
      </w:tabs>
      <w:adjustRightInd w:val="0"/>
      <w:snapToGrid w:val="0"/>
      <w:spacing w:after="60"/>
      <w:jc w:val="center"/>
      <w:textAlignment w:val="bottom"/>
      <w:outlineLvl w:val="0"/>
    </w:pPr>
    <w:rPr>
      <w:rFonts w:ascii="宋体" w:hAnsi="Arial" w:eastAsia="宋体" w:cs="Arial"/>
      <w:b/>
      <w:bCs/>
      <w:kern w:val="28"/>
      <w:sz w:val="32"/>
      <w:szCs w:val="32"/>
    </w:rPr>
  </w:style>
  <w:style w:type="paragraph" w:styleId="39">
    <w:name w:val="annotation subject"/>
    <w:basedOn w:val="16"/>
    <w:next w:val="16"/>
    <w:link w:val="75"/>
    <w:unhideWhenUsed/>
    <w:qFormat/>
    <w:uiPriority w:val="0"/>
    <w:rPr>
      <w:b/>
      <w:bCs/>
    </w:rPr>
  </w:style>
  <w:style w:type="paragraph" w:styleId="40">
    <w:name w:val="Body Text First Indent"/>
    <w:basedOn w:val="17"/>
    <w:link w:val="76"/>
    <w:qFormat/>
    <w:uiPriority w:val="99"/>
    <w:pPr>
      <w:tabs>
        <w:tab w:val="left" w:pos="840"/>
      </w:tabs>
      <w:ind w:firstLine="420"/>
    </w:pPr>
    <w:rPr>
      <w:rFonts w:ascii="Times New Roman" w:hAnsi="Times New Roman" w:eastAsia="宋体" w:cs="Times New Roman"/>
      <w:szCs w:val="20"/>
    </w:rPr>
  </w:style>
  <w:style w:type="table" w:styleId="42">
    <w:name w:val="Table Grid"/>
    <w:basedOn w:val="4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0"/>
    <w:rPr>
      <w:color w:val="800080" w:themeColor="followedHyperlink"/>
      <w:u w:val="single"/>
      <w14:textFill>
        <w14:solidFill>
          <w14:schemeClr w14:val="folHlink"/>
        </w14:solidFill>
      </w14:textFill>
    </w:rPr>
  </w:style>
  <w:style w:type="character" w:styleId="47">
    <w:name w:val="Hyperlink"/>
    <w:basedOn w:val="43"/>
    <w:unhideWhenUsed/>
    <w:qFormat/>
    <w:uiPriority w:val="99"/>
    <w:rPr>
      <w:color w:val="0000FF" w:themeColor="hyperlink"/>
      <w:u w:val="single"/>
      <w14:textFill>
        <w14:solidFill>
          <w14:schemeClr w14:val="hlink"/>
        </w14:solidFill>
      </w14:textFill>
    </w:rPr>
  </w:style>
  <w:style w:type="character" w:styleId="48">
    <w:name w:val="annotation reference"/>
    <w:qFormat/>
    <w:uiPriority w:val="0"/>
    <w:rPr>
      <w:sz w:val="21"/>
    </w:rPr>
  </w:style>
  <w:style w:type="paragraph" w:customStyle="1" w:styleId="49">
    <w:name w:val="Body Text First Indent 21"/>
    <w:qFormat/>
    <w:uiPriority w:val="0"/>
    <w:pPr>
      <w:widowControl w:val="0"/>
      <w:spacing w:after="120" w:line="360" w:lineRule="auto"/>
      <w:ind w:left="420" w:leftChars="200" w:firstLine="420" w:firstLineChars="200"/>
      <w:jc w:val="both"/>
    </w:pPr>
    <w:rPr>
      <w:rFonts w:ascii="Calibri" w:hAnsi="Calibri" w:eastAsia="宋体" w:cs="Calibri"/>
      <w:kern w:val="2"/>
      <w:sz w:val="24"/>
      <w:szCs w:val="24"/>
      <w:lang w:val="en-US" w:eastAsia="zh-CN" w:bidi="ar-SA"/>
    </w:rPr>
  </w:style>
  <w:style w:type="paragraph" w:customStyle="1" w:styleId="50">
    <w:name w:val="BodyText1I2"/>
    <w:basedOn w:val="51"/>
    <w:next w:val="1"/>
    <w:qFormat/>
    <w:uiPriority w:val="0"/>
    <w:pPr>
      <w:spacing w:after="120"/>
      <w:ind w:left="420" w:leftChars="200" w:firstLine="420" w:firstLineChars="200"/>
      <w:jc w:val="both"/>
      <w:textAlignment w:val="baseline"/>
    </w:pPr>
  </w:style>
  <w:style w:type="paragraph" w:customStyle="1" w:styleId="51">
    <w:name w:val="BodyTextIndent"/>
    <w:basedOn w:val="1"/>
    <w:qFormat/>
    <w:uiPriority w:val="0"/>
    <w:pPr>
      <w:spacing w:after="120"/>
      <w:ind w:left="420" w:leftChars="200"/>
      <w:jc w:val="both"/>
      <w:textAlignment w:val="baseline"/>
    </w:pPr>
  </w:style>
  <w:style w:type="character" w:customStyle="1" w:styleId="52">
    <w:name w:val="标题 1 字符"/>
    <w:basedOn w:val="43"/>
    <w:link w:val="3"/>
    <w:qFormat/>
    <w:uiPriority w:val="0"/>
    <w:rPr>
      <w:rFonts w:ascii="Calibri" w:hAnsi="Calibri" w:eastAsia="仿宋" w:cs="Times New Roman"/>
      <w:b/>
      <w:bCs/>
      <w:kern w:val="44"/>
      <w:sz w:val="30"/>
      <w:szCs w:val="30"/>
    </w:rPr>
  </w:style>
  <w:style w:type="character" w:customStyle="1" w:styleId="53">
    <w:name w:val="标题 2 字符1"/>
    <w:basedOn w:val="43"/>
    <w:link w:val="4"/>
    <w:qFormat/>
    <w:uiPriority w:val="0"/>
    <w:rPr>
      <w:rFonts w:ascii="Cambria" w:hAnsi="Cambria" w:eastAsia="宋体" w:cs="Times New Roman"/>
      <w:b/>
      <w:bCs/>
      <w:kern w:val="0"/>
      <w:sz w:val="28"/>
      <w:szCs w:val="28"/>
    </w:rPr>
  </w:style>
  <w:style w:type="character" w:customStyle="1" w:styleId="54">
    <w:name w:val="标题 3 字符"/>
    <w:basedOn w:val="43"/>
    <w:link w:val="5"/>
    <w:qFormat/>
    <w:uiPriority w:val="0"/>
    <w:rPr>
      <w:rFonts w:ascii="Calibri" w:hAnsi="Calibri" w:eastAsia="宋体" w:cs="Times New Roman"/>
      <w:b/>
      <w:bCs/>
      <w:kern w:val="0"/>
      <w:sz w:val="32"/>
      <w:szCs w:val="32"/>
    </w:rPr>
  </w:style>
  <w:style w:type="character" w:customStyle="1" w:styleId="55">
    <w:name w:val="标题 4 字符"/>
    <w:basedOn w:val="43"/>
    <w:link w:val="6"/>
    <w:qFormat/>
    <w:uiPriority w:val="0"/>
    <w:rPr>
      <w:rFonts w:ascii="Cambria" w:hAnsi="Cambria" w:eastAsia="宋体" w:cs="Times New Roman"/>
      <w:b/>
      <w:bCs/>
      <w:kern w:val="0"/>
      <w:sz w:val="28"/>
      <w:szCs w:val="28"/>
    </w:rPr>
  </w:style>
  <w:style w:type="character" w:customStyle="1" w:styleId="56">
    <w:name w:val="标题 5 字符"/>
    <w:basedOn w:val="43"/>
    <w:link w:val="7"/>
    <w:qFormat/>
    <w:uiPriority w:val="0"/>
    <w:rPr>
      <w:rFonts w:ascii="Times New Roman" w:hAnsi="Times New Roman" w:eastAsia="宋体" w:cs="Times New Roman"/>
      <w:b/>
      <w:bCs/>
      <w:kern w:val="0"/>
      <w:sz w:val="28"/>
      <w:szCs w:val="28"/>
    </w:rPr>
  </w:style>
  <w:style w:type="character" w:customStyle="1" w:styleId="57">
    <w:name w:val="标题 6 字符"/>
    <w:basedOn w:val="43"/>
    <w:link w:val="8"/>
    <w:qFormat/>
    <w:uiPriority w:val="0"/>
    <w:rPr>
      <w:rFonts w:ascii="Arial" w:hAnsi="Arial" w:eastAsia="黑体" w:cs="Times New Roman"/>
      <w:b/>
      <w:bCs/>
      <w:kern w:val="0"/>
      <w:sz w:val="24"/>
      <w:szCs w:val="24"/>
    </w:rPr>
  </w:style>
  <w:style w:type="character" w:customStyle="1" w:styleId="58">
    <w:name w:val="标题 7 字符"/>
    <w:basedOn w:val="43"/>
    <w:link w:val="9"/>
    <w:qFormat/>
    <w:uiPriority w:val="99"/>
    <w:rPr>
      <w:rFonts w:ascii="Times New Roman" w:hAnsi="Times New Roman" w:eastAsia="宋体" w:cs="Times New Roman"/>
      <w:b/>
      <w:bCs/>
      <w:kern w:val="0"/>
      <w:sz w:val="24"/>
      <w:szCs w:val="24"/>
    </w:rPr>
  </w:style>
  <w:style w:type="character" w:customStyle="1" w:styleId="59">
    <w:name w:val="标题 8 字符"/>
    <w:basedOn w:val="43"/>
    <w:link w:val="10"/>
    <w:qFormat/>
    <w:uiPriority w:val="99"/>
    <w:rPr>
      <w:rFonts w:ascii="Arial" w:hAnsi="Arial" w:eastAsia="黑体" w:cs="Times New Roman"/>
      <w:kern w:val="0"/>
      <w:sz w:val="24"/>
      <w:szCs w:val="24"/>
    </w:rPr>
  </w:style>
  <w:style w:type="character" w:customStyle="1" w:styleId="60">
    <w:name w:val="标题 9 字符"/>
    <w:basedOn w:val="43"/>
    <w:link w:val="11"/>
    <w:qFormat/>
    <w:uiPriority w:val="99"/>
    <w:rPr>
      <w:rFonts w:ascii="Arial" w:hAnsi="Arial" w:eastAsia="黑体" w:cs="Times New Roman"/>
      <w:kern w:val="0"/>
      <w:sz w:val="20"/>
      <w:szCs w:val="20"/>
    </w:rPr>
  </w:style>
  <w:style w:type="paragraph" w:customStyle="1" w:styleId="6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character" w:customStyle="1" w:styleId="62">
    <w:name w:val="文档结构图 字符"/>
    <w:basedOn w:val="43"/>
    <w:link w:val="15"/>
    <w:qFormat/>
    <w:uiPriority w:val="99"/>
    <w:rPr>
      <w:rFonts w:ascii="宋体" w:eastAsia="宋体"/>
      <w:sz w:val="18"/>
      <w:szCs w:val="18"/>
    </w:rPr>
  </w:style>
  <w:style w:type="character" w:customStyle="1" w:styleId="63">
    <w:name w:val="批注文字 字符"/>
    <w:basedOn w:val="43"/>
    <w:link w:val="16"/>
    <w:qFormat/>
    <w:uiPriority w:val="0"/>
  </w:style>
  <w:style w:type="character" w:customStyle="1" w:styleId="64">
    <w:name w:val="正文文本 字符"/>
    <w:basedOn w:val="43"/>
    <w:link w:val="17"/>
    <w:qFormat/>
    <w:uiPriority w:val="99"/>
  </w:style>
  <w:style w:type="character" w:customStyle="1" w:styleId="65">
    <w:name w:val="正文文本缩进 字符"/>
    <w:basedOn w:val="43"/>
    <w:link w:val="18"/>
    <w:qFormat/>
    <w:uiPriority w:val="99"/>
    <w:rPr>
      <w:sz w:val="32"/>
      <w:szCs w:val="20"/>
    </w:rPr>
  </w:style>
  <w:style w:type="character" w:customStyle="1" w:styleId="66">
    <w:name w:val="纯文本 字符"/>
    <w:basedOn w:val="43"/>
    <w:link w:val="22"/>
    <w:qFormat/>
    <w:uiPriority w:val="99"/>
    <w:rPr>
      <w:rFonts w:ascii="宋体" w:hAnsi="Courier New" w:cs="Courier New"/>
      <w:szCs w:val="21"/>
    </w:rPr>
  </w:style>
  <w:style w:type="character" w:customStyle="1" w:styleId="67">
    <w:name w:val="日期 字符"/>
    <w:basedOn w:val="43"/>
    <w:link w:val="24"/>
    <w:qFormat/>
    <w:uiPriority w:val="99"/>
  </w:style>
  <w:style w:type="character" w:customStyle="1" w:styleId="68">
    <w:name w:val="正文文本缩进 2 字符"/>
    <w:basedOn w:val="43"/>
    <w:link w:val="25"/>
    <w:qFormat/>
    <w:uiPriority w:val="99"/>
    <w:rPr>
      <w:rFonts w:ascii="Times New Roman" w:hAnsi="Times New Roman" w:eastAsia="宋体" w:cs="Times New Roman"/>
      <w:sz w:val="28"/>
      <w:szCs w:val="24"/>
    </w:rPr>
  </w:style>
  <w:style w:type="character" w:customStyle="1" w:styleId="69">
    <w:name w:val="批注框文本 字符"/>
    <w:basedOn w:val="43"/>
    <w:link w:val="26"/>
    <w:qFormat/>
    <w:uiPriority w:val="0"/>
    <w:rPr>
      <w:sz w:val="18"/>
      <w:szCs w:val="18"/>
    </w:rPr>
  </w:style>
  <w:style w:type="character" w:customStyle="1" w:styleId="70">
    <w:name w:val="页脚 字符"/>
    <w:basedOn w:val="43"/>
    <w:link w:val="27"/>
    <w:qFormat/>
    <w:uiPriority w:val="0"/>
    <w:rPr>
      <w:sz w:val="18"/>
      <w:szCs w:val="18"/>
    </w:rPr>
  </w:style>
  <w:style w:type="character" w:customStyle="1" w:styleId="71">
    <w:name w:val="页眉 字符"/>
    <w:basedOn w:val="43"/>
    <w:link w:val="29"/>
    <w:qFormat/>
    <w:uiPriority w:val="0"/>
    <w:rPr>
      <w:sz w:val="18"/>
      <w:szCs w:val="18"/>
    </w:rPr>
  </w:style>
  <w:style w:type="character" w:customStyle="1" w:styleId="72">
    <w:name w:val="正文文本缩进 3 字符"/>
    <w:basedOn w:val="43"/>
    <w:link w:val="33"/>
    <w:qFormat/>
    <w:uiPriority w:val="99"/>
    <w:rPr>
      <w:rFonts w:ascii="Times New Roman" w:hAnsi="Times New Roman" w:eastAsia="宋体" w:cs="Times New Roman"/>
      <w:sz w:val="16"/>
      <w:szCs w:val="16"/>
    </w:rPr>
  </w:style>
  <w:style w:type="character" w:customStyle="1" w:styleId="73">
    <w:name w:val="正文文本 2 字符"/>
    <w:basedOn w:val="43"/>
    <w:link w:val="36"/>
    <w:qFormat/>
    <w:uiPriority w:val="99"/>
    <w:rPr>
      <w:rFonts w:ascii="Times New Roman" w:hAnsi="Times New Roman" w:eastAsia="宋体" w:cs="Times New Roman"/>
      <w:sz w:val="28"/>
      <w:szCs w:val="24"/>
    </w:rPr>
  </w:style>
  <w:style w:type="character" w:customStyle="1" w:styleId="74">
    <w:name w:val="标题 字符"/>
    <w:basedOn w:val="43"/>
    <w:link w:val="38"/>
    <w:qFormat/>
    <w:uiPriority w:val="99"/>
    <w:rPr>
      <w:rFonts w:ascii="宋体" w:hAnsi="Arial" w:eastAsia="宋体" w:cs="Arial"/>
      <w:b/>
      <w:bCs/>
      <w:kern w:val="28"/>
      <w:sz w:val="32"/>
      <w:szCs w:val="32"/>
    </w:rPr>
  </w:style>
  <w:style w:type="character" w:customStyle="1" w:styleId="75">
    <w:name w:val="批注主题 字符"/>
    <w:basedOn w:val="63"/>
    <w:link w:val="39"/>
    <w:qFormat/>
    <w:uiPriority w:val="0"/>
    <w:rPr>
      <w:b/>
      <w:bCs/>
    </w:rPr>
  </w:style>
  <w:style w:type="character" w:customStyle="1" w:styleId="76">
    <w:name w:val="正文文本首行缩进 字符"/>
    <w:basedOn w:val="64"/>
    <w:link w:val="40"/>
    <w:qFormat/>
    <w:uiPriority w:val="99"/>
    <w:rPr>
      <w:rFonts w:ascii="Times New Roman" w:hAnsi="Times New Roman" w:eastAsia="宋体" w:cs="Times New Roman"/>
      <w:szCs w:val="20"/>
    </w:rPr>
  </w:style>
  <w:style w:type="character" w:customStyle="1" w:styleId="77">
    <w:name w:val="正文文本首行缩进 2 字符"/>
    <w:basedOn w:val="65"/>
    <w:qFormat/>
    <w:uiPriority w:val="99"/>
    <w:rPr>
      <w:rFonts w:ascii="Times New Roman" w:hAnsi="Times New Roman" w:eastAsia="宋体" w:cs="Times New Roman"/>
      <w:sz w:val="32"/>
      <w:szCs w:val="24"/>
    </w:rPr>
  </w:style>
  <w:style w:type="paragraph" w:customStyle="1" w:styleId="78">
    <w:name w:val="列出段落1"/>
    <w:basedOn w:val="1"/>
    <w:qFormat/>
    <w:uiPriority w:val="0"/>
    <w:pPr>
      <w:ind w:firstLine="420" w:firstLineChars="200"/>
    </w:pPr>
  </w:style>
  <w:style w:type="paragraph" w:customStyle="1" w:styleId="79">
    <w:name w:val="_Style 3"/>
    <w:basedOn w:val="1"/>
    <w:next w:val="1"/>
    <w:qFormat/>
    <w:uiPriority w:val="99"/>
    <w:pPr>
      <w:spacing w:line="360" w:lineRule="auto"/>
      <w:ind w:firstLine="420" w:firstLineChars="200"/>
    </w:pPr>
    <w:rPr>
      <w:sz w:val="24"/>
      <w:szCs w:val="24"/>
    </w:rPr>
  </w:style>
  <w:style w:type="character" w:customStyle="1" w:styleId="80">
    <w:name w:val="font01"/>
    <w:basedOn w:val="43"/>
    <w:qFormat/>
    <w:uiPriority w:val="0"/>
    <w:rPr>
      <w:rFonts w:ascii="Helvetica" w:hAnsi="Helvetica" w:eastAsia="Helvetica" w:cs="Helvetica"/>
      <w:color w:val="000000"/>
      <w:sz w:val="16"/>
      <w:szCs w:val="16"/>
      <w:u w:val="none"/>
    </w:rPr>
  </w:style>
  <w:style w:type="character" w:customStyle="1" w:styleId="81">
    <w:name w:val="font41"/>
    <w:basedOn w:val="43"/>
    <w:qFormat/>
    <w:uiPriority w:val="0"/>
    <w:rPr>
      <w:rFonts w:hint="eastAsia" w:ascii="宋体" w:hAnsi="宋体" w:eastAsia="宋体" w:cs="宋体"/>
      <w:color w:val="000000"/>
      <w:sz w:val="16"/>
      <w:szCs w:val="16"/>
      <w:u w:val="none"/>
    </w:rPr>
  </w:style>
  <w:style w:type="character" w:customStyle="1" w:styleId="82">
    <w:name w:val="font11"/>
    <w:basedOn w:val="43"/>
    <w:qFormat/>
    <w:uiPriority w:val="0"/>
    <w:rPr>
      <w:rFonts w:hint="default" w:ascii="Times New Roman" w:hAnsi="Times New Roman" w:cs="Times New Roman"/>
      <w:color w:val="000000"/>
      <w:sz w:val="16"/>
      <w:szCs w:val="16"/>
      <w:u w:val="none"/>
    </w:rPr>
  </w:style>
  <w:style w:type="character" w:customStyle="1" w:styleId="83">
    <w:name w:val="font21"/>
    <w:basedOn w:val="43"/>
    <w:qFormat/>
    <w:uiPriority w:val="0"/>
    <w:rPr>
      <w:rFonts w:ascii="Helvetica" w:hAnsi="Helvetica" w:eastAsia="Helvetica" w:cs="Helvetica"/>
      <w:color w:val="000000"/>
      <w:sz w:val="16"/>
      <w:szCs w:val="16"/>
      <w:u w:val="none"/>
    </w:rPr>
  </w:style>
  <w:style w:type="character" w:customStyle="1" w:styleId="84">
    <w:name w:val="font51"/>
    <w:basedOn w:val="43"/>
    <w:qFormat/>
    <w:uiPriority w:val="0"/>
    <w:rPr>
      <w:rFonts w:hint="eastAsia" w:ascii="宋体" w:hAnsi="宋体" w:eastAsia="宋体" w:cs="宋体"/>
      <w:color w:val="000000"/>
      <w:sz w:val="16"/>
      <w:szCs w:val="16"/>
      <w:u w:val="none"/>
    </w:rPr>
  </w:style>
  <w:style w:type="character" w:customStyle="1" w:styleId="85">
    <w:name w:val="font31"/>
    <w:basedOn w:val="43"/>
    <w:qFormat/>
    <w:uiPriority w:val="0"/>
    <w:rPr>
      <w:rFonts w:hint="eastAsia" w:ascii="宋体" w:hAnsi="宋体" w:eastAsia="宋体" w:cs="宋体"/>
      <w:color w:val="000000"/>
      <w:sz w:val="16"/>
      <w:szCs w:val="16"/>
      <w:u w:val="none"/>
    </w:rPr>
  </w:style>
  <w:style w:type="character" w:customStyle="1" w:styleId="86">
    <w:name w:val="font61"/>
    <w:basedOn w:val="43"/>
    <w:qFormat/>
    <w:uiPriority w:val="0"/>
    <w:rPr>
      <w:rFonts w:hint="eastAsia" w:ascii="宋体" w:hAnsi="宋体" w:eastAsia="宋体" w:cs="宋体"/>
      <w:color w:val="000000"/>
      <w:sz w:val="16"/>
      <w:szCs w:val="16"/>
      <w:u w:val="none"/>
    </w:rPr>
  </w:style>
  <w:style w:type="paragraph" w:customStyle="1" w:styleId="87">
    <w:name w:val="列表内容"/>
    <w:basedOn w:val="1"/>
    <w:next w:val="1"/>
    <w:qFormat/>
    <w:uiPriority w:val="99"/>
    <w:pPr>
      <w:widowControl/>
      <w:tabs>
        <w:tab w:val="left" w:pos="0"/>
        <w:tab w:val="left" w:pos="840"/>
      </w:tabs>
      <w:jc w:val="left"/>
    </w:pPr>
    <w:rPr>
      <w:rFonts w:ascii="Times New Roman" w:hAnsi="Times New Roman" w:eastAsia="宋体" w:cs="Times New Roman"/>
      <w:kern w:val="0"/>
      <w:sz w:val="18"/>
      <w:szCs w:val="18"/>
      <w:lang w:bidi="hi-IN"/>
    </w:rPr>
  </w:style>
  <w:style w:type="paragraph" w:customStyle="1" w:styleId="88">
    <w:name w:val="Table Paragraph"/>
    <w:basedOn w:val="1"/>
    <w:qFormat/>
    <w:uiPriority w:val="99"/>
    <w:pPr>
      <w:autoSpaceDE w:val="0"/>
      <w:autoSpaceDN w:val="0"/>
      <w:jc w:val="left"/>
    </w:pPr>
    <w:rPr>
      <w:rFonts w:ascii="Noto Sans Mono CJK JP Regular" w:hAnsi="Noto Sans Mono CJK JP Regular" w:cs="Noto Sans Mono CJK JP Regular"/>
      <w:kern w:val="0"/>
      <w:sz w:val="22"/>
      <w:lang w:val="zh-CN"/>
    </w:rPr>
  </w:style>
  <w:style w:type="character" w:customStyle="1" w:styleId="89">
    <w:name w:val="正文缩进 字符"/>
    <w:link w:val="13"/>
    <w:qFormat/>
    <w:uiPriority w:val="0"/>
    <w:rPr>
      <w:rFonts w:eastAsia="宋体"/>
    </w:rPr>
  </w:style>
  <w:style w:type="character" w:customStyle="1" w:styleId="90">
    <w:name w:val="无间隔 字符"/>
    <w:link w:val="91"/>
    <w:qFormat/>
    <w:uiPriority w:val="0"/>
    <w:rPr>
      <w:rFonts w:ascii="Cambria" w:hAnsi="Cambria"/>
      <w:sz w:val="22"/>
      <w:lang w:eastAsia="en-US" w:bidi="en-US"/>
    </w:rPr>
  </w:style>
  <w:style w:type="paragraph" w:styleId="91">
    <w:name w:val="No Spacing"/>
    <w:basedOn w:val="1"/>
    <w:link w:val="90"/>
    <w:qFormat/>
    <w:uiPriority w:val="0"/>
    <w:pPr>
      <w:widowControl/>
      <w:numPr>
        <w:ilvl w:val="4"/>
        <w:numId w:val="2"/>
      </w:numPr>
      <w:ind w:left="0" w:firstLine="0"/>
      <w:jc w:val="left"/>
    </w:pPr>
    <w:rPr>
      <w:rFonts w:ascii="Cambria" w:hAnsi="Cambria"/>
      <w:sz w:val="22"/>
      <w:lang w:eastAsia="en-US" w:bidi="en-US"/>
    </w:rPr>
  </w:style>
  <w:style w:type="character" w:customStyle="1" w:styleId="92">
    <w:name w:val="样式2 Char"/>
    <w:link w:val="93"/>
    <w:qFormat/>
    <w:uiPriority w:val="0"/>
    <w:rPr>
      <w:rFonts w:ascii="宋体" w:hAnsi="宋体"/>
      <w:sz w:val="28"/>
      <w:szCs w:val="28"/>
    </w:rPr>
  </w:style>
  <w:style w:type="paragraph" w:customStyle="1" w:styleId="93">
    <w:name w:val="样式2"/>
    <w:basedOn w:val="1"/>
    <w:link w:val="92"/>
    <w:qFormat/>
    <w:uiPriority w:val="0"/>
    <w:pPr>
      <w:widowControl/>
      <w:spacing w:line="590" w:lineRule="exact"/>
      <w:ind w:firstLine="560" w:firstLineChars="200"/>
    </w:pPr>
    <w:rPr>
      <w:rFonts w:ascii="宋体" w:hAnsi="宋体"/>
      <w:sz w:val="28"/>
      <w:szCs w:val="28"/>
    </w:rPr>
  </w:style>
  <w:style w:type="character" w:customStyle="1" w:styleId="94">
    <w:name w:val="zj-122 Char"/>
    <w:link w:val="95"/>
    <w:qFormat/>
    <w:uiPriority w:val="99"/>
    <w:rPr>
      <w:rFonts w:ascii="Cambria" w:hAnsi="Cambria"/>
      <w:iCs/>
      <w:szCs w:val="21"/>
      <w:lang w:bidi="en-US"/>
    </w:rPr>
  </w:style>
  <w:style w:type="paragraph" w:customStyle="1" w:styleId="95">
    <w:name w:val="zj-122"/>
    <w:basedOn w:val="91"/>
    <w:link w:val="94"/>
    <w:qFormat/>
    <w:uiPriority w:val="99"/>
    <w:rPr>
      <w:iCs/>
      <w:sz w:val="21"/>
      <w:szCs w:val="21"/>
      <w:lang w:eastAsia="zh-CN"/>
    </w:rPr>
  </w:style>
  <w:style w:type="paragraph" w:customStyle="1" w:styleId="96">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a9"/>
    <w:basedOn w:val="43"/>
    <w:qFormat/>
    <w:uiPriority w:val="0"/>
  </w:style>
  <w:style w:type="character" w:customStyle="1" w:styleId="98">
    <w:name w:val="msonormal"/>
    <w:basedOn w:val="43"/>
    <w:qFormat/>
    <w:uiPriority w:val="0"/>
  </w:style>
  <w:style w:type="character" w:customStyle="1" w:styleId="99">
    <w:name w:val="标题 1 Char Char"/>
    <w:qFormat/>
    <w:uiPriority w:val="0"/>
    <w:rPr>
      <w:rFonts w:eastAsia="宋体"/>
      <w:b/>
      <w:spacing w:val="-2"/>
      <w:sz w:val="24"/>
      <w:lang w:val="en-US" w:eastAsia="zh-CN" w:bidi="ar-SA"/>
    </w:rPr>
  </w:style>
  <w:style w:type="character" w:customStyle="1" w:styleId="100">
    <w:name w:val="标题 2 字符"/>
    <w:qFormat/>
    <w:uiPriority w:val="0"/>
    <w:rPr>
      <w:rFonts w:ascii="Arial" w:hAnsi="Arial" w:eastAsia="黑体"/>
      <w:b/>
      <w:bCs/>
      <w:kern w:val="2"/>
      <w:sz w:val="32"/>
      <w:szCs w:val="32"/>
    </w:rPr>
  </w:style>
  <w:style w:type="character" w:customStyle="1" w:styleId="101">
    <w:name w:val="普通文字 Char Char Char Char Char Char Char"/>
    <w:qFormat/>
    <w:uiPriority w:val="0"/>
    <w:rPr>
      <w:rFonts w:ascii="宋体" w:hAnsi="Courier New" w:eastAsia="宋体" w:cs="Courier New"/>
      <w:kern w:val="2"/>
      <w:sz w:val="24"/>
      <w:szCs w:val="21"/>
      <w:lang w:val="en-US" w:eastAsia="zh-CN" w:bidi="ar-SA"/>
    </w:rPr>
  </w:style>
  <w:style w:type="character" w:customStyle="1" w:styleId="102">
    <w:name w:val="text-4"/>
    <w:basedOn w:val="43"/>
    <w:qFormat/>
    <w:uiPriority w:val="0"/>
  </w:style>
  <w:style w:type="character" w:customStyle="1" w:styleId="103">
    <w:name w:val="boldtitle1"/>
    <w:qFormat/>
    <w:uiPriority w:val="0"/>
    <w:rPr>
      <w:rFonts w:hint="default" w:ascii="Arial Black" w:hAnsi="Arial Black"/>
      <w:sz w:val="36"/>
      <w:szCs w:val="36"/>
    </w:rPr>
  </w:style>
  <w:style w:type="character" w:customStyle="1" w:styleId="104">
    <w:name w:val="Body Char"/>
    <w:link w:val="105"/>
    <w:qFormat/>
    <w:uiPriority w:val="0"/>
    <w:rPr>
      <w:szCs w:val="21"/>
    </w:rPr>
  </w:style>
  <w:style w:type="paragraph" w:customStyle="1" w:styleId="105">
    <w:name w:val="Body"/>
    <w:basedOn w:val="1"/>
    <w:link w:val="104"/>
    <w:qFormat/>
    <w:uiPriority w:val="0"/>
    <w:pPr>
      <w:widowControl/>
      <w:tabs>
        <w:tab w:val="left" w:pos="9356"/>
      </w:tabs>
      <w:spacing w:before="80" w:after="80" w:line="288" w:lineRule="auto"/>
      <w:ind w:left="426" w:leftChars="213" w:right="200"/>
    </w:pPr>
    <w:rPr>
      <w:szCs w:val="21"/>
    </w:rPr>
  </w:style>
  <w:style w:type="paragraph" w:customStyle="1" w:styleId="106">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7">
    <w:name w:val="xl3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8">
    <w:name w:val="xl30"/>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09">
    <w:name w:val="样式 (西文) 宋体 段前: 5 磅 段后: 5 磅 行距: 1.5 倍行距 首行缩进:  2 字符"/>
    <w:basedOn w:val="1"/>
    <w:qFormat/>
    <w:uiPriority w:val="99"/>
    <w:pPr>
      <w:spacing w:before="40" w:after="40" w:line="288" w:lineRule="auto"/>
      <w:ind w:firstLine="200" w:firstLineChars="200"/>
      <w:jc w:val="left"/>
    </w:pPr>
    <w:rPr>
      <w:rFonts w:ascii="宋体" w:hAnsi="宋体" w:eastAsia="宋体" w:cs="宋体"/>
      <w:szCs w:val="20"/>
    </w:rPr>
  </w:style>
  <w:style w:type="paragraph" w:customStyle="1" w:styleId="110">
    <w:name w:val="xl3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1">
    <w:name w:val="样式 样式 正文文本缩进 + 仿宋_GB2312 小四 首行缩进:  0 厘米 行距: 1.5 倍行距 + (中文) 仿宋_GB... Char Char"/>
    <w:basedOn w:val="1"/>
    <w:qFormat/>
    <w:uiPriority w:val="99"/>
    <w:pPr>
      <w:spacing w:line="360" w:lineRule="auto"/>
      <w:ind w:firstLine="480"/>
    </w:pPr>
    <w:rPr>
      <w:rFonts w:ascii="仿宋_GB2312" w:hAnsi="Times New Roman" w:eastAsia="新宋体" w:cs="Times New Roman"/>
      <w:sz w:val="24"/>
      <w:szCs w:val="20"/>
    </w:rPr>
  </w:style>
  <w:style w:type="paragraph" w:customStyle="1" w:styleId="112">
    <w:name w:val="百姓X"/>
    <w:basedOn w:val="1"/>
    <w:qFormat/>
    <w:uiPriority w:val="99"/>
    <w:pPr>
      <w:spacing w:before="120" w:after="120" w:line="360" w:lineRule="auto"/>
      <w:ind w:firstLine="539"/>
    </w:pPr>
    <w:rPr>
      <w:rFonts w:ascii="Times New Roman" w:hAnsi="Times New Roman" w:eastAsia="宋体" w:cs="Times New Roman"/>
      <w:sz w:val="24"/>
      <w:szCs w:val="20"/>
    </w:rPr>
  </w:style>
  <w:style w:type="paragraph" w:customStyle="1" w:styleId="113">
    <w:name w:val="文档正文 Char"/>
    <w:basedOn w:val="1"/>
    <w:qFormat/>
    <w:uiPriority w:val="99"/>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114">
    <w:name w:val="xl3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15">
    <w:name w:val="font0"/>
    <w:basedOn w:val="1"/>
    <w:qFormat/>
    <w:uiPriority w:val="99"/>
    <w:pPr>
      <w:widowControl/>
      <w:spacing w:before="100" w:beforeAutospacing="1" w:after="100" w:afterAutospacing="1"/>
      <w:jc w:val="left"/>
    </w:pPr>
    <w:rPr>
      <w:rFonts w:hint="eastAsia" w:ascii="宋体" w:hAnsi="宋体" w:eastAsia="宋体" w:cs="Arial Unicode MS"/>
      <w:kern w:val="0"/>
      <w:sz w:val="24"/>
      <w:szCs w:val="24"/>
    </w:rPr>
  </w:style>
  <w:style w:type="paragraph" w:customStyle="1" w:styleId="116">
    <w:name w:val="xl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7">
    <w:name w:val="xl2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18">
    <w:name w:val="Char Char"/>
    <w:basedOn w:val="1"/>
    <w:qFormat/>
    <w:uiPriority w:val="99"/>
    <w:rPr>
      <w:rFonts w:ascii="Tahoma" w:hAnsi="Tahoma" w:eastAsia="宋体" w:cs="Times New Roman"/>
      <w:sz w:val="24"/>
      <w:szCs w:val="20"/>
    </w:rPr>
  </w:style>
  <w:style w:type="paragraph" w:customStyle="1" w:styleId="119">
    <w:name w:val="xl26"/>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0">
    <w:name w:val="font1"/>
    <w:basedOn w:val="1"/>
    <w:qFormat/>
    <w:uiPriority w:val="99"/>
    <w:pPr>
      <w:widowControl/>
      <w:spacing w:before="100" w:beforeAutospacing="1" w:after="100" w:afterAutospacing="1" w:line="300" w:lineRule="atLeast"/>
      <w:jc w:val="left"/>
    </w:pPr>
    <w:rPr>
      <w:rFonts w:ascii="宋体" w:hAnsi="宋体" w:eastAsia="宋体" w:cs="宋体"/>
      <w:kern w:val="0"/>
      <w:sz w:val="18"/>
      <w:szCs w:val="18"/>
    </w:rPr>
  </w:style>
  <w:style w:type="paragraph" w:customStyle="1" w:styleId="121">
    <w:name w:val="Char Char Char1 Char"/>
    <w:basedOn w:val="1"/>
    <w:qFormat/>
    <w:uiPriority w:val="99"/>
    <w:rPr>
      <w:rFonts w:ascii="仿宋_GB2312" w:hAnsi="Times New Roman" w:eastAsia="仿宋_GB2312" w:cs="Times New Roman"/>
      <w:b/>
      <w:sz w:val="32"/>
      <w:szCs w:val="32"/>
    </w:rPr>
  </w:style>
  <w:style w:type="paragraph" w:customStyle="1" w:styleId="122">
    <w:name w:val="方案正文"/>
    <w:basedOn w:val="1"/>
    <w:qFormat/>
    <w:uiPriority w:val="99"/>
    <w:pPr>
      <w:spacing w:before="156" w:line="360" w:lineRule="auto"/>
      <w:ind w:firstLine="359" w:firstLineChars="171"/>
      <w:jc w:val="left"/>
    </w:pPr>
    <w:rPr>
      <w:rFonts w:ascii="Arial" w:hAnsi="Arial" w:eastAsia="宋体" w:cs="宋体"/>
      <w:sz w:val="24"/>
      <w:szCs w:val="21"/>
    </w:rPr>
  </w:style>
  <w:style w:type="paragraph" w:customStyle="1" w:styleId="123">
    <w:name w:val="List Paragraph1"/>
    <w:basedOn w:val="1"/>
    <w:qFormat/>
    <w:uiPriority w:val="99"/>
    <w:pPr>
      <w:ind w:firstLine="420" w:firstLineChars="200"/>
    </w:pPr>
    <w:rPr>
      <w:rFonts w:ascii="Calibri" w:hAnsi="Calibri" w:eastAsia="宋体" w:cs="Calibri"/>
      <w:szCs w:val="21"/>
    </w:rPr>
  </w:style>
  <w:style w:type="paragraph" w:customStyle="1" w:styleId="124">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5">
    <w:name w:val="Char"/>
    <w:basedOn w:val="1"/>
    <w:qFormat/>
    <w:uiPriority w:val="99"/>
    <w:pPr>
      <w:tabs>
        <w:tab w:val="left" w:pos="420"/>
      </w:tabs>
      <w:ind w:left="420" w:hanging="420"/>
    </w:pPr>
    <w:rPr>
      <w:rFonts w:ascii="Times New Roman" w:hAnsi="Times New Roman" w:eastAsia="宋体" w:cs="Times New Roman"/>
      <w:sz w:val="24"/>
      <w:szCs w:val="24"/>
    </w:rPr>
  </w:style>
  <w:style w:type="paragraph" w:customStyle="1" w:styleId="126">
    <w:name w:val="xl22"/>
    <w:basedOn w:val="1"/>
    <w:qFormat/>
    <w:uiPriority w:val="99"/>
    <w:pPr>
      <w:widowControl/>
      <w:pBdr>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2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28">
    <w:name w:val="Char Char Char Char"/>
    <w:basedOn w:val="15"/>
    <w:qFormat/>
    <w:uiPriority w:val="99"/>
    <w:pPr>
      <w:shd w:val="clear" w:color="auto" w:fill="000080"/>
      <w:adjustRightInd w:val="0"/>
      <w:snapToGrid w:val="0"/>
      <w:spacing w:line="360" w:lineRule="auto"/>
    </w:pPr>
    <w:rPr>
      <w:rFonts w:ascii="Tahoma" w:hAnsi="Tahoma"/>
      <w:sz w:val="24"/>
      <w:szCs w:val="24"/>
    </w:rPr>
  </w:style>
  <w:style w:type="paragraph" w:customStyle="1" w:styleId="129">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0">
    <w:name w:val="tabletex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1">
    <w:name w:val="样式5"/>
    <w:basedOn w:val="1"/>
    <w:qFormat/>
    <w:uiPriority w:val="99"/>
    <w:pPr>
      <w:adjustRightInd w:val="0"/>
      <w:snapToGrid w:val="0"/>
      <w:spacing w:line="520" w:lineRule="exact"/>
      <w:ind w:firstLine="480" w:firstLineChars="200"/>
    </w:pPr>
    <w:rPr>
      <w:rFonts w:ascii="仿宋_GB2312" w:hAnsi="Times New Roman" w:eastAsia="仿宋_GB2312" w:cs="Times New Roman"/>
      <w:sz w:val="24"/>
      <w:szCs w:val="24"/>
    </w:rPr>
  </w:style>
  <w:style w:type="paragraph" w:customStyle="1" w:styleId="132">
    <w:name w:val="文档正文"/>
    <w:basedOn w:val="1"/>
    <w:qFormat/>
    <w:uiPriority w:val="99"/>
    <w:pPr>
      <w:adjustRightInd w:val="0"/>
      <w:spacing w:line="480" w:lineRule="atLeast"/>
      <w:ind w:firstLine="567"/>
      <w:textAlignment w:val="baseline"/>
    </w:pPr>
    <w:rPr>
      <w:rFonts w:ascii="长城仿宋" w:hAnsi="Times New Roman" w:eastAsia="宋体" w:cs="Times New Roman"/>
      <w:kern w:val="0"/>
      <w:sz w:val="24"/>
      <w:szCs w:val="20"/>
    </w:rPr>
  </w:style>
  <w:style w:type="paragraph" w:customStyle="1" w:styleId="13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34">
    <w:name w:val="xl3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35">
    <w:name w:val="正文2"/>
    <w:basedOn w:val="1"/>
    <w:qFormat/>
    <w:uiPriority w:val="99"/>
    <w:pPr>
      <w:spacing w:line="300" w:lineRule="auto"/>
      <w:ind w:left="500" w:leftChars="500"/>
    </w:pPr>
    <w:rPr>
      <w:rFonts w:ascii="Times New Roman" w:hAnsi="Times New Roman" w:eastAsia="宋体" w:cs="Times New Roman"/>
      <w:szCs w:val="21"/>
    </w:rPr>
  </w:style>
  <w:style w:type="paragraph" w:customStyle="1" w:styleId="136">
    <w:name w:val="表格内容"/>
    <w:basedOn w:val="1"/>
    <w:qFormat/>
    <w:uiPriority w:val="99"/>
    <w:pPr>
      <w:widowControl/>
      <w:autoSpaceDE w:val="0"/>
      <w:autoSpaceDN w:val="0"/>
      <w:adjustRightInd w:val="0"/>
      <w:spacing w:before="60"/>
      <w:jc w:val="center"/>
      <w:textAlignment w:val="bottom"/>
    </w:pPr>
    <w:rPr>
      <w:rFonts w:ascii="Times New Roman" w:hAnsi="Times New Roman" w:eastAsia="仿宋_GB2312" w:cs="Times New Roman"/>
      <w:kern w:val="0"/>
      <w:sz w:val="24"/>
      <w:szCs w:val="24"/>
    </w:rPr>
  </w:style>
  <w:style w:type="paragraph" w:customStyle="1" w:styleId="137">
    <w:name w:val="Char1"/>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138">
    <w:name w:val="公文正文"/>
    <w:basedOn w:val="1"/>
    <w:qFormat/>
    <w:uiPriority w:val="99"/>
    <w:pPr>
      <w:spacing w:line="360" w:lineRule="auto"/>
      <w:jc w:val="center"/>
    </w:pPr>
    <w:rPr>
      <w:rFonts w:ascii="Times New Roman" w:hAnsi="Times New Roman" w:eastAsia="华文仿宋" w:cs="Times New Roman"/>
      <w:b/>
      <w:sz w:val="32"/>
      <w:szCs w:val="32"/>
    </w:rPr>
  </w:style>
  <w:style w:type="paragraph" w:customStyle="1" w:styleId="139">
    <w:name w:val="表格"/>
    <w:basedOn w:val="1"/>
    <w:qFormat/>
    <w:uiPriority w:val="99"/>
    <w:pPr>
      <w:adjustRightInd w:val="0"/>
      <w:snapToGrid w:val="0"/>
      <w:spacing w:beforeLines="20" w:afterLines="20"/>
      <w:jc w:val="center"/>
      <w:textAlignment w:val="bottom"/>
    </w:pPr>
    <w:rPr>
      <w:rFonts w:ascii="Times New Roman" w:hAnsi="宋体" w:eastAsia="宋体" w:cs="Times New Roman"/>
      <w:kern w:val="0"/>
      <w:sz w:val="24"/>
      <w:szCs w:val="20"/>
    </w:rPr>
  </w:style>
  <w:style w:type="paragraph" w:customStyle="1" w:styleId="140">
    <w:name w:val="Bullet with text 1"/>
    <w:basedOn w:val="1"/>
    <w:qFormat/>
    <w:uiPriority w:val="99"/>
    <w:pPr>
      <w:widowControl/>
      <w:tabs>
        <w:tab w:val="left" w:pos="1260"/>
      </w:tabs>
      <w:spacing w:line="360" w:lineRule="auto"/>
      <w:ind w:left="1260" w:hanging="720"/>
      <w:jc w:val="left"/>
    </w:pPr>
    <w:rPr>
      <w:rFonts w:ascii="Futura Bk" w:hAnsi="Futura Bk" w:eastAsia="宋体" w:cs="Times New Roman"/>
      <w:kern w:val="0"/>
      <w:sz w:val="20"/>
      <w:szCs w:val="20"/>
      <w:lang w:val="en-GB"/>
    </w:rPr>
  </w:style>
  <w:style w:type="paragraph" w:customStyle="1" w:styleId="141">
    <w:name w:val="样式 行距: 固定值 25 磅 首行缩进:  2 字符"/>
    <w:basedOn w:val="1"/>
    <w:qFormat/>
    <w:uiPriority w:val="99"/>
    <w:pPr>
      <w:tabs>
        <w:tab w:val="left" w:pos="1260"/>
      </w:tabs>
      <w:adjustRightInd w:val="0"/>
      <w:spacing w:line="500" w:lineRule="exact"/>
      <w:ind w:firstLine="560" w:firstLineChars="200"/>
      <w:textAlignment w:val="baseline"/>
    </w:pPr>
    <w:rPr>
      <w:rFonts w:ascii="Times New Roman" w:hAnsi="Times New Roman" w:eastAsia="宋体" w:cs="Times New Roman"/>
      <w:kern w:val="0"/>
      <w:sz w:val="28"/>
      <w:szCs w:val="28"/>
    </w:rPr>
  </w:style>
  <w:style w:type="paragraph" w:customStyle="1" w:styleId="142">
    <w:name w:val="正文1"/>
    <w:qFormat/>
    <w:uiPriority w:val="99"/>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143">
    <w:name w:val="Style-正文"/>
    <w:basedOn w:val="1"/>
    <w:qFormat/>
    <w:uiPriority w:val="99"/>
    <w:pPr>
      <w:spacing w:line="360" w:lineRule="auto"/>
      <w:ind w:firstLine="420"/>
    </w:pPr>
    <w:rPr>
      <w:rFonts w:ascii="宋体" w:hAnsi="宋体" w:eastAsia="宋体" w:cs="Times New Roman"/>
      <w:sz w:val="24"/>
      <w:szCs w:val="24"/>
    </w:rPr>
  </w:style>
  <w:style w:type="paragraph" w:customStyle="1" w:styleId="144">
    <w:name w:val="ZTE标题5"/>
    <w:basedOn w:val="1"/>
    <w:qFormat/>
    <w:uiPriority w:val="99"/>
    <w:pPr>
      <w:widowControl/>
      <w:tabs>
        <w:tab w:val="left" w:pos="2100"/>
      </w:tabs>
      <w:spacing w:before="160" w:after="120"/>
      <w:ind w:left="2100" w:hanging="420"/>
      <w:jc w:val="left"/>
    </w:pPr>
    <w:rPr>
      <w:rFonts w:ascii="Times New Roman" w:hAnsi="Times New Roman" w:eastAsia="宋体" w:cs="Times New Roman"/>
      <w:b/>
      <w:kern w:val="0"/>
      <w:szCs w:val="21"/>
    </w:rPr>
  </w:style>
  <w:style w:type="paragraph" w:customStyle="1" w:styleId="145">
    <w:name w:val="正文段"/>
    <w:basedOn w:val="1"/>
    <w:qFormat/>
    <w:uiPriority w:val="99"/>
    <w:pPr>
      <w:widowControl/>
      <w:adjustRightInd w:val="0"/>
      <w:spacing w:after="240" w:line="360" w:lineRule="atLeast"/>
      <w:ind w:firstLine="454"/>
      <w:textAlignment w:val="bottom"/>
    </w:pPr>
    <w:rPr>
      <w:rFonts w:ascii="宋体" w:hAnsi="Times New Roman" w:eastAsia="宋体" w:cs="Times New Roman"/>
      <w:kern w:val="0"/>
      <w:sz w:val="24"/>
      <w:szCs w:val="20"/>
    </w:rPr>
  </w:style>
  <w:style w:type="paragraph" w:customStyle="1" w:styleId="146">
    <w:name w:val="ZTE标题6"/>
    <w:basedOn w:val="144"/>
    <w:qFormat/>
    <w:uiPriority w:val="99"/>
    <w:pPr>
      <w:tabs>
        <w:tab w:val="left" w:pos="1276"/>
      </w:tabs>
      <w:spacing w:before="120"/>
      <w:ind w:left="1276" w:hanging="1276"/>
    </w:pPr>
  </w:style>
  <w:style w:type="paragraph" w:customStyle="1" w:styleId="147">
    <w:name w:val="xl39"/>
    <w:basedOn w:val="1"/>
    <w:qFormat/>
    <w:uiPriority w:val="99"/>
    <w:pPr>
      <w:widowControl/>
      <w:pBdr>
        <w:bottom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48">
    <w:name w:val="Table Text"/>
    <w:basedOn w:val="1"/>
    <w:qFormat/>
    <w:uiPriority w:val="99"/>
    <w:pPr>
      <w:widowControl/>
      <w:tabs>
        <w:tab w:val="decimal" w:pos="0"/>
      </w:tabs>
      <w:autoSpaceDE w:val="0"/>
      <w:autoSpaceDN w:val="0"/>
      <w:adjustRightInd w:val="0"/>
      <w:snapToGrid w:val="0"/>
      <w:spacing w:before="80" w:after="80" w:line="360" w:lineRule="auto"/>
      <w:textAlignment w:val="bottom"/>
    </w:pPr>
    <w:rPr>
      <w:rFonts w:ascii="Arial" w:hAnsi="Arial" w:eastAsia="宋体" w:cs="Arial"/>
      <w:b/>
      <w:spacing w:val="20"/>
      <w:kern w:val="0"/>
      <w:sz w:val="18"/>
      <w:szCs w:val="36"/>
    </w:rPr>
  </w:style>
  <w:style w:type="paragraph" w:customStyle="1" w:styleId="149">
    <w:name w:val="样式 首行缩进:  2 字符2"/>
    <w:basedOn w:val="1"/>
    <w:qFormat/>
    <w:uiPriority w:val="99"/>
    <w:pPr>
      <w:spacing w:line="360" w:lineRule="auto"/>
      <w:ind w:firstLine="655" w:firstLineChars="273"/>
      <w:jc w:val="left"/>
    </w:pPr>
    <w:rPr>
      <w:rFonts w:ascii="Verdana" w:hAnsi="Verdana" w:eastAsia="宋体" w:cs="Verdana"/>
      <w:szCs w:val="21"/>
    </w:rPr>
  </w:style>
  <w:style w:type="paragraph" w:customStyle="1" w:styleId="150">
    <w:name w:val="font7"/>
    <w:basedOn w:val="1"/>
    <w:qFormat/>
    <w:uiPriority w:val="99"/>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5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52">
    <w:name w:val="表文字"/>
    <w:qFormat/>
    <w:uiPriority w:val="99"/>
    <w:pPr>
      <w:adjustRightInd w:val="0"/>
      <w:snapToGrid w:val="0"/>
      <w:spacing w:line="360" w:lineRule="auto"/>
      <w:jc w:val="both"/>
      <w:textAlignment w:val="bottom"/>
    </w:pPr>
    <w:rPr>
      <w:rFonts w:ascii="宋体" w:hAnsi="宋体" w:eastAsia="宋体" w:cs="Times New Roman"/>
      <w:spacing w:val="20"/>
      <w:kern w:val="2"/>
      <w:sz w:val="20"/>
      <w:szCs w:val="28"/>
      <w:lang w:val="en-US" w:eastAsia="zh-CN" w:bidi="ar-SA"/>
    </w:rPr>
  </w:style>
  <w:style w:type="paragraph" w:customStyle="1" w:styleId="153">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54">
    <w:name w:val="font5"/>
    <w:basedOn w:val="1"/>
    <w:qFormat/>
    <w:uiPriority w:val="99"/>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55">
    <w:name w:val="wenjianming"/>
    <w:basedOn w:val="1"/>
    <w:qFormat/>
    <w:uiPriority w:val="99"/>
    <w:pPr>
      <w:widowControl/>
      <w:spacing w:before="100" w:beforeAutospacing="1" w:after="100" w:afterAutospacing="1" w:line="300" w:lineRule="atLeast"/>
      <w:jc w:val="left"/>
    </w:pPr>
    <w:rPr>
      <w:rFonts w:ascii="Times New Roman" w:hAnsi="Times New Roman" w:eastAsia="Arial Unicode MS" w:cs="Arial Unicode MS"/>
      <w:color w:val="000000"/>
      <w:kern w:val="0"/>
      <w:szCs w:val="21"/>
    </w:rPr>
  </w:style>
  <w:style w:type="paragraph" w:customStyle="1" w:styleId="156">
    <w:name w:val="xl3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57">
    <w:name w:val="xl23"/>
    <w:basedOn w:val="1"/>
    <w:qFormat/>
    <w:uiPriority w:val="99"/>
    <w:pPr>
      <w:widowControl/>
      <w:spacing w:before="100" w:beforeAutospacing="1" w:after="100" w:afterAutospacing="1" w:line="360" w:lineRule="auto"/>
      <w:textAlignment w:val="top"/>
    </w:pPr>
    <w:rPr>
      <w:rFonts w:ascii="Times New Roman" w:hAnsi="Times New Roman" w:eastAsia="宋体" w:cs="Times New Roman"/>
      <w:kern w:val="0"/>
      <w:sz w:val="24"/>
      <w:szCs w:val="24"/>
    </w:rPr>
  </w:style>
  <w:style w:type="paragraph" w:customStyle="1" w:styleId="158">
    <w:name w:val="正文 3"/>
    <w:basedOn w:val="129"/>
    <w:next w:val="129"/>
    <w:qFormat/>
    <w:uiPriority w:val="99"/>
    <w:pPr>
      <w:spacing w:before="120"/>
    </w:pPr>
    <w:rPr>
      <w:rFonts w:ascii="Garamond" w:hAnsi="Garamond"/>
      <w:color w:val="auto"/>
    </w:rPr>
  </w:style>
  <w:style w:type="paragraph" w:customStyle="1" w:styleId="159">
    <w:name w:val="font6"/>
    <w:basedOn w:val="1"/>
    <w:qFormat/>
    <w:uiPriority w:val="99"/>
    <w:pPr>
      <w:widowControl/>
      <w:spacing w:before="100" w:beforeAutospacing="1" w:after="100" w:afterAutospacing="1"/>
      <w:jc w:val="left"/>
    </w:pPr>
    <w:rPr>
      <w:rFonts w:hint="eastAsia" w:ascii="宋体" w:hAnsi="宋体" w:eastAsia="宋体" w:cs="Times New Roman"/>
      <w:kern w:val="0"/>
      <w:sz w:val="20"/>
      <w:szCs w:val="20"/>
    </w:rPr>
  </w:style>
  <w:style w:type="paragraph" w:styleId="160">
    <w:name w:val="List Paragraph"/>
    <w:basedOn w:val="1"/>
    <w:link w:val="164"/>
    <w:qFormat/>
    <w:uiPriority w:val="99"/>
    <w:pPr>
      <w:ind w:firstLine="420" w:firstLineChars="200"/>
    </w:pPr>
    <w:rPr>
      <w:rFonts w:ascii="Calibri" w:hAnsi="Calibri" w:eastAsia="宋体" w:cs="Times New Roman"/>
    </w:rPr>
  </w:style>
  <w:style w:type="paragraph" w:customStyle="1" w:styleId="161">
    <w:name w:val="表格正文"/>
    <w:basedOn w:val="1"/>
    <w:qFormat/>
    <w:uiPriority w:val="99"/>
    <w:pPr>
      <w:widowControl/>
      <w:adjustRightInd w:val="0"/>
      <w:contextualSpacing/>
    </w:pPr>
    <w:rPr>
      <w:rFonts w:ascii="Times New Roman" w:hAnsi="Times New Roman" w:eastAsia="宋体" w:cs="宋体"/>
      <w:kern w:val="0"/>
      <w:sz w:val="24"/>
      <w:szCs w:val="24"/>
      <w:lang w:eastAsia="en-US" w:bidi="en-US"/>
    </w:rPr>
  </w:style>
  <w:style w:type="paragraph" w:customStyle="1" w:styleId="162">
    <w:name w:val="表内文字居左"/>
    <w:qFormat/>
    <w:uiPriority w:val="99"/>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163">
    <w:name w:val="正文 缩进2字符"/>
    <w:basedOn w:val="1"/>
    <w:qFormat/>
    <w:uiPriority w:val="99"/>
    <w:pPr>
      <w:spacing w:line="288" w:lineRule="auto"/>
      <w:ind w:firstLine="200" w:firstLineChars="200"/>
    </w:pPr>
    <w:rPr>
      <w:rFonts w:ascii="Times New Roman" w:hAnsi="Times New Roman" w:eastAsia="仿宋_GB2312" w:cs="宋体"/>
      <w:sz w:val="24"/>
      <w:szCs w:val="20"/>
    </w:rPr>
  </w:style>
  <w:style w:type="character" w:customStyle="1" w:styleId="164">
    <w:name w:val="列表段落 字符"/>
    <w:link w:val="160"/>
    <w:qFormat/>
    <w:locked/>
    <w:uiPriority w:val="99"/>
    <w:rPr>
      <w:rFonts w:ascii="Calibri" w:hAnsi="Calibri" w:eastAsia="宋体" w:cs="Times New Roman"/>
    </w:rPr>
  </w:style>
  <w:style w:type="paragraph" w:customStyle="1" w:styleId="165">
    <w:name w:val="(符号)四标题1.1"/>
    <w:basedOn w:val="1"/>
    <w:qFormat/>
    <w:uiPriority w:val="0"/>
    <w:pPr>
      <w:numPr>
        <w:ilvl w:val="1"/>
        <w:numId w:val="3"/>
      </w:numPr>
      <w:spacing w:line="500" w:lineRule="exact"/>
    </w:pPr>
    <w:rPr>
      <w:rFonts w:ascii="宋体" w:hAnsi="宋体" w:cs="宋体"/>
      <w:color w:val="000000"/>
      <w:kern w:val="0"/>
      <w:sz w:val="24"/>
      <w:szCs w:val="20"/>
    </w:rPr>
  </w:style>
  <w:style w:type="character" w:customStyle="1" w:styleId="166">
    <w:name w:val="font81"/>
    <w:basedOn w:val="43"/>
    <w:qFormat/>
    <w:uiPriority w:val="0"/>
    <w:rPr>
      <w:rFonts w:hint="eastAsia" w:ascii="宋体" w:hAnsi="宋体" w:eastAsia="宋体" w:cs="宋体"/>
      <w:color w:val="000000"/>
      <w:sz w:val="20"/>
      <w:szCs w:val="20"/>
      <w:u w:val="none"/>
    </w:rPr>
  </w:style>
  <w:style w:type="character" w:customStyle="1" w:styleId="167">
    <w:name w:val="font71"/>
    <w:basedOn w:val="43"/>
    <w:qFormat/>
    <w:uiPriority w:val="0"/>
    <w:rPr>
      <w:rFonts w:ascii="Arial" w:hAnsi="Arial" w:cs="Arial"/>
      <w:color w:val="000000"/>
      <w:sz w:val="24"/>
      <w:szCs w:val="24"/>
      <w:u w:val="none"/>
    </w:rPr>
  </w:style>
  <w:style w:type="character" w:customStyle="1" w:styleId="168">
    <w:name w:val="font91"/>
    <w:basedOn w:val="43"/>
    <w:qFormat/>
    <w:uiPriority w:val="0"/>
    <w:rPr>
      <w:rFonts w:hint="default" w:ascii="Arial" w:hAnsi="Arial" w:cs="Arial"/>
      <w:color w:val="000000"/>
      <w:sz w:val="24"/>
      <w:szCs w:val="24"/>
      <w:u w:val="none"/>
    </w:rPr>
  </w:style>
  <w:style w:type="character" w:customStyle="1" w:styleId="169">
    <w:name w:val="font101"/>
    <w:basedOn w:val="43"/>
    <w:qFormat/>
    <w:uiPriority w:val="0"/>
    <w:rPr>
      <w:rFonts w:hint="eastAsia" w:ascii="宋体" w:hAnsi="宋体" w:eastAsia="宋体" w:cs="宋体"/>
      <w:color w:val="000000"/>
      <w:sz w:val="24"/>
      <w:szCs w:val="24"/>
      <w:u w:val="none"/>
    </w:rPr>
  </w:style>
  <w:style w:type="character" w:customStyle="1" w:styleId="170">
    <w:name w:val="标题 1 Char1"/>
    <w:basedOn w:val="43"/>
    <w:qFormat/>
    <w:uiPriority w:val="0"/>
    <w:rPr>
      <w:rFonts w:asciiTheme="minorHAnsi" w:hAnsiTheme="minorHAnsi" w:eastAsiaTheme="minorEastAsia" w:cstheme="minorBidi"/>
      <w:b/>
      <w:bCs/>
      <w:kern w:val="44"/>
      <w:sz w:val="44"/>
      <w:szCs w:val="44"/>
    </w:rPr>
  </w:style>
  <w:style w:type="character" w:customStyle="1" w:styleId="171">
    <w:name w:val="标题 2 Char1"/>
    <w:basedOn w:val="43"/>
    <w:semiHidden/>
    <w:qFormat/>
    <w:uiPriority w:val="0"/>
    <w:rPr>
      <w:rFonts w:asciiTheme="majorHAnsi" w:hAnsiTheme="majorHAnsi" w:eastAsiaTheme="majorEastAsia" w:cstheme="majorBidi"/>
      <w:b/>
      <w:bCs/>
      <w:kern w:val="2"/>
      <w:sz w:val="32"/>
      <w:szCs w:val="32"/>
    </w:rPr>
  </w:style>
  <w:style w:type="character" w:customStyle="1" w:styleId="172">
    <w:name w:val="标题 3 Char1"/>
    <w:basedOn w:val="43"/>
    <w:semiHidden/>
    <w:qFormat/>
    <w:uiPriority w:val="0"/>
    <w:rPr>
      <w:rFonts w:asciiTheme="minorHAnsi" w:hAnsiTheme="minorHAnsi" w:eastAsiaTheme="minorEastAsia" w:cstheme="minorBidi"/>
      <w:b/>
      <w:bCs/>
      <w:kern w:val="2"/>
      <w:sz w:val="32"/>
      <w:szCs w:val="32"/>
    </w:rPr>
  </w:style>
  <w:style w:type="character" w:customStyle="1" w:styleId="173">
    <w:name w:val="标题 4 Char1"/>
    <w:basedOn w:val="43"/>
    <w:semiHidden/>
    <w:qFormat/>
    <w:uiPriority w:val="0"/>
    <w:rPr>
      <w:rFonts w:asciiTheme="majorHAnsi" w:hAnsiTheme="majorHAnsi" w:eastAsiaTheme="majorEastAsia" w:cstheme="majorBidi"/>
      <w:b/>
      <w:bCs/>
      <w:kern w:val="2"/>
      <w:sz w:val="28"/>
      <w:szCs w:val="28"/>
    </w:rPr>
  </w:style>
  <w:style w:type="character" w:customStyle="1" w:styleId="174">
    <w:name w:val="标题 5 Char1"/>
    <w:basedOn w:val="43"/>
    <w:semiHidden/>
    <w:qFormat/>
    <w:uiPriority w:val="0"/>
    <w:rPr>
      <w:rFonts w:asciiTheme="minorHAnsi" w:hAnsiTheme="minorHAnsi" w:eastAsiaTheme="minorEastAsia" w:cstheme="minorBidi"/>
      <w:b/>
      <w:bCs/>
      <w:kern w:val="2"/>
      <w:sz w:val="28"/>
      <w:szCs w:val="28"/>
    </w:rPr>
  </w:style>
  <w:style w:type="character" w:customStyle="1" w:styleId="175">
    <w:name w:val="标题 6 Char1"/>
    <w:basedOn w:val="43"/>
    <w:semiHidden/>
    <w:qFormat/>
    <w:uiPriority w:val="0"/>
    <w:rPr>
      <w:rFonts w:asciiTheme="majorHAnsi" w:hAnsiTheme="majorHAnsi" w:eastAsiaTheme="majorEastAsia" w:cstheme="majorBidi"/>
      <w:b/>
      <w:bCs/>
      <w:kern w:val="2"/>
      <w:sz w:val="24"/>
      <w:szCs w:val="24"/>
    </w:rPr>
  </w:style>
  <w:style w:type="character" w:customStyle="1" w:styleId="176">
    <w:name w:val="标题 7 Char1"/>
    <w:basedOn w:val="43"/>
    <w:semiHidden/>
    <w:qFormat/>
    <w:uiPriority w:val="0"/>
    <w:rPr>
      <w:rFonts w:asciiTheme="minorHAnsi" w:hAnsiTheme="minorHAnsi" w:eastAsiaTheme="minorEastAsia" w:cstheme="minorBidi"/>
      <w:b/>
      <w:bCs/>
      <w:kern w:val="2"/>
      <w:sz w:val="24"/>
      <w:szCs w:val="24"/>
    </w:rPr>
  </w:style>
  <w:style w:type="character" w:customStyle="1" w:styleId="177">
    <w:name w:val="标题 8 Char1"/>
    <w:basedOn w:val="43"/>
    <w:semiHidden/>
    <w:qFormat/>
    <w:uiPriority w:val="0"/>
    <w:rPr>
      <w:rFonts w:asciiTheme="majorHAnsi" w:hAnsiTheme="majorHAnsi" w:eastAsiaTheme="majorEastAsia" w:cstheme="majorBidi"/>
      <w:kern w:val="2"/>
      <w:sz w:val="24"/>
      <w:szCs w:val="24"/>
    </w:rPr>
  </w:style>
  <w:style w:type="character" w:customStyle="1" w:styleId="178">
    <w:name w:val="标题 9 Char1"/>
    <w:basedOn w:val="43"/>
    <w:semiHidden/>
    <w:qFormat/>
    <w:uiPriority w:val="0"/>
    <w:rPr>
      <w:rFonts w:asciiTheme="majorHAnsi" w:hAnsiTheme="majorHAnsi" w:eastAsiaTheme="majorEastAsia" w:cstheme="majorBidi"/>
      <w:kern w:val="2"/>
      <w:sz w:val="21"/>
      <w:szCs w:val="21"/>
    </w:rPr>
  </w:style>
  <w:style w:type="paragraph" w:customStyle="1" w:styleId="179">
    <w:name w:val="列出段落11"/>
    <w:basedOn w:val="1"/>
    <w:qFormat/>
    <w:uiPriority w:val="99"/>
    <w:pPr>
      <w:ind w:firstLine="420" w:firstLineChars="200"/>
    </w:pPr>
    <w:rPr>
      <w:rFonts w:ascii="Calibri" w:hAnsi="Calibri" w:eastAsia="宋体" w:cs="Times New Roman"/>
    </w:rPr>
  </w:style>
  <w:style w:type="paragraph" w:customStyle="1" w:styleId="180">
    <w:name w:val="Body text|21"/>
    <w:basedOn w:val="1"/>
    <w:qFormat/>
    <w:uiPriority w:val="0"/>
    <w:pPr>
      <w:shd w:val="clear" w:color="auto" w:fill="FFFFFF"/>
      <w:spacing w:before="500" w:after="240" w:line="220" w:lineRule="exact"/>
      <w:jc w:val="distribute"/>
    </w:pPr>
    <w:rPr>
      <w:rFonts w:ascii="PMingLiU" w:hAnsi="PMingLiU" w:eastAsia="PMingLiU" w:cs="PMingLiU"/>
      <w:sz w:val="22"/>
    </w:rPr>
  </w:style>
  <w:style w:type="character" w:customStyle="1" w:styleId="181">
    <w:name w:val="Body text|2 + Bold"/>
    <w:qFormat/>
    <w:uiPriority w:val="0"/>
    <w:rPr>
      <w:rFonts w:hint="default" w:ascii="PMingLiU" w:hAnsi="PMingLiU" w:eastAsia="PMingLiU" w:cs="PMingLiU"/>
      <w:b/>
      <w:color w:val="000000"/>
      <w:spacing w:val="0"/>
      <w:w w:val="100"/>
      <w:position w:val="0"/>
      <w:sz w:val="22"/>
      <w:szCs w:val="22"/>
      <w:u w:val="none"/>
      <w:lang w:val="zh-CN" w:eastAsia="zh-CN" w:bidi="zh-CN"/>
    </w:rPr>
  </w:style>
  <w:style w:type="table" w:customStyle="1" w:styleId="182">
    <w:name w:val="网格型1"/>
    <w:basedOn w:val="41"/>
    <w:qFormat/>
    <w:uiPriority w:val="59"/>
    <w:rPr>
      <w:rFonts w:ascii="Times New Roman" w:hAnsi="Times New Roman" w:eastAsia="微软雅黑"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3">
    <w:name w:val="网格型11"/>
    <w:basedOn w:val="4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4">
    <w:name w:val="TOC 标题1"/>
    <w:basedOn w:val="3"/>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paragraph" w:customStyle="1" w:styleId="18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列表段落1"/>
    <w:basedOn w:val="1"/>
    <w:qFormat/>
    <w:uiPriority w:val="0"/>
    <w:pPr>
      <w:ind w:firstLine="420" w:firstLineChars="200"/>
    </w:pPr>
    <w:rPr>
      <w:rFonts w:ascii="Calibri" w:hAnsi="Calibri" w:eastAsia="宋体" w:cs="Times New Roman"/>
    </w:rPr>
  </w:style>
  <w:style w:type="paragraph" w:customStyle="1" w:styleId="187">
    <w:name w:val="TOC 标题11"/>
    <w:basedOn w:val="3"/>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table" w:customStyle="1" w:styleId="188">
    <w:name w:val="网格型2"/>
    <w:basedOn w:val="41"/>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WPSOffice手动目录 1"/>
    <w:qFormat/>
    <w:uiPriority w:val="0"/>
    <w:pPr>
      <w:ind w:leftChars="0"/>
    </w:pPr>
    <w:rPr>
      <w:rFonts w:asciiTheme="minorHAnsi" w:hAnsiTheme="minorHAnsi" w:eastAsiaTheme="minorEastAsia" w:cstheme="minorBidi"/>
      <w:sz w:val="20"/>
      <w:szCs w:val="20"/>
    </w:rPr>
  </w:style>
  <w:style w:type="paragraph" w:customStyle="1" w:styleId="190">
    <w:name w:val="WPSOffice手动目录 2"/>
    <w:qFormat/>
    <w:uiPriority w:val="0"/>
    <w:pPr>
      <w:ind w:leftChars="200"/>
    </w:pPr>
    <w:rPr>
      <w:rFonts w:asciiTheme="minorHAnsi" w:hAnsiTheme="minorHAnsi" w:eastAsiaTheme="minorEastAsia" w:cstheme="minorBidi"/>
      <w:sz w:val="20"/>
      <w:szCs w:val="20"/>
    </w:rPr>
  </w:style>
  <w:style w:type="character" w:customStyle="1" w:styleId="191">
    <w:name w:val="NormalCharacter"/>
    <w:link w:val="1"/>
    <w:qFormat/>
    <w:uiPriority w:val="0"/>
    <w:rPr>
      <w:rFonts w:asciiTheme="minorHAnsi" w:hAnsiTheme="minorHAnsi" w:eastAsiaTheme="minorEastAsia" w:cstheme="minorBidi"/>
      <w:kern w:val="2"/>
      <w:sz w:val="21"/>
      <w:szCs w:val="22"/>
      <w:lang w:val="en-US" w:eastAsia="zh-CN" w:bidi="ar-SA"/>
    </w:rPr>
  </w:style>
  <w:style w:type="paragraph" w:customStyle="1" w:styleId="192">
    <w:name w:val="Heading2"/>
    <w:basedOn w:val="1"/>
    <w:next w:val="1"/>
    <w:qFormat/>
    <w:uiPriority w:val="0"/>
    <w:pPr>
      <w:keepNext/>
      <w:keepLines/>
      <w:spacing w:before="260" w:after="260" w:line="416" w:lineRule="auto"/>
      <w:jc w:val="both"/>
      <w:textAlignment w:val="baseline"/>
    </w:pPr>
    <w:rPr>
      <w:rFonts w:ascii="Arial" w:hAnsi="Arial"/>
      <w:b/>
      <w:kern w:val="2"/>
      <w:sz w:val="32"/>
      <w:szCs w:val="32"/>
      <w:lang w:val="en-US" w:eastAsia="zh-CN" w:bidi="ar-SA"/>
    </w:rPr>
  </w:style>
  <w:style w:type="paragraph" w:customStyle="1" w:styleId="193">
    <w:name w:val="179"/>
    <w:basedOn w:val="1"/>
    <w:qFormat/>
    <w:uiPriority w:val="0"/>
    <w:pPr>
      <w:spacing w:line="360" w:lineRule="auto"/>
      <w:ind w:firstLine="420" w:firstLineChars="200"/>
      <w:jc w:val="both"/>
      <w:textAlignment w:val="baseline"/>
    </w:pPr>
  </w:style>
  <w:style w:type="paragraph" w:customStyle="1" w:styleId="194">
    <w:name w:val="Heading3"/>
    <w:next w:val="195"/>
    <w:qFormat/>
    <w:uiPriority w:val="0"/>
    <w:pPr>
      <w:keepNext/>
      <w:keepLines/>
      <w:spacing w:before="260" w:after="260" w:line="360" w:lineRule="auto"/>
      <w:ind w:left="1080" w:hanging="720"/>
      <w:jc w:val="both"/>
      <w:textAlignment w:val="baseline"/>
    </w:pPr>
    <w:rPr>
      <w:rFonts w:ascii="Times New Roman" w:hAnsi="Times New Roman" w:eastAsia="宋体" w:cs="Times New Roman"/>
      <w:kern w:val="2"/>
      <w:sz w:val="24"/>
      <w:szCs w:val="20"/>
      <w:lang w:val="en-US" w:eastAsia="zh-CN" w:bidi="ar-SA"/>
    </w:rPr>
  </w:style>
  <w:style w:type="paragraph" w:customStyle="1" w:styleId="195">
    <w:name w:val="UserStyle_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96">
    <w:name w:val="UserStyle_4"/>
    <w:qFormat/>
    <w:uiPriority w:val="0"/>
    <w:pPr>
      <w:jc w:val="both"/>
      <w:textAlignment w:val="baseline"/>
    </w:pPr>
    <w:rPr>
      <w:rFonts w:ascii="Calibri" w:hAnsi="Calibri" w:eastAsia="Calibri" w:cs="Times New Roman"/>
      <w:kern w:val="2"/>
      <w:sz w:val="21"/>
      <w:szCs w:val="24"/>
      <w:lang w:val="en-US" w:eastAsia="zh-CN" w:bidi="ar-SA"/>
    </w:rPr>
  </w:style>
  <w:style w:type="paragraph" w:customStyle="1" w:styleId="197">
    <w:name w:val="Body Text First Indent 2"/>
    <w:qFormat/>
    <w:uiPriority w:val="0"/>
    <w:pPr>
      <w:widowControl w:val="0"/>
      <w:spacing w:after="120" w:line="360" w:lineRule="auto"/>
      <w:ind w:left="420" w:leftChars="200" w:firstLine="420" w:firstLineChars="200"/>
      <w:jc w:val="both"/>
    </w:pPr>
    <w:rPr>
      <w:rFonts w:ascii="Times New Roman" w:hAnsi="Times New Roman" w:eastAsia="宋体" w:cs="Times New Roman"/>
      <w:kern w:val="2"/>
      <w:sz w:val="24"/>
      <w:szCs w:val="24"/>
      <w:lang w:val="en-US" w:eastAsia="zh-CN" w:bidi="ar-SA"/>
    </w:rPr>
  </w:style>
  <w:style w:type="paragraph" w:customStyle="1" w:styleId="198">
    <w:name w:val="Normal (Web)"/>
    <w:basedOn w:val="1"/>
    <w:qFormat/>
    <w:uiPriority w:val="0"/>
    <w:pPr>
      <w:widowControl/>
      <w:jc w:val="left"/>
    </w:pPr>
    <w:rPr>
      <w:rFonts w:hint="eastAsia" w:ascii="宋体" w:hAnsi="宋体" w:cs="Times New Roman"/>
      <w:kern w:val="0"/>
      <w:sz w:val="24"/>
    </w:rPr>
  </w:style>
  <w:style w:type="paragraph" w:customStyle="1" w:styleId="199">
    <w:name w:val="Other|1"/>
    <w:basedOn w:val="1"/>
    <w:qFormat/>
    <w:uiPriority w:val="0"/>
    <w:pPr>
      <w:widowControl w:val="0"/>
      <w:shd w:val="clear" w:color="auto" w:fill="auto"/>
      <w:jc w:val="center"/>
    </w:pPr>
    <w:rPr>
      <w:u w:val="none"/>
      <w:shd w:val="clear" w:color="auto" w:fill="auto"/>
    </w:rPr>
  </w:style>
  <w:style w:type="paragraph" w:customStyle="1" w:styleId="200">
    <w:name w:val="TOC1"/>
    <w:basedOn w:val="1"/>
    <w:next w:val="1"/>
    <w:qFormat/>
    <w:uiPriority w:val="0"/>
    <w:pPr>
      <w:spacing w:before="120" w:after="120"/>
      <w:jc w:val="left"/>
    </w:pPr>
    <w:rPr>
      <w:b/>
      <w:bCs/>
      <w:caps/>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32145</Words>
  <Characters>35670</Characters>
  <Lines>210</Lines>
  <Paragraphs>59</Paragraphs>
  <TotalTime>19</TotalTime>
  <ScaleCrop>false</ScaleCrop>
  <LinksUpToDate>false</LinksUpToDate>
  <CharactersWithSpaces>36154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2021-09-03T09:27:00Z</dcterms:created>
  <dc:creator>levovo</dc:creator>
  <cp:lastModifiedBy>Zippo_MM</cp:lastModifiedBy>
  <dcterms:modified xsi:type="dcterms:W3CDTF">2025-02-14T08:37:44Z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4F0AA080BA4C42F898AD8EF134B168B0</vt:lpwstr>
  </property>
  <property fmtid="{D5CDD505-2E9C-101B-9397-08002B2CF9AE}" pid="4" name="KSOTemplateDocerSaveRecord">
    <vt:lpwstr>eyJoZGlkIjoiYTAxMjg4MjYzZDg2NzM1MGZlNTdiZTI1M2FjZTQxNGQiLCJ1c2VySWQiOiIyNTE2Mjk1NjQifQ==</vt:lpwstr>
  </property>
</Properties>
</file>