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E8F58">
      <w:pPr>
        <w:tabs>
          <w:tab w:val="left" w:pos="8222"/>
        </w:tabs>
        <w:spacing w:line="360" w:lineRule="auto"/>
        <w:ind w:right="1493" w:rightChars="622"/>
        <w:jc w:val="center"/>
        <w:rPr>
          <w:rFonts w:ascii="微软雅黑" w:hAnsi="微软雅黑" w:eastAsia="微软雅黑"/>
          <w:b/>
          <w:bCs/>
          <w:color w:val="auto"/>
          <w:sz w:val="44"/>
          <w:szCs w:val="44"/>
        </w:rPr>
      </w:pPr>
      <w:bookmarkStart w:id="551" w:name="_GoBack"/>
      <w:bookmarkEnd w:id="551"/>
    </w:p>
    <w:p w14:paraId="48D06983">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14:paraId="6877D726">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14:paraId="4C8576EF">
      <w:pPr>
        <w:pStyle w:val="11"/>
        <w:jc w:val="center"/>
        <w:rPr>
          <w:color w:val="auto"/>
          <w:sz w:val="36"/>
          <w:szCs w:val="36"/>
        </w:rPr>
      </w:pPr>
    </w:p>
    <w:p w14:paraId="6ED6B8F7">
      <w:pPr>
        <w:pStyle w:val="11"/>
        <w:jc w:val="center"/>
        <w:rPr>
          <w:color w:val="auto"/>
        </w:rPr>
      </w:pPr>
    </w:p>
    <w:p w14:paraId="2340DE6C">
      <w:pPr>
        <w:pStyle w:val="11"/>
        <w:jc w:val="center"/>
        <w:rPr>
          <w:color w:val="auto"/>
        </w:rPr>
      </w:pPr>
    </w:p>
    <w:p w14:paraId="71A11515">
      <w:pPr>
        <w:pStyle w:val="11"/>
        <w:rPr>
          <w:rFonts w:ascii="微软雅黑" w:hAnsi="微软雅黑" w:eastAsia="微软雅黑"/>
          <w:b/>
          <w:color w:val="auto"/>
          <w:sz w:val="32"/>
          <w:szCs w:val="32"/>
        </w:rPr>
      </w:pPr>
    </w:p>
    <w:p w14:paraId="5857CEAB">
      <w:pPr>
        <w:suppressLineNumbers/>
        <w:spacing w:line="360" w:lineRule="auto"/>
        <w:ind w:right="-22" w:rightChars="-9" w:firstLine="1265" w:firstLineChars="35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项目编号：SXZC-2023-000</w:t>
      </w:r>
      <w:r>
        <w:rPr>
          <w:rFonts w:hint="eastAsia" w:ascii="仿宋" w:hAnsi="仿宋" w:eastAsia="仿宋" w:cs="仿宋"/>
          <w:b/>
          <w:bCs/>
          <w:color w:val="auto"/>
          <w:sz w:val="36"/>
          <w:szCs w:val="36"/>
          <w:lang w:val="en-US" w:eastAsia="zh-CN"/>
        </w:rPr>
        <w:t>9</w:t>
      </w:r>
    </w:p>
    <w:p w14:paraId="140088DD">
      <w:pPr>
        <w:ind w:right="-22" w:rightChars="-9" w:firstLine="1261" w:firstLineChars="262"/>
        <w:rPr>
          <w:rFonts w:ascii="仿宋" w:hAnsi="仿宋" w:eastAsia="仿宋" w:cs="仿宋"/>
          <w:b/>
          <w:bCs/>
          <w:color w:val="auto"/>
          <w:sz w:val="36"/>
          <w:szCs w:val="36"/>
        </w:rPr>
      </w:pPr>
      <w:r>
        <w:rPr>
          <w:rFonts w:hint="eastAsia" w:ascii="仿宋" w:hAnsi="仿宋" w:eastAsia="仿宋" w:cs="仿宋"/>
          <w:b/>
          <w:bCs/>
          <w:color w:val="auto"/>
          <w:spacing w:val="60"/>
          <w:kern w:val="0"/>
          <w:sz w:val="36"/>
          <w:szCs w:val="36"/>
          <w:fitText w:val="1800" w:id="1110324916"/>
        </w:rPr>
        <w:t>采购人</w:t>
      </w:r>
      <w:r>
        <w:rPr>
          <w:rFonts w:hint="eastAsia" w:ascii="仿宋" w:hAnsi="仿宋" w:eastAsia="仿宋" w:cs="仿宋"/>
          <w:b/>
          <w:bCs/>
          <w:color w:val="auto"/>
          <w:spacing w:val="0"/>
          <w:kern w:val="0"/>
          <w:sz w:val="36"/>
          <w:szCs w:val="36"/>
          <w:fitText w:val="1800" w:id="1110324916"/>
        </w:rPr>
        <w:t>：</w:t>
      </w:r>
      <w:r>
        <w:rPr>
          <w:rStyle w:val="67"/>
          <w:rFonts w:hint="eastAsia" w:ascii="仿宋" w:hAnsi="仿宋" w:eastAsia="仿宋" w:cs="仿宋"/>
          <w:b/>
          <w:bCs w:val="0"/>
          <w:color w:val="auto"/>
          <w:sz w:val="36"/>
          <w:szCs w:val="36"/>
          <w:lang w:val="en-US" w:eastAsia="zh-CN"/>
        </w:rPr>
        <w:t>随县人民医院</w:t>
      </w:r>
    </w:p>
    <w:p w14:paraId="33ED9609">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项目名称：</w:t>
      </w:r>
      <w:r>
        <w:rPr>
          <w:rStyle w:val="67"/>
          <w:rFonts w:hint="eastAsia" w:ascii="仿宋" w:hAnsi="仿宋" w:eastAsia="仿宋" w:cs="仿宋"/>
          <w:b/>
          <w:bCs w:val="0"/>
          <w:color w:val="auto"/>
          <w:sz w:val="36"/>
          <w:szCs w:val="36"/>
          <w:lang w:val="en-US" w:eastAsia="zh-CN"/>
        </w:rPr>
        <w:t>随县人民医院物业公司保洁保安项目</w:t>
      </w:r>
    </w:p>
    <w:p w14:paraId="5F68A171">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14:paraId="5C9B4D53">
      <w:pPr>
        <w:pStyle w:val="11"/>
        <w:jc w:val="center"/>
        <w:rPr>
          <w:rFonts w:ascii="微软雅黑" w:hAnsi="微软雅黑" w:eastAsia="微软雅黑"/>
          <w:b/>
          <w:color w:val="auto"/>
          <w:sz w:val="32"/>
          <w:szCs w:val="32"/>
        </w:rPr>
      </w:pPr>
    </w:p>
    <w:p w14:paraId="090BD4EC">
      <w:pPr>
        <w:pStyle w:val="11"/>
        <w:jc w:val="center"/>
        <w:rPr>
          <w:rFonts w:ascii="微软雅黑" w:hAnsi="微软雅黑" w:eastAsia="微软雅黑"/>
          <w:b/>
          <w:color w:val="auto"/>
          <w:sz w:val="32"/>
          <w:szCs w:val="32"/>
        </w:rPr>
      </w:pPr>
    </w:p>
    <w:p w14:paraId="45D26F98">
      <w:pPr>
        <w:pStyle w:val="11"/>
        <w:rPr>
          <w:rFonts w:ascii="微软雅黑" w:hAnsi="微软雅黑" w:eastAsia="微软雅黑"/>
          <w:b/>
          <w:color w:val="auto"/>
          <w:sz w:val="32"/>
          <w:szCs w:val="32"/>
        </w:rPr>
      </w:pPr>
    </w:p>
    <w:p w14:paraId="66299237">
      <w:pPr>
        <w:pStyle w:val="11"/>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14:paraId="4FEB70E1">
      <w:pPr>
        <w:pStyle w:val="11"/>
        <w:jc w:val="center"/>
        <w:rPr>
          <w:rFonts w:ascii="仿宋" w:hAnsi="仿宋" w:eastAsia="仿宋" w:cs="仿宋"/>
          <w:b/>
          <w:bCs/>
          <w:color w:val="auto"/>
          <w:sz w:val="36"/>
          <w:szCs w:val="36"/>
        </w:rPr>
      </w:pPr>
    </w:p>
    <w:p w14:paraId="2E7437C8">
      <w:pPr>
        <w:pStyle w:val="20"/>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14:paraId="39393D5D">
      <w:pPr>
        <w:pStyle w:val="11"/>
        <w:jc w:val="center"/>
        <w:rPr>
          <w:rFonts w:ascii="微软雅黑" w:hAnsi="微软雅黑" w:eastAsia="微软雅黑"/>
          <w:b/>
          <w:color w:val="auto"/>
          <w:sz w:val="36"/>
          <w:szCs w:val="36"/>
        </w:rPr>
      </w:pPr>
    </w:p>
    <w:p w14:paraId="29748F2D">
      <w:pPr>
        <w:rPr>
          <w:rFonts w:ascii="微软雅黑" w:hAnsi="微软雅黑" w:eastAsia="微软雅黑"/>
          <w:b/>
          <w:color w:val="auto"/>
          <w:sz w:val="36"/>
          <w:szCs w:val="36"/>
        </w:rPr>
      </w:pPr>
    </w:p>
    <w:p w14:paraId="6F633560">
      <w:pPr>
        <w:pStyle w:val="11"/>
        <w:jc w:val="center"/>
        <w:rPr>
          <w:color w:val="auto"/>
        </w:rPr>
      </w:pPr>
    </w:p>
    <w:p w14:paraId="13683082">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14:paraId="5BCCA673">
      <w:pPr>
        <w:pStyle w:val="15"/>
        <w:ind w:left="840"/>
        <w:rPr>
          <w:color w:val="auto"/>
          <w:lang w:val="zh-CN"/>
        </w:rPr>
      </w:pPr>
    </w:p>
    <w:p w14:paraId="39852A84">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14:paraId="3C50453C">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09F8CE95">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14:paraId="5E769B54">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14:paraId="2EDA45A0">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14:paraId="5AB5887F">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3E63EF79">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14:paraId="5E51F912">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14:paraId="479672CB">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14:paraId="27DFF464">
      <w:pPr>
        <w:pStyle w:val="11"/>
        <w:jc w:val="center"/>
        <w:rPr>
          <w:color w:val="auto"/>
        </w:rPr>
      </w:pPr>
    </w:p>
    <w:p w14:paraId="1ABE9B5F">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14:paraId="680F2578">
      <w:pPr>
        <w:tabs>
          <w:tab w:val="left" w:pos="8222"/>
        </w:tabs>
        <w:wordWrap w:val="0"/>
        <w:spacing w:line="360" w:lineRule="auto"/>
        <w:ind w:right="1492" w:rightChars="622"/>
        <w:jc w:val="left"/>
        <w:rPr>
          <w:bCs/>
          <w:color w:val="auto"/>
          <w:sz w:val="36"/>
          <w:szCs w:val="24"/>
        </w:rPr>
      </w:pPr>
    </w:p>
    <w:p w14:paraId="39C7140A">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14:paraId="6386ED10">
      <w:pPr>
        <w:tabs>
          <w:tab w:val="left" w:pos="8222"/>
        </w:tabs>
        <w:wordWrap w:val="0"/>
        <w:spacing w:line="360" w:lineRule="auto"/>
        <w:ind w:right="1492" w:rightChars="622"/>
        <w:jc w:val="left"/>
        <w:rPr>
          <w:b/>
          <w:bCs/>
          <w:color w:val="auto"/>
          <w:sz w:val="72"/>
          <w:szCs w:val="72"/>
        </w:rPr>
      </w:pPr>
    </w:p>
    <w:p w14:paraId="725B45EA">
      <w:pPr>
        <w:tabs>
          <w:tab w:val="left" w:pos="8222"/>
        </w:tabs>
        <w:spacing w:line="360" w:lineRule="auto"/>
        <w:jc w:val="center"/>
        <w:rPr>
          <w:b/>
          <w:bCs/>
          <w:color w:val="auto"/>
          <w:sz w:val="84"/>
          <w:szCs w:val="84"/>
        </w:rPr>
      </w:pPr>
      <w:r>
        <w:rPr>
          <w:rFonts w:hint="eastAsia"/>
          <w:b/>
          <w:bCs/>
          <w:color w:val="auto"/>
          <w:sz w:val="84"/>
          <w:szCs w:val="84"/>
        </w:rPr>
        <w:t>竞争性磋商文件</w:t>
      </w:r>
    </w:p>
    <w:p w14:paraId="6B7FD4B3">
      <w:pPr>
        <w:tabs>
          <w:tab w:val="left" w:pos="8222"/>
        </w:tabs>
        <w:wordWrap w:val="0"/>
        <w:spacing w:line="360" w:lineRule="auto"/>
        <w:ind w:right="1492" w:rightChars="622"/>
        <w:rPr>
          <w:bCs/>
          <w:color w:val="auto"/>
          <w:sz w:val="36"/>
          <w:szCs w:val="24"/>
        </w:rPr>
      </w:pPr>
    </w:p>
    <w:p w14:paraId="389EA233">
      <w:pPr>
        <w:tabs>
          <w:tab w:val="left" w:pos="8222"/>
        </w:tabs>
        <w:wordWrap w:val="0"/>
        <w:spacing w:line="360" w:lineRule="auto"/>
        <w:ind w:right="1492" w:rightChars="622"/>
        <w:rPr>
          <w:bCs/>
          <w:color w:val="auto"/>
          <w:sz w:val="36"/>
          <w:szCs w:val="24"/>
        </w:rPr>
      </w:pPr>
    </w:p>
    <w:p w14:paraId="05A2EA11">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14:paraId="5B858615">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14:paraId="261279C6">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14:paraId="3B090745">
      <w:pPr>
        <w:wordWrap w:val="0"/>
        <w:spacing w:line="360" w:lineRule="auto"/>
        <w:ind w:right="1492" w:rightChars="622"/>
        <w:rPr>
          <w:color w:val="auto"/>
          <w:sz w:val="28"/>
          <w:szCs w:val="28"/>
        </w:rPr>
      </w:pPr>
    </w:p>
    <w:p w14:paraId="059C46F6">
      <w:pPr>
        <w:wordWrap w:val="0"/>
        <w:spacing w:line="360" w:lineRule="auto"/>
        <w:ind w:right="1492" w:rightChars="622"/>
        <w:rPr>
          <w:color w:val="auto"/>
          <w:sz w:val="28"/>
          <w:szCs w:val="28"/>
        </w:rPr>
      </w:pPr>
    </w:p>
    <w:p w14:paraId="2156988E">
      <w:pPr>
        <w:wordWrap w:val="0"/>
        <w:spacing w:line="360" w:lineRule="auto"/>
        <w:ind w:right="1492" w:rightChars="622"/>
        <w:rPr>
          <w:color w:val="auto"/>
          <w:sz w:val="28"/>
          <w:szCs w:val="28"/>
        </w:rPr>
      </w:pPr>
    </w:p>
    <w:p w14:paraId="5BB45118">
      <w:pPr>
        <w:pStyle w:val="11"/>
        <w:tabs>
          <w:tab w:val="left" w:pos="1418"/>
          <w:tab w:val="left" w:pos="1560"/>
        </w:tabs>
        <w:wordWrap w:val="0"/>
        <w:spacing w:line="360" w:lineRule="auto"/>
        <w:rPr>
          <w:color w:val="auto"/>
          <w:sz w:val="28"/>
          <w:szCs w:val="28"/>
        </w:rPr>
      </w:pPr>
    </w:p>
    <w:p w14:paraId="43A964B8">
      <w:pPr>
        <w:pStyle w:val="11"/>
        <w:spacing w:line="360" w:lineRule="auto"/>
        <w:jc w:val="center"/>
        <w:rPr>
          <w:color w:val="auto"/>
          <w:sz w:val="28"/>
          <w:szCs w:val="28"/>
        </w:rPr>
      </w:pPr>
    </w:p>
    <w:p w14:paraId="6A5E1DFC">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14:paraId="1F14E9D4">
      <w:pPr>
        <w:wordWrap w:val="0"/>
        <w:spacing w:line="360" w:lineRule="auto"/>
        <w:jc w:val="center"/>
        <w:rPr>
          <w:b/>
          <w:color w:val="auto"/>
          <w:sz w:val="28"/>
          <w:szCs w:val="28"/>
        </w:rPr>
      </w:pPr>
    </w:p>
    <w:p w14:paraId="274BA24C">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14:paraId="4FB08DAA">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94492"/>
      <w:bookmarkStart w:id="1" w:name="_Toc511889414"/>
    </w:p>
    <w:p w14:paraId="6B580A03">
      <w:pPr>
        <w:wordWrap w:val="0"/>
        <w:spacing w:line="360" w:lineRule="auto"/>
        <w:jc w:val="center"/>
        <w:rPr>
          <w:color w:val="auto"/>
          <w:sz w:val="28"/>
          <w:szCs w:val="28"/>
        </w:rPr>
      </w:pPr>
    </w:p>
    <w:p w14:paraId="0161D60F">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14:paraId="392DB18B">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6"/>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1</w:t>
          </w:r>
          <w:r>
            <w:rPr>
              <w:color w:val="auto"/>
            </w:rPr>
            <w:fldChar w:fldCharType="end"/>
          </w:r>
          <w:r>
            <w:rPr>
              <w:color w:val="auto"/>
            </w:rPr>
            <w:fldChar w:fldCharType="end"/>
          </w:r>
        </w:p>
        <w:p w14:paraId="1DB7B916">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6"/>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磋商须知</w:t>
          </w:r>
          <w:r>
            <w:rPr>
              <w:color w:val="auto"/>
            </w:rPr>
            <w:tab/>
          </w:r>
          <w:r>
            <w:rPr>
              <w:color w:val="auto"/>
            </w:rPr>
            <w:fldChar w:fldCharType="begin"/>
          </w:r>
          <w:r>
            <w:rPr>
              <w:color w:val="auto"/>
            </w:rPr>
            <w:instrText xml:space="preserve"> PAGEREF _Toc122527524 \h </w:instrText>
          </w:r>
          <w:r>
            <w:rPr>
              <w:color w:val="auto"/>
            </w:rPr>
            <w:fldChar w:fldCharType="separate"/>
          </w:r>
          <w:r>
            <w:rPr>
              <w:color w:val="auto"/>
            </w:rPr>
            <w:t>5</w:t>
          </w:r>
          <w:r>
            <w:rPr>
              <w:color w:val="auto"/>
            </w:rPr>
            <w:fldChar w:fldCharType="end"/>
          </w:r>
          <w:r>
            <w:rPr>
              <w:color w:val="auto"/>
            </w:rPr>
            <w:fldChar w:fldCharType="end"/>
          </w:r>
        </w:p>
        <w:p w14:paraId="77055713">
          <w:pPr>
            <w:pStyle w:val="26"/>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6"/>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57972D31">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6"/>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总</w:t>
          </w:r>
          <w:r>
            <w:rPr>
              <w:rStyle w:val="36"/>
              <w:color w:val="auto"/>
              <w:lang w:val="zh-CN"/>
            </w:rPr>
            <w:t xml:space="preserve">  </w:t>
          </w:r>
          <w:r>
            <w:rPr>
              <w:rStyle w:val="36"/>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14:paraId="599AEE2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"_Toc122527527" </w:instrText>
          </w:r>
          <w:r>
            <w:rPr>
              <w:color w:val="auto"/>
            </w:rPr>
            <w:fldChar w:fldCharType="separate"/>
          </w:r>
          <w:r>
            <w:rPr>
              <w:rStyle w:val="36"/>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14:paraId="23F5B62B">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"_Toc122527528" </w:instrText>
          </w:r>
          <w:r>
            <w:rPr>
              <w:color w:val="auto"/>
            </w:rPr>
            <w:fldChar w:fldCharType="separate"/>
          </w:r>
          <w:r>
            <w:rPr>
              <w:rStyle w:val="36"/>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14:paraId="6565CC7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"_Toc122527529" </w:instrText>
          </w:r>
          <w:r>
            <w:rPr>
              <w:color w:val="auto"/>
            </w:rPr>
            <w:fldChar w:fldCharType="separate"/>
          </w:r>
          <w:r>
            <w:rPr>
              <w:rStyle w:val="36"/>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14:paraId="1AF6E39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"_Toc122527530" </w:instrText>
          </w:r>
          <w:r>
            <w:rPr>
              <w:color w:val="auto"/>
            </w:rPr>
            <w:fldChar w:fldCharType="separate"/>
          </w:r>
          <w:r>
            <w:rPr>
              <w:rStyle w:val="36"/>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14:paraId="33C9FB3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"_Toc122527531" </w:instrText>
          </w:r>
          <w:r>
            <w:rPr>
              <w:color w:val="auto"/>
            </w:rPr>
            <w:fldChar w:fldCharType="separate"/>
          </w:r>
          <w:r>
            <w:rPr>
              <w:rStyle w:val="36"/>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6"/>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14:paraId="184935A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"_Toc122527532" </w:instrText>
          </w:r>
          <w:r>
            <w:rPr>
              <w:color w:val="auto"/>
            </w:rPr>
            <w:fldChar w:fldCharType="separate"/>
          </w:r>
          <w:r>
            <w:rPr>
              <w:rStyle w:val="36"/>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14:paraId="623F49E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"_Toc122527533" </w:instrText>
          </w:r>
          <w:r>
            <w:rPr>
              <w:color w:val="auto"/>
            </w:rPr>
            <w:fldChar w:fldCharType="separate"/>
          </w:r>
          <w:r>
            <w:rPr>
              <w:rStyle w:val="36"/>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6"/>
              <w:rFonts w:hint="eastAsia"/>
              <w:color w:val="auto"/>
              <w:lang w:val="zh-CN"/>
            </w:rPr>
            <w:t>其</w:t>
          </w:r>
          <w:r>
            <w:rPr>
              <w:rStyle w:val="36"/>
              <w:color w:val="auto"/>
              <w:lang w:val="zh-CN"/>
            </w:rPr>
            <w:t xml:space="preserve">  </w:t>
          </w:r>
          <w:r>
            <w:rPr>
              <w:rStyle w:val="36"/>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14:paraId="12EE5239">
          <w:pPr>
            <w:pStyle w:val="23"/>
            <w:tabs>
              <w:tab w:val="left" w:pos="1050"/>
              <w:tab w:val="right" w:leader="dot" w:pos="9514"/>
            </w:tabs>
            <w:rPr>
              <w:rFonts w:hint="eastAsia"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"_Toc122527534" </w:instrText>
          </w:r>
          <w:r>
            <w:rPr>
              <w:color w:val="auto"/>
            </w:rPr>
            <w:fldChar w:fldCharType="separate"/>
          </w:r>
          <w:r>
            <w:rPr>
              <w:rStyle w:val="36"/>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6"/>
              <w:rFonts w:hint="eastAsia" w:eastAsiaTheme="minorEastAsia"/>
              <w:color w:val="auto"/>
              <w:lang w:val="en-US" w:eastAsia="zh-CN"/>
            </w:rPr>
            <w:t>服务技术标准及要求</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4E1470B5">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"_Toc122527535" </w:instrText>
          </w:r>
          <w:r>
            <w:rPr>
              <w:color w:val="auto"/>
            </w:rP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val="en-US" w:eastAsia="zh-CN"/>
            </w:rPr>
            <w:t>项目概况</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48C477E0">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"_Toc122527536"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1"/>
              <w:szCs w:val="21"/>
              <w:lang w:val="en-US" w:eastAsia="zh-CN" w:bidi="ar"/>
            </w:rPr>
            <w:t>随县人民医院保洁、保安范围</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5206044F">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"_Toc122527537" </w:instrText>
          </w:r>
          <w:r>
            <w:rPr>
              <w:color w:val="auto"/>
            </w:rP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lang w:val="en-US" w:eastAsia="zh-CN" w:bidi="ar"/>
            </w:rPr>
            <w:t>随县人民医院保洁、保安要求</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14:paraId="2D73EDDE">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zh-CN"/>
            </w:rPr>
            <w:t>四、</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派遣人员服务范围及要求</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14:paraId="2E04CBAD">
          <w:pPr>
            <w:pStyle w:val="26"/>
            <w:tabs>
              <w:tab w:val="left" w:pos="1260"/>
              <w:tab w:val="right" w:leader="dot" w:pos="9514"/>
            </w:tabs>
            <w:ind w:firstLine="480"/>
            <w:rPr>
              <w:rFonts w:hint="eastAsia" w:eastAsia="宋体"/>
              <w:color w:val="auto"/>
              <w:lang w:val="en-US" w:eastAsia="zh-CN"/>
            </w:rPr>
          </w:pPr>
          <w:r>
            <w:rPr>
              <w:color w:val="auto"/>
            </w:rPr>
            <w:fldChar w:fldCharType="begin"/>
          </w:r>
          <w:r>
            <w:rPr>
              <w:color w:val="auto"/>
            </w:rPr>
            <w:instrText xml:space="preserve"> HYPERLINK \l "_Toc122527539" </w:instrText>
          </w:r>
          <w:r>
            <w:rPr>
              <w:color w:val="auto"/>
            </w:rPr>
            <w:fldChar w:fldCharType="separate"/>
          </w:r>
          <w:r>
            <w:rPr>
              <w:rStyle w:val="36"/>
              <w:rFonts w:hint="eastAsia"/>
              <w:color w:val="auto"/>
            </w:rPr>
            <w:t>五、</w:t>
          </w:r>
          <w:r>
            <w:rPr>
              <w:rFonts w:asciiTheme="minorHAnsi" w:hAnsiTheme="minorHAnsi" w:eastAsiaTheme="minorEastAsia" w:cstheme="minorBidi"/>
              <w:bCs w:val="0"/>
              <w:color w:val="auto"/>
              <w:kern w:val="2"/>
              <w:sz w:val="21"/>
              <w:szCs w:val="22"/>
            </w:rPr>
            <w:tab/>
          </w:r>
          <w:r>
            <w:rPr>
              <w:rStyle w:val="67"/>
              <w:rFonts w:hint="eastAsia" w:asciiTheme="minorEastAsia" w:hAnsiTheme="minorEastAsia" w:eastAsiaTheme="minorEastAsia" w:cstheme="minorEastAsia"/>
              <w:b w:val="0"/>
              <w:bCs w:val="0"/>
              <w:color w:val="auto"/>
              <w:sz w:val="24"/>
              <w:szCs w:val="24"/>
            </w:rPr>
            <w:t>保密服务要求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65EAF7F0">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en-US" w:eastAsia="zh-CN"/>
            </w:rPr>
            <w:t>六</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保险</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1ECD25DA">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en-US" w:eastAsia="zh-CN"/>
            </w:rPr>
            <w:t>七</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工资要求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5858F352">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en-US" w:eastAsia="zh-CN"/>
            </w:rPr>
            <w:t>八</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Style w:val="67"/>
              <w:rFonts w:hint="eastAsia" w:asciiTheme="minorEastAsia" w:hAnsiTheme="minorEastAsia" w:eastAsiaTheme="minorEastAsia" w:cstheme="minorEastAsia"/>
              <w:b w:val="0"/>
              <w:bCs w:val="0"/>
              <w:color w:val="auto"/>
              <w:sz w:val="24"/>
              <w:szCs w:val="24"/>
            </w:rPr>
            <w:t>服务方案编制及其他要求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79DCC6A8">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en-US" w:eastAsia="zh-CN"/>
            </w:rPr>
            <w:t>九</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其他要求</w:t>
          </w:r>
          <w:r>
            <w:rPr>
              <w:color w:val="auto"/>
            </w:rPr>
            <w:tab/>
          </w:r>
          <w:r>
            <w:rPr>
              <w:rFonts w:hint="eastAsia"/>
              <w:color w:val="auto"/>
              <w:lang w:val="en-US" w:eastAsia="zh-CN"/>
            </w:rPr>
            <w:t>3</w:t>
          </w:r>
          <w:r>
            <w:rPr>
              <w:color w:val="auto"/>
            </w:rPr>
            <w:fldChar w:fldCharType="end"/>
          </w:r>
          <w:r>
            <w:rPr>
              <w:rFonts w:hint="eastAsia"/>
              <w:color w:val="auto"/>
              <w:lang w:val="en-US" w:eastAsia="zh-CN"/>
            </w:rPr>
            <w:t>5</w:t>
          </w:r>
        </w:p>
        <w:p w14:paraId="432E2C56">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6"/>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评审办法</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37</w:t>
          </w:r>
          <w:r>
            <w:rPr>
              <w:color w:val="auto"/>
            </w:rPr>
            <w:fldChar w:fldCharType="end"/>
          </w:r>
          <w:r>
            <w:rPr>
              <w:color w:val="auto"/>
            </w:rPr>
            <w:fldChar w:fldCharType="end"/>
          </w:r>
        </w:p>
        <w:p w14:paraId="4328C90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"_Toc122527541" </w:instrText>
          </w:r>
          <w:r>
            <w:rPr>
              <w:color w:val="auto"/>
            </w:rP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37</w:t>
          </w:r>
          <w:r>
            <w:rPr>
              <w:color w:val="auto"/>
            </w:rPr>
            <w:fldChar w:fldCharType="end"/>
          </w:r>
          <w:r>
            <w:rPr>
              <w:color w:val="auto"/>
            </w:rPr>
            <w:fldChar w:fldCharType="end"/>
          </w:r>
        </w:p>
        <w:p w14:paraId="5112F3BA">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"_Toc122527542"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37</w:t>
          </w:r>
          <w:r>
            <w:rPr>
              <w:color w:val="auto"/>
            </w:rPr>
            <w:fldChar w:fldCharType="end"/>
          </w:r>
          <w:r>
            <w:rPr>
              <w:color w:val="auto"/>
            </w:rPr>
            <w:fldChar w:fldCharType="end"/>
          </w:r>
        </w:p>
        <w:p w14:paraId="40FAC89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"_Toc122527543" </w:instrText>
          </w:r>
          <w:r>
            <w:rPr>
              <w:color w:val="auto"/>
            </w:rP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41</w:t>
          </w:r>
          <w:r>
            <w:rPr>
              <w:color w:val="auto"/>
            </w:rPr>
            <w:fldChar w:fldCharType="end"/>
          </w:r>
          <w:r>
            <w:rPr>
              <w:color w:val="auto"/>
            </w:rPr>
            <w:fldChar w:fldCharType="end"/>
          </w:r>
        </w:p>
        <w:p w14:paraId="11AB9B94">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"_Toc122527544" </w:instrText>
          </w:r>
          <w:r>
            <w:rPr>
              <w:color w:val="auto"/>
            </w:rPr>
            <w:fldChar w:fldCharType="separate"/>
          </w:r>
          <w:r>
            <w:rPr>
              <w:rStyle w:val="36"/>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合同文本格式（参考）</w:t>
          </w:r>
          <w:r>
            <w:rPr>
              <w:color w:val="auto"/>
            </w:rPr>
            <w:tab/>
          </w:r>
          <w:r>
            <w:rPr>
              <w:color w:val="auto"/>
            </w:rPr>
            <w:fldChar w:fldCharType="begin"/>
          </w:r>
          <w:r>
            <w:rPr>
              <w:color w:val="auto"/>
            </w:rPr>
            <w:instrText xml:space="preserve"> PAGEREF _Toc122527544 \h </w:instrText>
          </w:r>
          <w:r>
            <w:rPr>
              <w:color w:val="auto"/>
            </w:rPr>
            <w:fldChar w:fldCharType="separate"/>
          </w:r>
          <w:r>
            <w:rPr>
              <w:color w:val="auto"/>
            </w:rPr>
            <w:t>44</w:t>
          </w:r>
          <w:r>
            <w:rPr>
              <w:color w:val="auto"/>
            </w:rPr>
            <w:fldChar w:fldCharType="end"/>
          </w:r>
          <w:r>
            <w:rPr>
              <w:color w:val="auto"/>
            </w:rPr>
            <w:fldChar w:fldCharType="end"/>
          </w:r>
        </w:p>
        <w:p w14:paraId="5C0EDD74">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"_Toc122527545" </w:instrText>
          </w:r>
          <w:r>
            <w:rPr>
              <w:color w:val="auto"/>
            </w:rPr>
            <w:fldChar w:fldCharType="separate"/>
          </w:r>
          <w:r>
            <w:rPr>
              <w:rStyle w:val="36"/>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响应文件格式（参考）</w:t>
          </w:r>
          <w:r>
            <w:rPr>
              <w:color w:val="auto"/>
            </w:rPr>
            <w:tab/>
          </w:r>
          <w:r>
            <w:rPr>
              <w:color w:val="auto"/>
            </w:rPr>
            <w:fldChar w:fldCharType="begin"/>
          </w:r>
          <w:r>
            <w:rPr>
              <w:color w:val="auto"/>
            </w:rPr>
            <w:instrText xml:space="preserve"> PAGEREF _Toc122527545 \h </w:instrText>
          </w:r>
          <w:r>
            <w:rPr>
              <w:color w:val="auto"/>
            </w:rPr>
            <w:fldChar w:fldCharType="separate"/>
          </w:r>
          <w:r>
            <w:rPr>
              <w:color w:val="auto"/>
            </w:rPr>
            <w:t>49</w:t>
          </w:r>
          <w:r>
            <w:rPr>
              <w:color w:val="auto"/>
            </w:rPr>
            <w:fldChar w:fldCharType="end"/>
          </w:r>
          <w:r>
            <w:rPr>
              <w:color w:val="auto"/>
            </w:rPr>
            <w:fldChar w:fldCharType="end"/>
          </w:r>
        </w:p>
        <w:p w14:paraId="6FB60047">
          <w:pPr>
            <w:pStyle w:val="26"/>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"_Toc122527546" </w:instrText>
          </w:r>
          <w:r>
            <w:rPr>
              <w:color w:val="auto"/>
            </w:rPr>
            <w:fldChar w:fldCharType="separate"/>
          </w:r>
          <w:r>
            <w:rPr>
              <w:rStyle w:val="36"/>
              <w:rFonts w:hint="eastAsia"/>
              <w:color w:val="auto"/>
              <w:lang w:val="zh-CN"/>
            </w:rPr>
            <w:t>目</w:t>
          </w:r>
          <w:r>
            <w:rPr>
              <w:rStyle w:val="36"/>
              <w:color w:val="auto"/>
              <w:lang w:val="zh-CN"/>
            </w:rPr>
            <w:t xml:space="preserve">       </w:t>
          </w:r>
          <w:r>
            <w:rPr>
              <w:rStyle w:val="36"/>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50</w:t>
          </w:r>
          <w:r>
            <w:rPr>
              <w:color w:val="auto"/>
            </w:rPr>
            <w:fldChar w:fldCharType="end"/>
          </w:r>
          <w:r>
            <w:rPr>
              <w:color w:val="auto"/>
            </w:rPr>
            <w:fldChar w:fldCharType="end"/>
          </w:r>
        </w:p>
        <w:p w14:paraId="40D56FB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"_Toc122527547" </w:instrText>
          </w:r>
          <w:r>
            <w:rPr>
              <w:color w:val="auto"/>
            </w:rPr>
            <w:fldChar w:fldCharType="separate"/>
          </w:r>
          <w:r>
            <w:rPr>
              <w:rStyle w:val="36"/>
              <w:rFonts w:hint="eastAsia"/>
              <w:color w:val="auto"/>
            </w:rPr>
            <w:t>一、</w:t>
          </w:r>
          <w:r>
            <w:rPr>
              <w:rFonts w:asciiTheme="minorHAnsi" w:hAnsiTheme="minorHAnsi" w:eastAsiaTheme="minorEastAsia" w:cstheme="minorBidi"/>
              <w:bCs w:val="0"/>
              <w:color w:val="auto"/>
              <w:kern w:val="2"/>
              <w:sz w:val="21"/>
              <w:szCs w:val="22"/>
            </w:rPr>
            <w:tab/>
          </w:r>
          <w:r>
            <w:rPr>
              <w:rStyle w:val="36"/>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51</w:t>
          </w:r>
          <w:r>
            <w:rPr>
              <w:color w:val="auto"/>
            </w:rPr>
            <w:fldChar w:fldCharType="end"/>
          </w:r>
          <w:r>
            <w:rPr>
              <w:color w:val="auto"/>
            </w:rPr>
            <w:fldChar w:fldCharType="end"/>
          </w:r>
        </w:p>
        <w:p w14:paraId="65A70A1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"_Toc122527548"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具备</w:t>
          </w:r>
          <w:r>
            <w:rPr>
              <w:rStyle w:val="36"/>
              <w:rFonts w:hint="eastAsia"/>
              <w:color w:val="auto"/>
            </w:rPr>
            <w:t>《政府采购法》</w:t>
          </w:r>
          <w:r>
            <w:rPr>
              <w:rStyle w:val="36"/>
              <w:rFonts w:hint="eastAsia"/>
              <w:color w:val="auto"/>
              <w:lang w:val="zh-CN"/>
            </w:rPr>
            <w:t>第二十二条第一款规定的条件</w:t>
          </w:r>
          <w:r>
            <w:rPr>
              <w:rStyle w:val="36"/>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52</w:t>
          </w:r>
          <w:r>
            <w:rPr>
              <w:color w:val="auto"/>
            </w:rPr>
            <w:fldChar w:fldCharType="end"/>
          </w:r>
          <w:r>
            <w:rPr>
              <w:color w:val="auto"/>
            </w:rPr>
            <w:fldChar w:fldCharType="end"/>
          </w:r>
        </w:p>
        <w:p w14:paraId="085A0696">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"_Toc122527549" </w:instrText>
          </w:r>
          <w:r>
            <w:rPr>
              <w:color w:val="auto"/>
            </w:rPr>
            <w:fldChar w:fldCharType="separate"/>
          </w:r>
          <w:r>
            <w:rPr>
              <w:rStyle w:val="36"/>
              <w:rFonts w:hint="eastAsia"/>
              <w:color w:val="auto"/>
            </w:rPr>
            <w:t>三、</w:t>
          </w:r>
          <w:r>
            <w:rPr>
              <w:rFonts w:asciiTheme="minorHAnsi" w:hAnsiTheme="minorHAnsi" w:eastAsiaTheme="minorEastAsia" w:cstheme="minorBidi"/>
              <w:bCs w:val="0"/>
              <w:color w:val="auto"/>
              <w:kern w:val="2"/>
              <w:sz w:val="21"/>
              <w:szCs w:val="22"/>
            </w:rPr>
            <w:tab/>
          </w:r>
          <w:r>
            <w:rPr>
              <w:rStyle w:val="36"/>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57</w:t>
          </w:r>
          <w:r>
            <w:rPr>
              <w:color w:val="auto"/>
            </w:rPr>
            <w:fldChar w:fldCharType="end"/>
          </w:r>
          <w:r>
            <w:rPr>
              <w:color w:val="auto"/>
            </w:rPr>
            <w:fldChar w:fldCharType="end"/>
          </w:r>
        </w:p>
        <w:p w14:paraId="516506D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"_Toc122527550" </w:instrText>
          </w:r>
          <w:r>
            <w:rPr>
              <w:color w:val="auto"/>
            </w:rP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58</w:t>
          </w:r>
          <w:r>
            <w:rPr>
              <w:color w:val="auto"/>
            </w:rPr>
            <w:fldChar w:fldCharType="end"/>
          </w:r>
          <w:r>
            <w:rPr>
              <w:color w:val="auto"/>
            </w:rPr>
            <w:fldChar w:fldCharType="end"/>
          </w:r>
        </w:p>
        <w:p w14:paraId="742D791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"_Toc122527551" </w:instrText>
          </w:r>
          <w:r>
            <w:rPr>
              <w:color w:val="auto"/>
            </w:rPr>
            <w:fldChar w:fldCharType="separate"/>
          </w:r>
          <w:r>
            <w:rPr>
              <w:rStyle w:val="36"/>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59</w:t>
          </w:r>
          <w:r>
            <w:rPr>
              <w:color w:val="auto"/>
            </w:rPr>
            <w:fldChar w:fldCharType="end"/>
          </w:r>
          <w:r>
            <w:rPr>
              <w:color w:val="auto"/>
            </w:rPr>
            <w:fldChar w:fldCharType="end"/>
          </w:r>
        </w:p>
        <w:p w14:paraId="7118417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"_Toc122527552" </w:instrText>
          </w:r>
          <w:r>
            <w:rPr>
              <w:color w:val="auto"/>
            </w:rPr>
            <w:fldChar w:fldCharType="separate"/>
          </w:r>
          <w:r>
            <w:rPr>
              <w:rStyle w:val="36"/>
              <w:rFonts w:hint="eastAsia"/>
              <w:color w:val="auto"/>
            </w:rPr>
            <w:t>六、</w:t>
          </w:r>
          <w:r>
            <w:rPr>
              <w:rFonts w:asciiTheme="minorHAnsi" w:hAnsiTheme="minorHAnsi" w:eastAsiaTheme="minorEastAsia" w:cstheme="minorBidi"/>
              <w:bCs w:val="0"/>
              <w:color w:val="auto"/>
              <w:kern w:val="2"/>
              <w:sz w:val="21"/>
              <w:szCs w:val="22"/>
            </w:rPr>
            <w:tab/>
          </w:r>
          <w:r>
            <w:rPr>
              <w:rStyle w:val="36"/>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60</w:t>
          </w:r>
          <w:r>
            <w:rPr>
              <w:color w:val="auto"/>
            </w:rPr>
            <w:fldChar w:fldCharType="end"/>
          </w:r>
          <w:r>
            <w:rPr>
              <w:color w:val="auto"/>
            </w:rPr>
            <w:fldChar w:fldCharType="end"/>
          </w:r>
        </w:p>
        <w:p w14:paraId="58E1294B">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"_Toc122527553" </w:instrText>
          </w:r>
          <w:r>
            <w:rPr>
              <w:color w:val="auto"/>
            </w:rPr>
            <w:fldChar w:fldCharType="separate"/>
          </w:r>
          <w:r>
            <w:rPr>
              <w:rStyle w:val="36"/>
              <w:rFonts w:hint="eastAsia"/>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rPr>
            <w:t>特定</w:t>
          </w:r>
          <w:r>
            <w:rPr>
              <w:rStyle w:val="36"/>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69</w:t>
          </w:r>
          <w:r>
            <w:rPr>
              <w:color w:val="auto"/>
            </w:rPr>
            <w:fldChar w:fldCharType="end"/>
          </w:r>
          <w:r>
            <w:rPr>
              <w:color w:val="auto"/>
            </w:rPr>
            <w:fldChar w:fldCharType="end"/>
          </w:r>
        </w:p>
        <w:p w14:paraId="676F5A6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"_Toc122527554" </w:instrText>
          </w:r>
          <w:r>
            <w:rPr>
              <w:color w:val="auto"/>
            </w:rPr>
            <w:fldChar w:fldCharType="separate"/>
          </w:r>
          <w:r>
            <w:rPr>
              <w:rStyle w:val="36"/>
              <w:rFonts w:hint="eastAsia"/>
              <w:color w:val="auto"/>
              <w:lang w:val="zh-CN"/>
            </w:rPr>
            <w:t>八、</w:t>
          </w:r>
          <w:r>
            <w:rPr>
              <w:rFonts w:asciiTheme="minorHAnsi" w:hAnsiTheme="minorHAnsi" w:eastAsiaTheme="minorEastAsia" w:cstheme="minorBidi"/>
              <w:bCs w:val="0"/>
              <w:color w:val="auto"/>
              <w:kern w:val="2"/>
              <w:sz w:val="21"/>
              <w:szCs w:val="22"/>
            </w:rPr>
            <w:tab/>
          </w:r>
          <w:r>
            <w:rPr>
              <w:rStyle w:val="36"/>
              <w:rFonts w:hint="eastAsia" w:cs="Courier New"/>
              <w:color w:val="auto"/>
            </w:rPr>
            <w:t>供应商认为需要的</w:t>
          </w:r>
          <w:r>
            <w:rPr>
              <w:rStyle w:val="36"/>
              <w:rFonts w:hint="eastAsia"/>
              <w:color w:val="auto"/>
              <w:lang w:val="zh-CN"/>
            </w:rPr>
            <w:t>其它</w:t>
          </w:r>
          <w:r>
            <w:rPr>
              <w:rStyle w:val="36"/>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70</w:t>
          </w:r>
          <w:r>
            <w:rPr>
              <w:color w:val="auto"/>
            </w:rPr>
            <w:fldChar w:fldCharType="end"/>
          </w:r>
          <w:r>
            <w:rPr>
              <w:color w:val="auto"/>
            </w:rPr>
            <w:fldChar w:fldCharType="end"/>
          </w:r>
        </w:p>
        <w:p w14:paraId="775D77B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6"/>
              <w:rFonts w:hint="eastAsia"/>
              <w:color w:val="auto"/>
            </w:rPr>
            <w:t>九、</w:t>
          </w:r>
          <w:r>
            <w:rPr>
              <w:rFonts w:asciiTheme="minorHAnsi" w:hAnsiTheme="minorHAnsi" w:eastAsiaTheme="minorEastAsia" w:cstheme="minorBidi"/>
              <w:bCs w:val="0"/>
              <w:color w:val="auto"/>
              <w:kern w:val="2"/>
              <w:sz w:val="21"/>
              <w:szCs w:val="22"/>
            </w:rPr>
            <w:tab/>
          </w:r>
          <w:r>
            <w:rPr>
              <w:rStyle w:val="36"/>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71</w:t>
          </w:r>
          <w:r>
            <w:rPr>
              <w:color w:val="auto"/>
            </w:rPr>
            <w:fldChar w:fldCharType="end"/>
          </w:r>
          <w:r>
            <w:rPr>
              <w:color w:val="auto"/>
            </w:rPr>
            <w:fldChar w:fldCharType="end"/>
          </w:r>
        </w:p>
        <w:p w14:paraId="1B4295E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6"/>
              <w:rFonts w:hint="eastAsia"/>
              <w:color w:val="auto"/>
            </w:rPr>
            <w:t>十、</w:t>
          </w:r>
          <w:r>
            <w:rPr>
              <w:rFonts w:asciiTheme="minorHAnsi" w:hAnsiTheme="minorHAnsi" w:eastAsiaTheme="minorEastAsia" w:cstheme="minorBidi"/>
              <w:bCs w:val="0"/>
              <w:color w:val="auto"/>
              <w:kern w:val="2"/>
              <w:sz w:val="21"/>
              <w:szCs w:val="22"/>
            </w:rPr>
            <w:tab/>
          </w:r>
          <w:r>
            <w:rPr>
              <w:rStyle w:val="36"/>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72</w:t>
          </w:r>
          <w:r>
            <w:rPr>
              <w:color w:val="auto"/>
            </w:rPr>
            <w:fldChar w:fldCharType="end"/>
          </w:r>
          <w:r>
            <w:rPr>
              <w:color w:val="auto"/>
            </w:rPr>
            <w:fldChar w:fldCharType="end"/>
          </w:r>
        </w:p>
        <w:p w14:paraId="7D36AB45">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"_Toc122527557" </w:instrText>
          </w:r>
          <w:r>
            <w:rPr>
              <w:color w:val="auto"/>
            </w:rPr>
            <w:fldChar w:fldCharType="separate"/>
          </w:r>
          <w:r>
            <w:rPr>
              <w:rStyle w:val="36"/>
              <w:rFonts w:hint="eastAsia"/>
              <w:color w:val="auto"/>
            </w:rPr>
            <w:t>十一、</w:t>
          </w:r>
          <w:r>
            <w:rPr>
              <w:rFonts w:asciiTheme="minorHAnsi" w:hAnsiTheme="minorHAnsi" w:eastAsiaTheme="minorEastAsia" w:cstheme="minorBidi"/>
              <w:bCs w:val="0"/>
              <w:color w:val="auto"/>
              <w:kern w:val="2"/>
              <w:sz w:val="21"/>
              <w:szCs w:val="22"/>
            </w:rPr>
            <w:tab/>
          </w:r>
          <w:r>
            <w:rPr>
              <w:rStyle w:val="36"/>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73</w:t>
          </w:r>
          <w:r>
            <w:rPr>
              <w:color w:val="auto"/>
            </w:rPr>
            <w:fldChar w:fldCharType="end"/>
          </w:r>
          <w:r>
            <w:rPr>
              <w:color w:val="auto"/>
            </w:rPr>
            <w:fldChar w:fldCharType="end"/>
          </w:r>
        </w:p>
        <w:p w14:paraId="6D5B9765">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"_Toc122527558" </w:instrText>
          </w:r>
          <w:r>
            <w:rPr>
              <w:color w:val="auto"/>
            </w:rPr>
            <w:fldChar w:fldCharType="separate"/>
          </w:r>
          <w:r>
            <w:rPr>
              <w:rStyle w:val="36"/>
              <w:rFonts w:hint="eastAsia"/>
              <w:color w:val="auto"/>
            </w:rPr>
            <w:t>十二、</w:t>
          </w:r>
          <w:r>
            <w:rPr>
              <w:rFonts w:asciiTheme="minorHAnsi" w:hAnsiTheme="minorHAnsi" w:eastAsiaTheme="minorEastAsia" w:cstheme="minorBidi"/>
              <w:bCs w:val="0"/>
              <w:color w:val="auto"/>
              <w:kern w:val="2"/>
              <w:sz w:val="21"/>
              <w:szCs w:val="22"/>
            </w:rPr>
            <w:tab/>
          </w:r>
          <w:r>
            <w:rPr>
              <w:rStyle w:val="36"/>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74</w:t>
          </w:r>
          <w:r>
            <w:rPr>
              <w:color w:val="auto"/>
            </w:rPr>
            <w:fldChar w:fldCharType="end"/>
          </w:r>
          <w:r>
            <w:rPr>
              <w:color w:val="auto"/>
            </w:rPr>
            <w:fldChar w:fldCharType="end"/>
          </w:r>
        </w:p>
        <w:p w14:paraId="7E467171">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"_Toc122527559" </w:instrText>
          </w:r>
          <w:r>
            <w:rPr>
              <w:color w:val="auto"/>
            </w:rPr>
            <w:fldChar w:fldCharType="separate"/>
          </w:r>
          <w:r>
            <w:rPr>
              <w:rStyle w:val="36"/>
              <w:rFonts w:hint="eastAsia"/>
              <w:color w:val="auto"/>
            </w:rPr>
            <w:t>十三、</w:t>
          </w:r>
          <w:r>
            <w:rPr>
              <w:rFonts w:asciiTheme="minorHAnsi" w:hAnsiTheme="minorHAnsi" w:eastAsiaTheme="minorEastAsia" w:cstheme="minorBidi"/>
              <w:bCs w:val="0"/>
              <w:color w:val="auto"/>
              <w:kern w:val="2"/>
              <w:sz w:val="21"/>
              <w:szCs w:val="22"/>
            </w:rPr>
            <w:tab/>
          </w:r>
          <w:r>
            <w:rPr>
              <w:rStyle w:val="36"/>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75</w:t>
          </w:r>
          <w:r>
            <w:rPr>
              <w:color w:val="auto"/>
            </w:rPr>
            <w:fldChar w:fldCharType="end"/>
          </w:r>
          <w:r>
            <w:rPr>
              <w:color w:val="auto"/>
            </w:rPr>
            <w:fldChar w:fldCharType="end"/>
          </w:r>
        </w:p>
        <w:p w14:paraId="76A7EFBE">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"_Toc122527560" </w:instrText>
          </w:r>
          <w:r>
            <w:rPr>
              <w:color w:val="auto"/>
            </w:rPr>
            <w:fldChar w:fldCharType="separate"/>
          </w:r>
          <w:r>
            <w:rPr>
              <w:rStyle w:val="36"/>
              <w:rFonts w:hint="eastAsia"/>
              <w:color w:val="auto"/>
            </w:rPr>
            <w:t>十四、</w:t>
          </w:r>
          <w:r>
            <w:rPr>
              <w:rFonts w:asciiTheme="minorHAnsi" w:hAnsiTheme="minorHAnsi" w:eastAsiaTheme="minorEastAsia" w:cstheme="minorBidi"/>
              <w:bCs w:val="0"/>
              <w:color w:val="auto"/>
              <w:kern w:val="2"/>
              <w:sz w:val="21"/>
              <w:szCs w:val="22"/>
            </w:rPr>
            <w:tab/>
          </w:r>
          <w:r>
            <w:rPr>
              <w:rStyle w:val="36"/>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76</w:t>
          </w:r>
          <w:r>
            <w:rPr>
              <w:color w:val="auto"/>
            </w:rPr>
            <w:fldChar w:fldCharType="end"/>
          </w:r>
          <w:r>
            <w:rPr>
              <w:color w:val="auto"/>
            </w:rPr>
            <w:fldChar w:fldCharType="end"/>
          </w:r>
        </w:p>
        <w:p w14:paraId="4B39AF1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"_Toc122527561" </w:instrText>
          </w:r>
          <w:r>
            <w:rPr>
              <w:color w:val="auto"/>
            </w:rPr>
            <w:fldChar w:fldCharType="separate"/>
          </w:r>
          <w:r>
            <w:rPr>
              <w:rStyle w:val="36"/>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76</w:t>
          </w:r>
          <w:r>
            <w:rPr>
              <w:color w:val="auto"/>
            </w:rPr>
            <w:fldChar w:fldCharType="end"/>
          </w:r>
          <w:r>
            <w:rPr>
              <w:color w:val="auto"/>
            </w:rPr>
            <w:fldChar w:fldCharType="end"/>
          </w:r>
        </w:p>
        <w:p w14:paraId="21149232">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"_Toc122527562" </w:instrText>
          </w:r>
          <w:r>
            <w:rPr>
              <w:color w:val="auto"/>
            </w:rPr>
            <w:fldChar w:fldCharType="separate"/>
          </w:r>
          <w:r>
            <w:rPr>
              <w:rStyle w:val="36"/>
              <w:rFonts w:hint="eastAsia"/>
              <w:color w:val="auto"/>
            </w:rPr>
            <w:t>十五、</w:t>
          </w:r>
          <w:r>
            <w:rPr>
              <w:rFonts w:asciiTheme="minorHAnsi" w:hAnsiTheme="minorHAnsi" w:eastAsiaTheme="minorEastAsia" w:cstheme="minorBidi"/>
              <w:bCs w:val="0"/>
              <w:color w:val="auto"/>
              <w:kern w:val="2"/>
              <w:sz w:val="21"/>
              <w:szCs w:val="22"/>
            </w:rPr>
            <w:tab/>
          </w:r>
          <w:r>
            <w:rPr>
              <w:rStyle w:val="36"/>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77</w:t>
          </w:r>
          <w:r>
            <w:rPr>
              <w:color w:val="auto"/>
            </w:rPr>
            <w:fldChar w:fldCharType="end"/>
          </w:r>
          <w:r>
            <w:rPr>
              <w:color w:val="auto"/>
            </w:rPr>
            <w:fldChar w:fldCharType="end"/>
          </w:r>
        </w:p>
        <w:p w14:paraId="3B724357">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"_Toc122527563" </w:instrText>
          </w:r>
          <w:r>
            <w:rPr>
              <w:color w:val="auto"/>
            </w:rPr>
            <w:fldChar w:fldCharType="separate"/>
          </w:r>
          <w:r>
            <w:rPr>
              <w:rStyle w:val="36"/>
              <w:rFonts w:hint="eastAsia"/>
              <w:color w:val="auto"/>
            </w:rPr>
            <w:t>十六、</w:t>
          </w:r>
          <w:r>
            <w:rPr>
              <w:rFonts w:asciiTheme="minorHAnsi" w:hAnsiTheme="minorHAnsi" w:eastAsiaTheme="minorEastAsia" w:cstheme="minorBidi"/>
              <w:bCs w:val="0"/>
              <w:color w:val="auto"/>
              <w:kern w:val="2"/>
              <w:sz w:val="21"/>
              <w:szCs w:val="22"/>
            </w:rPr>
            <w:tab/>
          </w:r>
          <w:r>
            <w:rPr>
              <w:rStyle w:val="36"/>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78</w:t>
          </w:r>
          <w:r>
            <w:rPr>
              <w:color w:val="auto"/>
            </w:rPr>
            <w:fldChar w:fldCharType="end"/>
          </w:r>
          <w:r>
            <w:rPr>
              <w:color w:val="auto"/>
            </w:rPr>
            <w:fldChar w:fldCharType="end"/>
          </w:r>
        </w:p>
        <w:p w14:paraId="4D83CA77">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"_Toc122527564" </w:instrText>
          </w:r>
          <w:r>
            <w:rPr>
              <w:color w:val="auto"/>
            </w:rPr>
            <w:fldChar w:fldCharType="separate"/>
          </w:r>
          <w:r>
            <w:rPr>
              <w:rStyle w:val="36"/>
              <w:rFonts w:hint="eastAsia"/>
              <w:color w:val="auto"/>
            </w:rPr>
            <w:t>十七、</w:t>
          </w:r>
          <w:r>
            <w:rPr>
              <w:rFonts w:asciiTheme="minorHAnsi" w:hAnsiTheme="minorHAnsi" w:eastAsiaTheme="minorEastAsia" w:cstheme="minorBidi"/>
              <w:bCs w:val="0"/>
              <w:color w:val="auto"/>
              <w:kern w:val="2"/>
              <w:sz w:val="21"/>
              <w:szCs w:val="22"/>
            </w:rPr>
            <w:tab/>
          </w:r>
          <w:r>
            <w:rPr>
              <w:rStyle w:val="36"/>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79</w:t>
          </w:r>
          <w:r>
            <w:rPr>
              <w:color w:val="auto"/>
            </w:rPr>
            <w:fldChar w:fldCharType="end"/>
          </w:r>
          <w:r>
            <w:rPr>
              <w:color w:val="auto"/>
            </w:rPr>
            <w:fldChar w:fldCharType="end"/>
          </w:r>
        </w:p>
        <w:p w14:paraId="7FD6D5B5">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"_Toc122527565" </w:instrText>
          </w:r>
          <w:r>
            <w:rPr>
              <w:color w:val="auto"/>
            </w:rPr>
            <w:fldChar w:fldCharType="separate"/>
          </w:r>
          <w:r>
            <w:rPr>
              <w:rStyle w:val="36"/>
              <w:rFonts w:hint="eastAsia"/>
              <w:color w:val="auto"/>
            </w:rPr>
            <w:t>十八、</w:t>
          </w:r>
          <w:r>
            <w:rPr>
              <w:rFonts w:asciiTheme="minorHAnsi" w:hAnsiTheme="minorHAnsi" w:eastAsiaTheme="minorEastAsia" w:cstheme="minorBidi"/>
              <w:bCs w:val="0"/>
              <w:color w:val="auto"/>
              <w:kern w:val="2"/>
              <w:sz w:val="21"/>
              <w:szCs w:val="22"/>
            </w:rPr>
            <w:tab/>
          </w:r>
          <w:r>
            <w:rPr>
              <w:rStyle w:val="36"/>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80</w:t>
          </w:r>
          <w:r>
            <w:rPr>
              <w:color w:val="auto"/>
            </w:rPr>
            <w:fldChar w:fldCharType="end"/>
          </w:r>
          <w:r>
            <w:rPr>
              <w:color w:val="auto"/>
            </w:rPr>
            <w:fldChar w:fldCharType="end"/>
          </w:r>
        </w:p>
        <w:p w14:paraId="49E5A16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"_Toc122527566" </w:instrText>
          </w:r>
          <w:r>
            <w:rPr>
              <w:color w:val="auto"/>
            </w:rPr>
            <w:fldChar w:fldCharType="separate"/>
          </w:r>
          <w:r>
            <w:rPr>
              <w:rStyle w:val="36"/>
              <w:rFonts w:hint="eastAsia"/>
              <w:color w:val="auto"/>
            </w:rPr>
            <w:t>十九、</w:t>
          </w:r>
          <w:r>
            <w:rPr>
              <w:rFonts w:asciiTheme="minorHAnsi" w:hAnsiTheme="minorHAnsi" w:eastAsiaTheme="minorEastAsia" w:cstheme="minorBidi"/>
              <w:bCs w:val="0"/>
              <w:color w:val="auto"/>
              <w:kern w:val="2"/>
              <w:sz w:val="21"/>
              <w:szCs w:val="22"/>
            </w:rPr>
            <w:tab/>
          </w:r>
          <w:r>
            <w:rPr>
              <w:rStyle w:val="36"/>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81</w:t>
          </w:r>
          <w:r>
            <w:rPr>
              <w:color w:val="auto"/>
            </w:rPr>
            <w:fldChar w:fldCharType="end"/>
          </w:r>
          <w:r>
            <w:rPr>
              <w:color w:val="auto"/>
            </w:rPr>
            <w:fldChar w:fldCharType="end"/>
          </w:r>
        </w:p>
        <w:p w14:paraId="18BE07DD">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"_Toc122527567" </w:instrText>
          </w:r>
          <w:r>
            <w:rPr>
              <w:color w:val="auto"/>
            </w:rPr>
            <w:fldChar w:fldCharType="separate"/>
          </w:r>
          <w:r>
            <w:rPr>
              <w:rStyle w:val="36"/>
              <w:rFonts w:hint="eastAsia"/>
              <w:color w:val="auto"/>
            </w:rPr>
            <w:t>二十、</w:t>
          </w:r>
          <w:r>
            <w:rPr>
              <w:rFonts w:asciiTheme="minorHAnsi" w:hAnsiTheme="minorHAnsi" w:eastAsiaTheme="minorEastAsia" w:cstheme="minorBidi"/>
              <w:bCs w:val="0"/>
              <w:color w:val="auto"/>
              <w:kern w:val="2"/>
              <w:sz w:val="21"/>
              <w:szCs w:val="22"/>
            </w:rPr>
            <w:tab/>
          </w:r>
          <w:r>
            <w:rPr>
              <w:rStyle w:val="36"/>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82</w:t>
          </w:r>
          <w:r>
            <w:rPr>
              <w:color w:val="auto"/>
            </w:rPr>
            <w:fldChar w:fldCharType="end"/>
          </w:r>
          <w:r>
            <w:rPr>
              <w:color w:val="auto"/>
            </w:rPr>
            <w:fldChar w:fldCharType="end"/>
          </w:r>
        </w:p>
        <w:p w14:paraId="4B089E0B">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"_Toc122527568" </w:instrText>
          </w:r>
          <w:r>
            <w:rPr>
              <w:color w:val="auto"/>
            </w:rPr>
            <w:fldChar w:fldCharType="separate"/>
          </w:r>
          <w:r>
            <w:rPr>
              <w:rStyle w:val="36"/>
              <w:rFonts w:hint="eastAsia"/>
              <w:color w:val="auto"/>
            </w:rPr>
            <w:t>二十一、</w:t>
          </w:r>
          <w:r>
            <w:rPr>
              <w:rFonts w:asciiTheme="minorHAnsi" w:hAnsiTheme="minorHAnsi" w:eastAsiaTheme="minorEastAsia" w:cstheme="minorBidi"/>
              <w:bCs w:val="0"/>
              <w:color w:val="auto"/>
              <w:kern w:val="2"/>
              <w:sz w:val="21"/>
              <w:szCs w:val="22"/>
            </w:rPr>
            <w:tab/>
          </w:r>
          <w:r>
            <w:rPr>
              <w:rStyle w:val="36"/>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83</w:t>
          </w:r>
          <w:r>
            <w:rPr>
              <w:color w:val="auto"/>
            </w:rPr>
            <w:fldChar w:fldCharType="end"/>
          </w:r>
          <w:r>
            <w:rPr>
              <w:color w:val="auto"/>
            </w:rPr>
            <w:fldChar w:fldCharType="end"/>
          </w:r>
        </w:p>
        <w:p w14:paraId="1FD2F65D">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"_Toc122527569" </w:instrText>
          </w:r>
          <w:r>
            <w:rPr>
              <w:color w:val="auto"/>
            </w:rPr>
            <w:fldChar w:fldCharType="separate"/>
          </w:r>
          <w:r>
            <w:rPr>
              <w:rStyle w:val="36"/>
              <w:rFonts w:hint="eastAsia"/>
              <w:color w:val="auto"/>
            </w:rPr>
            <w:t>二十二、</w:t>
          </w:r>
          <w:r>
            <w:rPr>
              <w:rFonts w:asciiTheme="minorHAnsi" w:hAnsiTheme="minorHAnsi" w:eastAsiaTheme="minorEastAsia" w:cstheme="minorBidi"/>
              <w:bCs w:val="0"/>
              <w:color w:val="auto"/>
              <w:kern w:val="2"/>
              <w:sz w:val="21"/>
              <w:szCs w:val="22"/>
            </w:rPr>
            <w:tab/>
          </w:r>
          <w:r>
            <w:rPr>
              <w:rStyle w:val="36"/>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84</w:t>
          </w:r>
          <w:r>
            <w:rPr>
              <w:color w:val="auto"/>
            </w:rPr>
            <w:fldChar w:fldCharType="end"/>
          </w:r>
          <w:r>
            <w:rPr>
              <w:color w:val="auto"/>
            </w:rPr>
            <w:fldChar w:fldCharType="end"/>
          </w:r>
        </w:p>
        <w:p w14:paraId="4342EB9D">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"_Toc122527570" </w:instrText>
          </w:r>
          <w:r>
            <w:rPr>
              <w:color w:val="auto"/>
            </w:rPr>
            <w:fldChar w:fldCharType="separate"/>
          </w:r>
          <w:r>
            <w:rPr>
              <w:rStyle w:val="36"/>
              <w:rFonts w:hint="eastAsia"/>
              <w:color w:val="auto"/>
            </w:rPr>
            <w:t>二十三、</w:t>
          </w:r>
          <w:r>
            <w:rPr>
              <w:rFonts w:asciiTheme="minorHAnsi" w:hAnsiTheme="minorHAnsi" w:eastAsiaTheme="minorEastAsia" w:cstheme="minorBidi"/>
              <w:bCs w:val="0"/>
              <w:color w:val="auto"/>
              <w:kern w:val="2"/>
              <w:sz w:val="21"/>
              <w:szCs w:val="22"/>
            </w:rPr>
            <w:tab/>
          </w:r>
          <w:r>
            <w:rPr>
              <w:rStyle w:val="36"/>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85</w:t>
          </w:r>
          <w:r>
            <w:rPr>
              <w:color w:val="auto"/>
            </w:rPr>
            <w:fldChar w:fldCharType="end"/>
          </w:r>
          <w:r>
            <w:rPr>
              <w:color w:val="auto"/>
            </w:rPr>
            <w:fldChar w:fldCharType="end"/>
          </w:r>
        </w:p>
        <w:p w14:paraId="6C452DB5">
          <w:pPr>
            <w:pStyle w:val="23"/>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color w:val="auto"/>
              <w:szCs w:val="24"/>
            </w:rPr>
            <w:fldChar w:fldCharType="end"/>
          </w:r>
        </w:p>
      </w:sdtContent>
    </w:sdt>
    <w:p w14:paraId="58574863">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02116098"/>
      <w:bookmarkStart w:id="3" w:name="_Toc117244347"/>
      <w:bookmarkStart w:id="4" w:name="_Toc102115968"/>
      <w:bookmarkStart w:id="5" w:name="_Toc102056166"/>
      <w:bookmarkStart w:id="6" w:name="_Toc102114866"/>
      <w:bookmarkStart w:id="7" w:name="_Toc102119799"/>
      <w:bookmarkStart w:id="8" w:name="_Toc117244462"/>
      <w:bookmarkStart w:id="9" w:name="_Toc122527523"/>
      <w:bookmarkStart w:id="10" w:name="_Toc102057666"/>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5B7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41948B41">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14:paraId="38448D59">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随县人民医院物业公司保洁保安项目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6"/>
                <w:rFonts w:hint="eastAsia" w:asciiTheme="minorEastAsia" w:hAnsiTheme="minorEastAsia" w:eastAsiaTheme="minorEastAsia" w:cstheme="minorEastAsia"/>
                <w:b/>
                <w:color w:val="auto"/>
                <w:sz w:val="24"/>
                <w:szCs w:val="24"/>
              </w:rPr>
              <w:t>https://dzcg.hubeigp.gov.cn/assets/special/100/hbenterpoint.html）</w:t>
            </w:r>
            <w:r>
              <w:rPr>
                <w:rStyle w:val="36"/>
                <w:rFonts w:hint="eastAsia" w:asciiTheme="minorEastAsia" w:hAnsiTheme="minorEastAsia" w:eastAsiaTheme="minorEastAsia" w:cstheme="minorEastAsia"/>
                <w:bCs/>
                <w:color w:val="auto"/>
                <w:sz w:val="24"/>
                <w:szCs w:val="24"/>
              </w:rPr>
              <w:t>获取招标文件，并于</w:t>
            </w:r>
            <w:r>
              <w:rPr>
                <w:rStyle w:val="36"/>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14:paraId="73CFAC7E">
      <w:pPr>
        <w:spacing w:line="360" w:lineRule="auto"/>
        <w:rPr>
          <w:rFonts w:hint="eastAsia" w:asciiTheme="minorEastAsia" w:hAnsiTheme="minorEastAsia" w:eastAsiaTheme="minorEastAsia" w:cstheme="minorEastAsia"/>
          <w:b/>
          <w:color w:val="auto"/>
          <w:sz w:val="24"/>
          <w:szCs w:val="24"/>
        </w:rPr>
      </w:pPr>
      <w:bookmarkStart w:id="11" w:name="_Toc102114867"/>
      <w:bookmarkStart w:id="12" w:name="_Toc102119800"/>
      <w:bookmarkStart w:id="13" w:name="_Toc102057667"/>
      <w:bookmarkStart w:id="14" w:name="_Toc102056167"/>
      <w:bookmarkStart w:id="15" w:name="_Toc102115969"/>
      <w:bookmarkStart w:id="16" w:name="_Toc102116099"/>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14:paraId="53227368">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SXZC-2023-000</w:t>
      </w:r>
      <w:r>
        <w:rPr>
          <w:rFonts w:hint="eastAsia" w:asciiTheme="minorEastAsia" w:hAnsiTheme="minorEastAsia" w:eastAsiaTheme="minorEastAsia" w:cstheme="minorEastAsia"/>
          <w:color w:val="auto"/>
          <w:sz w:val="24"/>
          <w:szCs w:val="24"/>
          <w:u w:val="single"/>
          <w:lang w:val="en-US" w:eastAsia="zh-CN"/>
        </w:rPr>
        <w:t>9</w:t>
      </w:r>
    </w:p>
    <w:p w14:paraId="3CBF4EAE">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1519</w:t>
      </w:r>
      <w:r>
        <w:rPr>
          <w:rFonts w:hint="eastAsia" w:asciiTheme="minorEastAsia" w:hAnsiTheme="minorEastAsia" w:eastAsiaTheme="minorEastAsia" w:cstheme="minorEastAsia"/>
          <w:color w:val="auto"/>
          <w:sz w:val="24"/>
          <w:szCs w:val="24"/>
          <w:u w:val="single"/>
        </w:rPr>
        <w:t xml:space="preserve"> </w:t>
      </w:r>
    </w:p>
    <w:p w14:paraId="3640DC51">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val="en-US" w:eastAsia="zh-CN"/>
        </w:rPr>
        <w:t>随县人民医院物业公司保洁保安项目</w:t>
      </w:r>
    </w:p>
    <w:p w14:paraId="0DB8C339">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14:paraId="7DDA2327">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67"/>
          <w:rFonts w:hint="eastAsia" w:asciiTheme="minorEastAsia" w:hAnsiTheme="minorEastAsia" w:eastAsiaTheme="minorEastAsia" w:cstheme="minorEastAsia"/>
          <w:color w:val="auto"/>
          <w:sz w:val="24"/>
          <w:szCs w:val="24"/>
          <w:u w:val="single"/>
          <w:lang w:val="en-US" w:eastAsia="zh-CN"/>
        </w:rPr>
        <w:t>178.7088</w:t>
      </w:r>
      <w:r>
        <w:rPr>
          <w:rFonts w:hint="eastAsia" w:asciiTheme="minorEastAsia" w:hAnsiTheme="minorEastAsia" w:eastAsiaTheme="minorEastAsia" w:cstheme="minorEastAsia"/>
          <w:color w:val="auto"/>
          <w:sz w:val="24"/>
          <w:szCs w:val="24"/>
        </w:rPr>
        <w:t>万元整</w:t>
      </w:r>
    </w:p>
    <w:p w14:paraId="380FA802">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67"/>
          <w:rFonts w:hint="eastAsia" w:asciiTheme="minorEastAsia" w:hAnsiTheme="minorEastAsia" w:eastAsiaTheme="minorEastAsia" w:cstheme="minorEastAsia"/>
          <w:color w:val="auto"/>
          <w:sz w:val="24"/>
          <w:szCs w:val="24"/>
          <w:u w:val="single"/>
          <w:lang w:val="en-US" w:eastAsia="zh-CN"/>
        </w:rPr>
        <w:t>178.7088</w:t>
      </w:r>
      <w:r>
        <w:rPr>
          <w:rFonts w:hint="eastAsia" w:asciiTheme="minorEastAsia" w:hAnsiTheme="minorEastAsia" w:eastAsiaTheme="minorEastAsia" w:cstheme="minorEastAsia"/>
          <w:color w:val="auto"/>
          <w:sz w:val="24"/>
          <w:szCs w:val="24"/>
        </w:rPr>
        <w:t>万元整（三年，每年</w:t>
      </w:r>
      <w:r>
        <w:rPr>
          <w:rFonts w:hint="eastAsia" w:asciiTheme="minorEastAsia" w:hAnsiTheme="minorEastAsia" w:eastAsiaTheme="minorEastAsia" w:cstheme="minorEastAsia"/>
          <w:color w:val="auto"/>
          <w:sz w:val="24"/>
          <w:szCs w:val="24"/>
          <w:u w:val="single"/>
          <w:lang w:val="en-US" w:eastAsia="zh-CN"/>
        </w:rPr>
        <w:t xml:space="preserve"> 59.5696 </w:t>
      </w:r>
      <w:r>
        <w:rPr>
          <w:rFonts w:hint="eastAsia" w:asciiTheme="minorEastAsia" w:hAnsiTheme="minorEastAsia" w:eastAsiaTheme="minorEastAsia" w:cstheme="minorEastAsia"/>
          <w:color w:val="auto"/>
          <w:sz w:val="24"/>
          <w:szCs w:val="24"/>
        </w:rPr>
        <w:t>万元）</w:t>
      </w:r>
    </w:p>
    <w:p w14:paraId="0BCDA3DB">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采用1+2模式，即自签订合同之日起计算，根据服务质量按月考核，服务期满1年后，采购人可视情况与成交单位签订下一年度的服务合同，续签年限最多不超过2年（具体要求详见第三章“服务技术标准及要求”）</w:t>
      </w:r>
      <w:r>
        <w:rPr>
          <w:rFonts w:hint="eastAsia" w:asciiTheme="minorEastAsia" w:hAnsiTheme="minorEastAsia" w:eastAsiaTheme="minorEastAsia" w:cstheme="minorEastAsia"/>
          <w:color w:val="auto"/>
          <w:sz w:val="24"/>
          <w:szCs w:val="24"/>
          <w:lang w:eastAsia="zh-CN"/>
        </w:rPr>
        <w:t>。</w:t>
      </w:r>
    </w:p>
    <w:p w14:paraId="2AA7397C">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合同履行期限：详见竞争性磋商文件第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章</w:t>
      </w:r>
    </w:p>
    <w:p w14:paraId="04F32B56">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14:paraId="7395C1F8">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14:paraId="62495B96">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14:paraId="39816998">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是否专门面向中小微企业：是</w:t>
      </w:r>
    </w:p>
    <w:p w14:paraId="79DB5BFD">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面向中小微企业的类型为：</w:t>
      </w:r>
      <w:r>
        <w:rPr>
          <w:rFonts w:hint="eastAsia" w:asciiTheme="minorEastAsia" w:hAnsiTheme="minorEastAsia" w:eastAsiaTheme="minorEastAsia" w:cstheme="minorEastAsia"/>
          <w:color w:val="auto"/>
          <w:sz w:val="24"/>
          <w:szCs w:val="24"/>
          <w:u w:val="single"/>
        </w:rPr>
        <w:t>中小微企业</w:t>
      </w:r>
      <w:r>
        <w:rPr>
          <w:rFonts w:hint="eastAsia" w:asciiTheme="minorEastAsia" w:hAnsiTheme="minorEastAsia" w:eastAsiaTheme="minorEastAsia" w:cstheme="minorEastAsia"/>
          <w:color w:val="auto"/>
          <w:sz w:val="24"/>
          <w:szCs w:val="24"/>
        </w:rPr>
        <w:t xml:space="preserve">  </w:t>
      </w:r>
    </w:p>
    <w:p w14:paraId="2AC24631">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符合条件的小微企业价格扣除优惠为：</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p>
    <w:p w14:paraId="5751993B">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w:t>
      </w:r>
      <w:r>
        <w:rPr>
          <w:rFonts w:hint="eastAsia" w:asciiTheme="minorEastAsia" w:hAnsiTheme="minorEastAsia" w:eastAsiaTheme="minorEastAsia" w:cstheme="minorEastAsia"/>
          <w:color w:val="auto"/>
          <w:sz w:val="24"/>
          <w:szCs w:val="24"/>
          <w:u w:val="single"/>
        </w:rPr>
        <w:t>联合体或合同分包</w:t>
      </w:r>
      <w:r>
        <w:rPr>
          <w:rFonts w:hint="eastAsia" w:asciiTheme="minorEastAsia" w:hAnsiTheme="minorEastAsia" w:eastAsiaTheme="minorEastAsia" w:cstheme="minorEastAsia"/>
          <w:color w:val="auto"/>
          <w:sz w:val="24"/>
          <w:szCs w:val="24"/>
        </w:rPr>
        <w:t>的大中型企业价格扣除优惠为：</w:t>
      </w:r>
      <w:r>
        <w:rPr>
          <w:rFonts w:hint="eastAsia" w:asciiTheme="minorEastAsia" w:hAnsiTheme="minorEastAsia" w:eastAsiaTheme="minorEastAsia" w:cstheme="minorEastAsia"/>
          <w:color w:val="auto"/>
          <w:sz w:val="24"/>
          <w:szCs w:val="24"/>
          <w:u w:val="single"/>
        </w:rPr>
        <w:t xml:space="preserve"> 4 </w:t>
      </w:r>
      <w:r>
        <w:rPr>
          <w:rFonts w:hint="eastAsia" w:asciiTheme="minorEastAsia" w:hAnsiTheme="minorEastAsia" w:eastAsiaTheme="minorEastAsia" w:cstheme="minorEastAsia"/>
          <w:color w:val="auto"/>
          <w:sz w:val="24"/>
          <w:szCs w:val="24"/>
        </w:rPr>
        <w:t>%</w:t>
      </w:r>
    </w:p>
    <w:p w14:paraId="4E2CEAD0">
      <w:pPr>
        <w:spacing w:line="360" w:lineRule="auto"/>
        <w:rPr>
          <w:rFonts w:hint="eastAsia" w:asciiTheme="minorEastAsia" w:hAnsiTheme="minorEastAsia" w:eastAsiaTheme="minorEastAsia" w:cstheme="minorEastAsia"/>
          <w:b/>
          <w:color w:val="auto"/>
          <w:sz w:val="24"/>
          <w:szCs w:val="24"/>
        </w:rPr>
      </w:pPr>
      <w:bookmarkStart w:id="17" w:name="_Toc102119801"/>
      <w:bookmarkStart w:id="18" w:name="_Toc102114868"/>
      <w:bookmarkStart w:id="19" w:name="_Toc102116100"/>
      <w:bookmarkStart w:id="20" w:name="_Toc102056168"/>
      <w:bookmarkStart w:id="21" w:name="_Toc102057668"/>
      <w:bookmarkStart w:id="22" w:name="_Toc102115970"/>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14:paraId="4A4308E1">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14:paraId="4895AAD3">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26E41E79">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33F2B766">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141AFA7B">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422C8CF2">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1F28FE67">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3957A760">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14:paraId="477DE67F">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14:paraId="76CCEA9B">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14:paraId="28FB699A">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z w:val="24"/>
          <w:szCs w:val="24"/>
        </w:rPr>
        <w:t>落实政府采购政策需满足的资格要求：</w:t>
      </w:r>
    </w:p>
    <w:p w14:paraId="00B1C21C">
      <w:pPr>
        <w:tabs>
          <w:tab w:val="left" w:pos="0"/>
          <w:tab w:val="left" w:pos="851"/>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本项目专门面向中小微企业采购。供应商应为中小微企业（监狱企业、残疾人福利性单位视同小型、微型企业），供应商应提供《中小企业声明函》。</w:t>
      </w:r>
    </w:p>
    <w:p w14:paraId="713193AA">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rPr>
        <w:t>特定资格要求：</w:t>
      </w:r>
    </w:p>
    <w:p w14:paraId="57B2B604">
      <w:pPr>
        <w:pStyle w:val="13"/>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无</w:t>
      </w:r>
    </w:p>
    <w:p w14:paraId="12255938">
      <w:pPr>
        <w:spacing w:line="360" w:lineRule="auto"/>
        <w:rPr>
          <w:rFonts w:hint="eastAsia" w:asciiTheme="minorEastAsia" w:hAnsiTheme="minorEastAsia" w:eastAsiaTheme="minorEastAsia" w:cstheme="minorEastAsia"/>
          <w:b/>
          <w:color w:val="auto"/>
          <w:sz w:val="24"/>
          <w:szCs w:val="24"/>
        </w:rPr>
      </w:pPr>
      <w:bookmarkStart w:id="23" w:name="_Toc102116101"/>
      <w:bookmarkStart w:id="24" w:name="_Toc102057669"/>
      <w:bookmarkStart w:id="25" w:name="_Toc102119802"/>
      <w:bookmarkStart w:id="26" w:name="_Toc102056169"/>
      <w:bookmarkStart w:id="27" w:name="_Toc102115971"/>
      <w:bookmarkStart w:id="28" w:name="_Toc102114869"/>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14:paraId="6557977C">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19</w:t>
      </w:r>
      <w:r>
        <w:rPr>
          <w:rFonts w:hint="eastAsia" w:asciiTheme="minorEastAsia" w:hAnsiTheme="minorEastAsia" w:eastAsiaTheme="minorEastAsia" w:cstheme="minorEastAsia"/>
          <w:b/>
          <w:bCs/>
          <w:color w:val="auto"/>
          <w:sz w:val="24"/>
          <w:szCs w:val="24"/>
        </w:rPr>
        <w:t>日至2023年0</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24</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14:paraId="1293BF17">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14:paraId="43428A23">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14:paraId="74909384">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5883F4D3">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14:paraId="4A1FBC02">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14:paraId="6448AB1E">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14:paraId="5F82A6BB">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14:paraId="5A66EFD9">
      <w:pPr>
        <w:spacing w:line="360" w:lineRule="auto"/>
        <w:rPr>
          <w:rFonts w:hint="eastAsia" w:asciiTheme="minorEastAsia" w:hAnsiTheme="minorEastAsia" w:eastAsiaTheme="minorEastAsia" w:cstheme="minorEastAsia"/>
          <w:b/>
          <w:color w:val="auto"/>
          <w:sz w:val="24"/>
          <w:szCs w:val="24"/>
        </w:rPr>
      </w:pPr>
      <w:bookmarkStart w:id="29" w:name="_Toc102114870"/>
      <w:bookmarkStart w:id="30" w:name="_Toc102057670"/>
      <w:bookmarkStart w:id="31" w:name="_Toc102115972"/>
      <w:bookmarkStart w:id="32" w:name="_Toc102056170"/>
      <w:bookmarkStart w:id="33" w:name="_Toc102116102"/>
      <w:bookmarkStart w:id="34" w:name="_Toc102119803"/>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14:paraId="40CEBC71">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05</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05</w:t>
      </w:r>
      <w:r>
        <w:rPr>
          <w:rFonts w:hint="eastAsia" w:asciiTheme="minorEastAsia" w:hAnsiTheme="minorEastAsia" w:eastAsiaTheme="minorEastAsia" w:cstheme="minorEastAsia"/>
          <w:b/>
          <w:bCs/>
          <w:color w:val="auto"/>
          <w:sz w:val="24"/>
          <w:szCs w:val="24"/>
        </w:rPr>
        <w:t>日09时30分；</w:t>
      </w:r>
    </w:p>
    <w:p w14:paraId="251D763E">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6"/>
          <w:rFonts w:hint="eastAsia" w:asciiTheme="minorEastAsia" w:hAnsiTheme="minorEastAsia" w:eastAsiaTheme="minorEastAsia" w:cstheme="minorEastAsia"/>
          <w:color w:val="auto"/>
          <w:spacing w:val="-3"/>
          <w:sz w:val="24"/>
          <w:szCs w:val="24"/>
        </w:rPr>
        <w:t>https://dzcg.hubeigp.gov.cn/assets/special/100/hbenterpoint.html</w:t>
      </w:r>
      <w:r>
        <w:rPr>
          <w:rStyle w:val="36"/>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14:paraId="4C047B8C">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26340"/>
      <w:bookmarkStart w:id="36" w:name="_Toc97735154"/>
      <w:bookmarkStart w:id="37" w:name="_Toc97906090"/>
      <w:bookmarkStart w:id="38" w:name="_Toc10375"/>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14:paraId="1D7EA62B">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1.时间：2023年</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日09：30分（北京时间）。</w:t>
      </w:r>
    </w:p>
    <w:p w14:paraId="2A165D5A">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14:paraId="35D6345B">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14:paraId="1AB660C0">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14:paraId="30A79EE6">
      <w:pPr>
        <w:spacing w:line="360" w:lineRule="auto"/>
        <w:rPr>
          <w:rFonts w:hint="eastAsia" w:asciiTheme="minorEastAsia" w:hAnsiTheme="minorEastAsia" w:eastAsiaTheme="minorEastAsia" w:cstheme="minorEastAsia"/>
          <w:b/>
          <w:color w:val="auto"/>
          <w:sz w:val="24"/>
          <w:szCs w:val="24"/>
        </w:rPr>
      </w:pPr>
      <w:bookmarkStart w:id="40" w:name="_Toc102115973"/>
      <w:bookmarkStart w:id="41" w:name="_Toc102057671"/>
      <w:bookmarkStart w:id="42" w:name="_Toc102114871"/>
      <w:bookmarkStart w:id="43" w:name="_Toc102116103"/>
      <w:bookmarkStart w:id="44" w:name="_Toc102119804"/>
      <w:bookmarkStart w:id="45" w:name="_Toc102056171"/>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119805"/>
      <w:bookmarkStart w:id="47" w:name="_Toc102057672"/>
      <w:bookmarkStart w:id="48" w:name="_Toc102115974"/>
      <w:bookmarkStart w:id="49" w:name="_Toc102116104"/>
      <w:bookmarkStart w:id="50" w:name="_Toc102114872"/>
      <w:bookmarkStart w:id="51" w:name="_Toc102056172"/>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14:paraId="69DC0066">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14:paraId="6A8AD270">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14:paraId="331A7802">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057673"/>
      <w:bookmarkStart w:id="53" w:name="_Toc102056173"/>
      <w:bookmarkStart w:id="54" w:name="_Toc102114873"/>
      <w:bookmarkStart w:id="55" w:name="_Toc102115975"/>
      <w:bookmarkStart w:id="56" w:name="_Toc102119806"/>
      <w:bookmarkStart w:id="57" w:name="_Toc102116105"/>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14:paraId="06EE875E">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14:paraId="5D50F7A3">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14:paraId="54C4069B">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14:paraId="04866E8B">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张科18972997599；2、中行随县支行 周文19145053777；3、建行随县支行 杨爽15997865850；4、随州农行公司部经理 万欣 18827588896；5、邮储银行随县支行 郭翔13997888257，周宁18571359698；6、工行随县支行 肖堃15897615778；</w:t>
      </w:r>
    </w:p>
    <w:p w14:paraId="71770F71">
      <w:pPr>
        <w:pStyle w:val="11"/>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14:paraId="3F3FD230">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14:paraId="023797AC">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0C83C086">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人民医院</w:t>
      </w:r>
    </w:p>
    <w:p w14:paraId="149F2C4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随县幸福大道南端</w:t>
      </w:r>
    </w:p>
    <w:p w14:paraId="5D630BD2">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18827571217</w:t>
      </w:r>
    </w:p>
    <w:p w14:paraId="37179176">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37FBE12D">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14:paraId="28EBB572">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14:paraId="25B66FCB">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14:paraId="075D61C9">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500551D1">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14:paraId="6965BFC3">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14:paraId="11C5A639">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14:paraId="496663FF">
      <w:pPr>
        <w:pStyle w:val="11"/>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color w:val="auto"/>
          <w:szCs w:val="24"/>
        </w:rPr>
        <w:tab/>
      </w:r>
    </w:p>
    <w:p w14:paraId="08FA2555">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102056174"/>
      <w:bookmarkStart w:id="59" w:name="_Toc117244463"/>
      <w:bookmarkStart w:id="60" w:name="_Toc122527524"/>
      <w:bookmarkStart w:id="61" w:name="_Toc102114874"/>
      <w:bookmarkStart w:id="62" w:name="_Toc511894493"/>
      <w:bookmarkStart w:id="63" w:name="_Toc102116106"/>
      <w:bookmarkStart w:id="64" w:name="_Toc117244348"/>
      <w:bookmarkStart w:id="65" w:name="_Toc511889415"/>
      <w:bookmarkStart w:id="66" w:name="_Toc102119807"/>
      <w:bookmarkStart w:id="67" w:name="_Toc102115976"/>
      <w:bookmarkStart w:id="68" w:name="_Toc102057674"/>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14:paraId="6274DB84">
      <w:pPr>
        <w:tabs>
          <w:tab w:val="left" w:pos="476"/>
        </w:tabs>
        <w:wordWrap w:val="0"/>
        <w:spacing w:line="360" w:lineRule="auto"/>
        <w:ind w:firstLine="560" w:firstLineChars="200"/>
        <w:jc w:val="center"/>
        <w:outlineLvl w:val="1"/>
        <w:rPr>
          <w:color w:val="auto"/>
          <w:sz w:val="28"/>
          <w:szCs w:val="28"/>
          <w:lang w:val="zh-CN"/>
        </w:rPr>
      </w:pPr>
      <w:bookmarkStart w:id="69" w:name="_Toc102114875"/>
      <w:bookmarkStart w:id="70" w:name="_Toc102115977"/>
      <w:bookmarkStart w:id="71" w:name="_Toc117244349"/>
      <w:bookmarkStart w:id="72" w:name="_Toc102119808"/>
      <w:bookmarkStart w:id="73" w:name="_Toc511894494"/>
      <w:bookmarkStart w:id="74" w:name="_Toc102057675"/>
      <w:bookmarkStart w:id="75" w:name="_Toc511889416"/>
      <w:bookmarkStart w:id="76" w:name="_Toc117244464"/>
      <w:bookmarkStart w:id="77" w:name="_Toc102116107"/>
      <w:bookmarkStart w:id="78" w:name="_Toc122527525"/>
      <w:bookmarkStart w:id="79" w:name="_Toc102056175"/>
      <w:bookmarkStart w:id="80" w:name="_Toc102114876"/>
      <w:bookmarkStart w:id="81" w:name="_Toc102056176"/>
      <w:bookmarkStart w:id="82" w:name="_Toc102115978"/>
      <w:bookmarkStart w:id="83" w:name="_Toc102057676"/>
      <w:bookmarkStart w:id="84" w:name="_Toc102116108"/>
      <w:bookmarkStart w:id="85" w:name="_Toc102119809"/>
      <w:bookmarkStart w:id="86" w:name="_Toc100579891"/>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639"/>
        <w:gridCol w:w="62"/>
        <w:gridCol w:w="7080"/>
      </w:tblGrid>
      <w:tr w14:paraId="72BBB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19C689E">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9563BDA">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57314DD9">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14:paraId="7264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14:paraId="6BCB48A6">
            <w:pPr>
              <w:wordWrap w:val="0"/>
              <w:spacing w:line="360" w:lineRule="auto"/>
              <w:rPr>
                <w:rFonts w:cs="宋体"/>
                <w:color w:val="auto"/>
                <w:szCs w:val="24"/>
              </w:rPr>
            </w:pPr>
            <w:r>
              <w:rPr>
                <w:rFonts w:hint="eastAsia" w:cs="宋体"/>
                <w:color w:val="auto"/>
                <w:szCs w:val="24"/>
              </w:rPr>
              <w:t>一、总则</w:t>
            </w:r>
          </w:p>
        </w:tc>
      </w:tr>
      <w:tr w14:paraId="5711D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DA5D4FA">
            <w:pPr>
              <w:tabs>
                <w:tab w:val="left" w:pos="130"/>
              </w:tabs>
              <w:wordWrap w:val="0"/>
              <w:spacing w:line="360" w:lineRule="auto"/>
              <w:ind w:right="57"/>
              <w:jc w:val="center"/>
              <w:rPr>
                <w:color w:val="auto"/>
                <w:szCs w:val="24"/>
              </w:rPr>
            </w:pPr>
            <w:r>
              <w:rPr>
                <w:rFonts w:hint="eastAsia"/>
                <w:color w:val="auto"/>
                <w:szCs w:val="24"/>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375149">
            <w:pPr>
              <w:wordWrap w:val="0"/>
              <w:spacing w:line="360" w:lineRule="auto"/>
              <w:jc w:val="center"/>
              <w:rPr>
                <w:color w:val="auto"/>
                <w:szCs w:val="24"/>
              </w:rPr>
            </w:pPr>
            <w:r>
              <w:rPr>
                <w:rFonts w:hint="eastAsia"/>
                <w:color w:val="auto"/>
                <w:szCs w:val="24"/>
              </w:rPr>
              <w:t>监管部门</w:t>
            </w:r>
          </w:p>
        </w:tc>
        <w:tc>
          <w:tcPr>
            <w:tcW w:w="7080" w:type="dxa"/>
            <w:tcBorders>
              <w:top w:val="single" w:color="auto" w:sz="4" w:space="0"/>
              <w:left w:val="single" w:color="auto" w:sz="4" w:space="0"/>
              <w:bottom w:val="single" w:color="auto" w:sz="4" w:space="0"/>
            </w:tcBorders>
            <w:vAlign w:val="center"/>
          </w:tcPr>
          <w:p w14:paraId="268AB45C">
            <w:pPr>
              <w:wordWrap w:val="0"/>
              <w:spacing w:line="360" w:lineRule="auto"/>
              <w:rPr>
                <w:color w:val="auto"/>
                <w:szCs w:val="24"/>
              </w:rPr>
            </w:pPr>
            <w:r>
              <w:rPr>
                <w:rFonts w:hint="eastAsia"/>
                <w:color w:val="auto"/>
                <w:szCs w:val="24"/>
              </w:rPr>
              <w:t>随县财政局</w:t>
            </w:r>
          </w:p>
        </w:tc>
      </w:tr>
      <w:tr w14:paraId="2239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2A45F795">
            <w:pPr>
              <w:tabs>
                <w:tab w:val="left" w:pos="130"/>
              </w:tabs>
              <w:wordWrap w:val="0"/>
              <w:spacing w:line="360" w:lineRule="auto"/>
              <w:ind w:right="57"/>
              <w:jc w:val="center"/>
              <w:rPr>
                <w:color w:val="auto"/>
                <w:szCs w:val="24"/>
              </w:rPr>
            </w:pPr>
            <w:r>
              <w:rPr>
                <w:rFonts w:hint="eastAsia"/>
                <w:color w:val="auto"/>
                <w:szCs w:val="24"/>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18FFF63">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14:paraId="5392E01A">
            <w:pPr>
              <w:pStyle w:val="11"/>
              <w:spacing w:line="360" w:lineRule="auto"/>
              <w:rPr>
                <w:rFonts w:hint="default" w:eastAsia="宋体"/>
                <w:i/>
                <w:color w:val="auto"/>
                <w:lang w:val="en-US" w:eastAsia="zh-CN"/>
              </w:rPr>
            </w:pPr>
            <w:r>
              <w:rPr>
                <w:rFonts w:hint="eastAsia"/>
                <w:iCs/>
                <w:color w:val="auto"/>
                <w:lang w:val="en-US" w:eastAsia="zh-CN"/>
              </w:rPr>
              <w:t>服务</w:t>
            </w:r>
          </w:p>
        </w:tc>
      </w:tr>
      <w:tr w14:paraId="2AF6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15A3ABB2">
            <w:pPr>
              <w:tabs>
                <w:tab w:val="left" w:pos="130"/>
              </w:tabs>
              <w:wordWrap w:val="0"/>
              <w:spacing w:line="360" w:lineRule="auto"/>
              <w:ind w:right="57"/>
              <w:jc w:val="center"/>
              <w:rPr>
                <w:color w:val="auto"/>
                <w:szCs w:val="24"/>
              </w:rPr>
            </w:pPr>
            <w:r>
              <w:rPr>
                <w:rFonts w:hint="eastAsia"/>
                <w:color w:val="auto"/>
                <w:szCs w:val="24"/>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02BBD5">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14:paraId="267E94FC">
            <w:pPr>
              <w:pStyle w:val="11"/>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、银行、保险、石油石化、电力等行业的，上述企业分支机构可以参加相应项目的磋商，但其授权代表应获得总公司法定代表人有效授权。</w:t>
            </w:r>
          </w:p>
        </w:tc>
      </w:tr>
      <w:tr w14:paraId="1E962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121185A3">
            <w:pPr>
              <w:tabs>
                <w:tab w:val="left" w:pos="130"/>
              </w:tabs>
              <w:wordWrap w:val="0"/>
              <w:spacing w:line="360" w:lineRule="auto"/>
              <w:ind w:right="57"/>
              <w:jc w:val="center"/>
              <w:rPr>
                <w:color w:val="auto"/>
                <w:szCs w:val="24"/>
              </w:rPr>
            </w:pPr>
            <w:r>
              <w:rPr>
                <w:rFonts w:hint="eastAsia"/>
                <w:color w:val="auto"/>
                <w:szCs w:val="24"/>
              </w:rPr>
              <w:t>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23FAE6F">
            <w:pPr>
              <w:wordWrap w:val="0"/>
              <w:spacing w:line="360" w:lineRule="auto"/>
              <w:jc w:val="center"/>
              <w:rPr>
                <w:color w:val="auto"/>
                <w:szCs w:val="24"/>
              </w:rPr>
            </w:pPr>
            <w:r>
              <w:rPr>
                <w:rFonts w:hint="eastAsia"/>
                <w:color w:val="auto"/>
                <w:szCs w:val="24"/>
              </w:rPr>
              <w:t>采购信息获取</w:t>
            </w:r>
          </w:p>
        </w:tc>
        <w:tc>
          <w:tcPr>
            <w:tcW w:w="7080" w:type="dxa"/>
            <w:tcBorders>
              <w:top w:val="single" w:color="auto" w:sz="4" w:space="0"/>
              <w:left w:val="single" w:color="auto" w:sz="4" w:space="0"/>
              <w:bottom w:val="single" w:color="auto" w:sz="4" w:space="0"/>
            </w:tcBorders>
            <w:vAlign w:val="center"/>
          </w:tcPr>
          <w:p w14:paraId="234E98F2">
            <w:pPr>
              <w:wordWrap w:val="0"/>
              <w:spacing w:line="360" w:lineRule="auto"/>
              <w:rPr>
                <w:rFonts w:cs="宋体"/>
                <w:color w:val="auto"/>
                <w:szCs w:val="24"/>
              </w:rPr>
            </w:pPr>
            <w:r>
              <w:rPr>
                <w:rFonts w:hint="eastAsia"/>
                <w:color w:val="auto"/>
                <w:szCs w:val="24"/>
              </w:rPr>
              <w:t>应自行在中国湖北政府采购网、随县人民政府网和随县政府电子采购平台（以下简称电子采购平台）上获取</w:t>
            </w:r>
          </w:p>
        </w:tc>
      </w:tr>
      <w:tr w14:paraId="07044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6E6C00C0">
            <w:pPr>
              <w:tabs>
                <w:tab w:val="left" w:pos="130"/>
              </w:tabs>
              <w:wordWrap w:val="0"/>
              <w:spacing w:line="360" w:lineRule="auto"/>
              <w:ind w:right="57"/>
              <w:jc w:val="center"/>
              <w:rPr>
                <w:color w:val="auto"/>
                <w:szCs w:val="24"/>
              </w:rPr>
            </w:pPr>
            <w:r>
              <w:rPr>
                <w:rFonts w:hint="eastAsia"/>
                <w:color w:val="auto"/>
                <w:szCs w:val="24"/>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78537BE">
            <w:pPr>
              <w:wordWrap w:val="0"/>
              <w:spacing w:line="360" w:lineRule="auto"/>
              <w:jc w:val="center"/>
              <w:rPr>
                <w:color w:val="auto"/>
                <w:szCs w:val="24"/>
              </w:rPr>
            </w:pPr>
            <w:r>
              <w:rPr>
                <w:rFonts w:hint="eastAsia"/>
                <w:color w:val="auto"/>
                <w:szCs w:val="24"/>
              </w:rPr>
              <w:t>电子采购平台操作手册</w:t>
            </w:r>
          </w:p>
        </w:tc>
        <w:tc>
          <w:tcPr>
            <w:tcW w:w="7080" w:type="dxa"/>
            <w:tcBorders>
              <w:top w:val="single" w:color="auto" w:sz="4" w:space="0"/>
              <w:left w:val="single" w:color="auto" w:sz="4" w:space="0"/>
              <w:bottom w:val="single" w:color="auto" w:sz="4" w:space="0"/>
            </w:tcBorders>
            <w:vAlign w:val="center"/>
          </w:tcPr>
          <w:p w14:paraId="29EA25C8">
            <w:pPr>
              <w:wordWrap w:val="0"/>
              <w:spacing w:line="360" w:lineRule="auto"/>
              <w:rPr>
                <w:color w:val="auto"/>
              </w:rPr>
            </w:pPr>
            <w:r>
              <w:rPr>
                <w:rFonts w:hint="eastAsia"/>
                <w:color w:val="auto"/>
                <w:szCs w:val="24"/>
              </w:rPr>
              <w:t>随县政府电子采购平台(https://dzcg. hubeigp. gov. cn/lassets/ special/ 100/hbenterpoint. html)</w:t>
            </w:r>
          </w:p>
        </w:tc>
      </w:tr>
      <w:tr w14:paraId="37B72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5EAAF57">
            <w:pPr>
              <w:tabs>
                <w:tab w:val="left" w:pos="242"/>
              </w:tabs>
              <w:wordWrap w:val="0"/>
              <w:spacing w:line="360" w:lineRule="auto"/>
              <w:ind w:right="57"/>
              <w:jc w:val="center"/>
              <w:rPr>
                <w:color w:val="auto"/>
                <w:szCs w:val="24"/>
              </w:rPr>
            </w:pPr>
            <w:r>
              <w:rPr>
                <w:rFonts w:hint="eastAsia"/>
                <w:color w:val="auto"/>
                <w:szCs w:val="24"/>
              </w:rPr>
              <w:t>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AF0BD15">
            <w:pPr>
              <w:wordWrap w:val="0"/>
              <w:spacing w:line="360" w:lineRule="auto"/>
              <w:jc w:val="center"/>
              <w:rPr>
                <w:color w:val="auto"/>
                <w:szCs w:val="24"/>
              </w:rPr>
            </w:pPr>
            <w:r>
              <w:rPr>
                <w:rFonts w:hint="eastAsia"/>
                <w:color w:val="auto"/>
                <w:szCs w:val="24"/>
              </w:rPr>
              <w:t>电子采购平台咨询</w:t>
            </w:r>
          </w:p>
        </w:tc>
        <w:tc>
          <w:tcPr>
            <w:tcW w:w="7080" w:type="dxa"/>
            <w:tcBorders>
              <w:top w:val="single" w:color="auto" w:sz="4" w:space="0"/>
              <w:left w:val="single" w:color="auto" w:sz="4" w:space="0"/>
              <w:bottom w:val="single" w:color="auto" w:sz="4" w:space="0"/>
            </w:tcBorders>
            <w:vAlign w:val="center"/>
          </w:tcPr>
          <w:p w14:paraId="5E1523F9">
            <w:pPr>
              <w:pStyle w:val="11"/>
              <w:wordWrap w:val="0"/>
              <w:spacing w:line="360" w:lineRule="auto"/>
              <w:rPr>
                <w:color w:val="auto"/>
                <w:szCs w:val="24"/>
              </w:rPr>
            </w:pPr>
            <w:r>
              <w:rPr>
                <w:rFonts w:hint="eastAsia"/>
                <w:color w:val="auto"/>
                <w:szCs w:val="24"/>
              </w:rPr>
              <w:t>提交磋商文件截止时间</w:t>
            </w:r>
            <w:r>
              <w:rPr>
                <w:rFonts w:hint="eastAsia"/>
                <w:b/>
                <w:color w:val="auto"/>
                <w:szCs w:val="24"/>
              </w:rPr>
              <w:t>48小时前</w:t>
            </w:r>
            <w:r>
              <w:rPr>
                <w:rFonts w:hint="eastAsia"/>
                <w:color w:val="auto"/>
                <w:szCs w:val="24"/>
              </w:rPr>
              <w:t>咨询电子采购平台</w:t>
            </w:r>
          </w:p>
        </w:tc>
      </w:tr>
      <w:tr w14:paraId="6B12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9907FB7">
            <w:pPr>
              <w:tabs>
                <w:tab w:val="left" w:pos="242"/>
              </w:tabs>
              <w:wordWrap w:val="0"/>
              <w:spacing w:line="360" w:lineRule="auto"/>
              <w:ind w:right="57"/>
              <w:jc w:val="center"/>
              <w:rPr>
                <w:color w:val="auto"/>
                <w:szCs w:val="24"/>
              </w:rPr>
            </w:pPr>
            <w:r>
              <w:rPr>
                <w:rFonts w:hint="eastAsia"/>
                <w:color w:val="auto"/>
                <w:szCs w:val="24"/>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555F15A">
            <w:pPr>
              <w:wordWrap w:val="0"/>
              <w:spacing w:line="360" w:lineRule="auto"/>
              <w:jc w:val="center"/>
              <w:rPr>
                <w:color w:val="auto"/>
                <w:szCs w:val="24"/>
              </w:rPr>
            </w:pPr>
            <w:r>
              <w:rPr>
                <w:rFonts w:hint="eastAsia"/>
                <w:color w:val="auto"/>
                <w:szCs w:val="24"/>
              </w:rPr>
              <w:t>电子采购平台联系方式</w:t>
            </w:r>
          </w:p>
        </w:tc>
        <w:tc>
          <w:tcPr>
            <w:tcW w:w="7080" w:type="dxa"/>
            <w:tcBorders>
              <w:top w:val="single" w:color="auto" w:sz="4" w:space="0"/>
              <w:left w:val="single" w:color="auto" w:sz="4" w:space="0"/>
              <w:bottom w:val="single" w:color="auto" w:sz="4" w:space="0"/>
            </w:tcBorders>
            <w:vAlign w:val="center"/>
          </w:tcPr>
          <w:p w14:paraId="460D000D">
            <w:pPr>
              <w:pStyle w:val="11"/>
              <w:wordWrap w:val="0"/>
              <w:spacing w:line="360" w:lineRule="auto"/>
              <w:rPr>
                <w:color w:val="auto"/>
                <w:szCs w:val="24"/>
              </w:rPr>
            </w:pPr>
            <w:r>
              <w:rPr>
                <w:rFonts w:hint="eastAsia"/>
                <w:color w:val="auto"/>
                <w:szCs w:val="24"/>
              </w:rPr>
              <w:t>QQ群：463671735，966545752</w:t>
            </w:r>
          </w:p>
          <w:p w14:paraId="5AF80FC7">
            <w:pPr>
              <w:pStyle w:val="11"/>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14:paraId="213E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14:paraId="020636E1">
            <w:pPr>
              <w:pStyle w:val="11"/>
              <w:wordWrap w:val="0"/>
              <w:spacing w:line="360" w:lineRule="auto"/>
              <w:rPr>
                <w:color w:val="auto"/>
                <w:szCs w:val="24"/>
              </w:rPr>
            </w:pPr>
            <w:r>
              <w:rPr>
                <w:rFonts w:hint="eastAsia"/>
                <w:color w:val="auto"/>
                <w:szCs w:val="24"/>
              </w:rPr>
              <w:t>二、竞争性磋商文件</w:t>
            </w:r>
          </w:p>
        </w:tc>
      </w:tr>
      <w:tr w14:paraId="0DE1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07CCA1F">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06C8AF8">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14:paraId="6E788ECF">
            <w:pPr>
              <w:wordWrap w:val="0"/>
              <w:spacing w:line="360" w:lineRule="auto"/>
              <w:rPr>
                <w:color w:val="auto"/>
                <w:szCs w:val="24"/>
              </w:rPr>
            </w:pPr>
            <w:r>
              <w:rPr>
                <w:rFonts w:hint="eastAsia"/>
                <w:iCs/>
                <w:color w:val="auto"/>
                <w:szCs w:val="24"/>
              </w:rPr>
              <w:t>不提供</w:t>
            </w:r>
          </w:p>
        </w:tc>
      </w:tr>
      <w:tr w14:paraId="7FDC9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7E26230">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69F6240">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14:paraId="6B58CA0C">
            <w:pPr>
              <w:wordWrap w:val="0"/>
              <w:spacing w:line="360" w:lineRule="auto"/>
              <w:ind w:right="-120" w:rightChars="-50"/>
              <w:rPr>
                <w:color w:val="auto"/>
                <w:szCs w:val="24"/>
              </w:rPr>
            </w:pPr>
            <w:r>
              <w:rPr>
                <w:rFonts w:hint="eastAsia"/>
                <w:iCs/>
                <w:color w:val="auto"/>
                <w:szCs w:val="24"/>
              </w:rPr>
              <w:t>不进行</w:t>
            </w:r>
          </w:p>
        </w:tc>
      </w:tr>
      <w:tr w14:paraId="686B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5A5F057E">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24BFF60">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14:paraId="77395FF8">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14:paraId="7A9C6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71B819FE">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5FEB52E">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1C5889BC">
            <w:pPr>
              <w:pStyle w:val="11"/>
              <w:spacing w:line="360" w:lineRule="auto"/>
              <w:rPr>
                <w:color w:val="auto"/>
              </w:rPr>
            </w:pPr>
            <w:r>
              <w:rPr>
                <w:rFonts w:hint="eastAsia"/>
                <w:iCs/>
                <w:color w:val="auto"/>
                <w:szCs w:val="24"/>
              </w:rPr>
              <w:t>不组织</w:t>
            </w:r>
          </w:p>
        </w:tc>
      </w:tr>
      <w:tr w14:paraId="7AB8D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36C66EF4">
            <w:pPr>
              <w:wordWrap w:val="0"/>
              <w:spacing w:line="360" w:lineRule="auto"/>
              <w:ind w:right="-120" w:rightChars="-50"/>
              <w:rPr>
                <w:color w:val="auto"/>
                <w:szCs w:val="24"/>
              </w:rPr>
            </w:pPr>
            <w:r>
              <w:rPr>
                <w:rFonts w:hint="eastAsia"/>
                <w:color w:val="auto"/>
                <w:szCs w:val="24"/>
              </w:rPr>
              <w:t>三、响应文件</w:t>
            </w:r>
          </w:p>
        </w:tc>
      </w:tr>
      <w:tr w14:paraId="7B8E5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3B780A46">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5DA05D1">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14:paraId="5FC17D1D">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14:paraId="19475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03FD5EBE">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3D2F2B">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14:paraId="54DD7447">
            <w:pPr>
              <w:wordWrap w:val="0"/>
              <w:spacing w:line="360" w:lineRule="auto"/>
              <w:rPr>
                <w:color w:val="auto"/>
                <w:szCs w:val="24"/>
              </w:rPr>
            </w:pPr>
            <w:r>
              <w:rPr>
                <w:rFonts w:hint="eastAsia"/>
                <w:color w:val="auto"/>
                <w:szCs w:val="24"/>
              </w:rPr>
              <w:t>不允许</w:t>
            </w:r>
          </w:p>
        </w:tc>
      </w:tr>
      <w:tr w14:paraId="0EB3C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1262444B">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7184247">
            <w:pPr>
              <w:wordWrap w:val="0"/>
              <w:spacing w:line="360" w:lineRule="auto"/>
              <w:jc w:val="center"/>
              <w:rPr>
                <w:color w:val="auto"/>
                <w:szCs w:val="24"/>
              </w:rPr>
            </w:pPr>
            <w:r>
              <w:rPr>
                <w:color w:val="auto"/>
                <w:szCs w:val="24"/>
              </w:rPr>
              <w:t>磋商有效期</w:t>
            </w:r>
          </w:p>
        </w:tc>
        <w:tc>
          <w:tcPr>
            <w:tcW w:w="7080" w:type="dxa"/>
            <w:tcBorders>
              <w:top w:val="single" w:color="auto" w:sz="4" w:space="0"/>
              <w:left w:val="single" w:color="auto" w:sz="4" w:space="0"/>
              <w:bottom w:val="single" w:color="auto" w:sz="4" w:space="0"/>
            </w:tcBorders>
            <w:vAlign w:val="center"/>
          </w:tcPr>
          <w:p w14:paraId="452F2E5A">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14:paraId="5FEE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23669ACC">
            <w:pPr>
              <w:wordWrap w:val="0"/>
              <w:spacing w:line="360" w:lineRule="auto"/>
              <w:rPr>
                <w:rFonts w:cs="宋体"/>
                <w:color w:val="auto"/>
                <w:szCs w:val="24"/>
              </w:rPr>
            </w:pPr>
            <w:r>
              <w:rPr>
                <w:rFonts w:hint="eastAsia" w:cs="宋体"/>
                <w:color w:val="auto"/>
                <w:szCs w:val="24"/>
              </w:rPr>
              <w:t>四、磋商与评审</w:t>
            </w:r>
          </w:p>
        </w:tc>
      </w:tr>
      <w:tr w14:paraId="7D05B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946A3B0">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2F8CA4">
            <w:pPr>
              <w:wordWrap w:val="0"/>
              <w:spacing w:line="360" w:lineRule="auto"/>
              <w:jc w:val="center"/>
              <w:rPr>
                <w:color w:val="auto"/>
                <w:szCs w:val="24"/>
              </w:rPr>
            </w:pPr>
            <w:r>
              <w:rPr>
                <w:rFonts w:hint="eastAsia"/>
                <w:color w:val="auto"/>
                <w:szCs w:val="24"/>
              </w:rPr>
              <w:t>响应文件解密</w:t>
            </w:r>
          </w:p>
        </w:tc>
        <w:tc>
          <w:tcPr>
            <w:tcW w:w="7080" w:type="dxa"/>
            <w:tcBorders>
              <w:top w:val="single" w:color="auto" w:sz="4" w:space="0"/>
              <w:left w:val="single" w:color="auto" w:sz="4" w:space="0"/>
              <w:bottom w:val="single" w:color="auto" w:sz="4" w:space="0"/>
            </w:tcBorders>
            <w:vAlign w:val="center"/>
          </w:tcPr>
          <w:p w14:paraId="382C2A38">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14:paraId="06D8C159">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14:paraId="3AAA3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67027037">
            <w:pPr>
              <w:wordWrap w:val="0"/>
              <w:spacing w:line="360" w:lineRule="auto"/>
              <w:ind w:right="-120" w:rightChars="-50"/>
              <w:rPr>
                <w:color w:val="auto"/>
                <w:szCs w:val="24"/>
              </w:rPr>
            </w:pPr>
            <w:r>
              <w:rPr>
                <w:rFonts w:hint="eastAsia"/>
                <w:color w:val="auto"/>
                <w:szCs w:val="24"/>
              </w:rPr>
              <w:t>五、成交和合同</w:t>
            </w:r>
          </w:p>
        </w:tc>
      </w:tr>
      <w:tr w14:paraId="5DFAF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CB25439">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97F3E95">
            <w:pPr>
              <w:wordWrap w:val="0"/>
              <w:spacing w:line="360" w:lineRule="auto"/>
              <w:jc w:val="center"/>
              <w:rPr>
                <w:color w:val="auto"/>
                <w:szCs w:val="24"/>
              </w:rPr>
            </w:pPr>
            <w:r>
              <w:rPr>
                <w:rFonts w:hint="eastAsia"/>
                <w:color w:val="auto"/>
                <w:szCs w:val="24"/>
              </w:rPr>
              <w:t>合同融资</w:t>
            </w:r>
          </w:p>
          <w:p w14:paraId="72EB41A3">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7080" w:type="dxa"/>
            <w:tcBorders>
              <w:top w:val="single" w:color="auto" w:sz="4" w:space="0"/>
              <w:left w:val="single" w:color="auto" w:sz="4" w:space="0"/>
              <w:bottom w:val="single" w:color="auto" w:sz="4" w:space="0"/>
            </w:tcBorders>
            <w:vAlign w:val="center"/>
          </w:tcPr>
          <w:p w14:paraId="06570A1A">
            <w:pPr>
              <w:pStyle w:val="11"/>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14:paraId="19824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4F365DE6">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14:paraId="048C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959" w:type="dxa"/>
            <w:tcBorders>
              <w:top w:val="single" w:color="auto" w:sz="4" w:space="0"/>
              <w:bottom w:val="single" w:color="auto" w:sz="4" w:space="0"/>
              <w:right w:val="single" w:color="auto" w:sz="4" w:space="0"/>
            </w:tcBorders>
            <w:vAlign w:val="center"/>
          </w:tcPr>
          <w:p w14:paraId="43832321">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17</w:t>
            </w:r>
          </w:p>
        </w:tc>
        <w:tc>
          <w:tcPr>
            <w:tcW w:w="1639" w:type="dxa"/>
            <w:tcBorders>
              <w:top w:val="single" w:color="auto" w:sz="4" w:space="0"/>
              <w:left w:val="single" w:color="auto" w:sz="4" w:space="0"/>
              <w:bottom w:val="single" w:color="auto" w:sz="4" w:space="0"/>
              <w:right w:val="single" w:color="auto" w:sz="4" w:space="0"/>
            </w:tcBorders>
            <w:vAlign w:val="center"/>
          </w:tcPr>
          <w:p w14:paraId="611265D0">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14:paraId="51E0277A">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14:paraId="7D5AAB41">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14:paraId="6C418F5C">
            <w:pPr>
              <w:wordWrap w:val="0"/>
              <w:spacing w:line="360" w:lineRule="auto"/>
              <w:rPr>
                <w:color w:val="auto"/>
                <w:szCs w:val="24"/>
              </w:rPr>
            </w:pPr>
            <w:r>
              <w:rPr>
                <w:rFonts w:hint="eastAsia"/>
                <w:color w:val="auto"/>
                <w:szCs w:val="24"/>
              </w:rPr>
              <w:t>（3）交易平台环境要求：</w:t>
            </w:r>
          </w:p>
          <w:p w14:paraId="39102211">
            <w:pPr>
              <w:wordWrap w:val="0"/>
              <w:spacing w:line="360" w:lineRule="auto"/>
              <w:rPr>
                <w:color w:val="auto"/>
                <w:szCs w:val="24"/>
              </w:rPr>
            </w:pPr>
            <w:r>
              <w:rPr>
                <w:rFonts w:hint="eastAsia"/>
                <w:color w:val="auto"/>
                <w:szCs w:val="24"/>
              </w:rPr>
              <w:t>①操作系统：Windows 7及以上版本；</w:t>
            </w:r>
          </w:p>
          <w:p w14:paraId="0C887883">
            <w:pPr>
              <w:wordWrap w:val="0"/>
              <w:spacing w:line="360" w:lineRule="auto"/>
              <w:rPr>
                <w:color w:val="auto"/>
                <w:szCs w:val="24"/>
              </w:rPr>
            </w:pPr>
            <w:r>
              <w:rPr>
                <w:rFonts w:hint="eastAsia"/>
                <w:color w:val="auto"/>
                <w:szCs w:val="24"/>
              </w:rPr>
              <w:t>②浏览器：360浏览器、Internet Explorer 11、10；</w:t>
            </w:r>
          </w:p>
          <w:p w14:paraId="4FEF9861">
            <w:pPr>
              <w:wordWrap w:val="0"/>
              <w:spacing w:line="360" w:lineRule="auto"/>
              <w:rPr>
                <w:color w:val="auto"/>
                <w:szCs w:val="24"/>
              </w:rPr>
            </w:pPr>
            <w:r>
              <w:rPr>
                <w:rFonts w:hint="eastAsia"/>
                <w:color w:val="auto"/>
                <w:szCs w:val="24"/>
              </w:rPr>
              <w:t>③办公软件：Microsoft Office 2007-2016完整版、WPS Office 2019个人版、WPS Office 企业版；</w:t>
            </w:r>
          </w:p>
          <w:p w14:paraId="5C4406B4">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14:paraId="6063B7B3">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14:paraId="0F68627C">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14:paraId="7B6DF8EF">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14:paraId="16502628">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14:paraId="0D6F12D3">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14:paraId="01BAC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1BDA2DA6">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14:paraId="162C2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7E5559EE">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6CAEEF8">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14:paraId="3B14AE7B">
            <w:pPr>
              <w:pStyle w:val="11"/>
              <w:wordWrap w:val="0"/>
              <w:spacing w:line="360" w:lineRule="auto"/>
              <w:rPr>
                <w:color w:val="auto"/>
                <w:szCs w:val="24"/>
              </w:rPr>
            </w:pPr>
            <w:r>
              <w:rPr>
                <w:rFonts w:hint="eastAsia"/>
                <w:color w:val="auto"/>
                <w:szCs w:val="24"/>
              </w:rPr>
              <w:t>采购人联系方式详见第一章“磋商邀请”</w:t>
            </w:r>
          </w:p>
          <w:p w14:paraId="3C3B21C0">
            <w:pPr>
              <w:pStyle w:val="11"/>
              <w:wordWrap w:val="0"/>
              <w:spacing w:line="360" w:lineRule="auto"/>
              <w:rPr>
                <w:color w:val="auto"/>
                <w:szCs w:val="24"/>
                <w:highlight w:val="yellow"/>
              </w:rPr>
            </w:pPr>
            <w:r>
              <w:rPr>
                <w:rFonts w:hint="eastAsia"/>
                <w:color w:val="auto"/>
                <w:szCs w:val="24"/>
              </w:rPr>
              <w:t>竞争性磋商文件联系方式详见第一章“磋商邀请”</w:t>
            </w:r>
          </w:p>
          <w:p w14:paraId="6B83D62B">
            <w:pPr>
              <w:pStyle w:val="11"/>
              <w:wordWrap w:val="0"/>
              <w:spacing w:line="360" w:lineRule="auto"/>
              <w:rPr>
                <w:color w:val="auto"/>
                <w:szCs w:val="24"/>
              </w:rPr>
            </w:pPr>
            <w:r>
              <w:rPr>
                <w:rFonts w:hint="eastAsia"/>
                <w:color w:val="auto"/>
                <w:szCs w:val="24"/>
              </w:rPr>
              <w:t>开评审及成交后事项联系方式：0722-3563205。</w:t>
            </w:r>
          </w:p>
        </w:tc>
      </w:tr>
      <w:tr w14:paraId="5AB4F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1DFD804D">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9B209E6">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14:paraId="33CF74DC">
            <w:pPr>
              <w:pStyle w:val="11"/>
              <w:wordWrap w:val="0"/>
              <w:spacing w:line="360" w:lineRule="auto"/>
              <w:rPr>
                <w:color w:val="auto"/>
                <w:szCs w:val="24"/>
              </w:rPr>
            </w:pPr>
            <w:r>
              <w:rPr>
                <w:rFonts w:hint="eastAsia"/>
                <w:color w:val="auto"/>
                <w:szCs w:val="24"/>
              </w:rPr>
              <w:t>联系人：钦盼、万栋   电话：0722-3563205</w:t>
            </w:r>
          </w:p>
          <w:p w14:paraId="6567734F">
            <w:pPr>
              <w:tabs>
                <w:tab w:val="left" w:pos="0"/>
              </w:tabs>
              <w:wordWrap w:val="0"/>
              <w:spacing w:line="360" w:lineRule="auto"/>
              <w:rPr>
                <w:color w:val="auto"/>
                <w:szCs w:val="24"/>
              </w:rPr>
            </w:pPr>
            <w:r>
              <w:rPr>
                <w:rFonts w:hint="eastAsia"/>
                <w:color w:val="auto"/>
                <w:szCs w:val="24"/>
              </w:rPr>
              <w:t>地址：随县新民主路（随县政府大楼南侧）</w:t>
            </w:r>
          </w:p>
        </w:tc>
      </w:tr>
      <w:tr w14:paraId="2F07B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14:paraId="1A406612">
            <w:pPr>
              <w:pStyle w:val="11"/>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14:paraId="67BA50EF">
            <w:pPr>
              <w:pStyle w:val="11"/>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14:paraId="0D19916C">
      <w:pPr>
        <w:pStyle w:val="11"/>
        <w:wordWrap w:val="0"/>
        <w:spacing w:line="360" w:lineRule="auto"/>
        <w:rPr>
          <w:color w:val="auto"/>
        </w:rPr>
      </w:pPr>
      <w:r>
        <w:rPr>
          <w:color w:val="auto"/>
        </w:rPr>
        <w:br w:type="page"/>
      </w:r>
    </w:p>
    <w:bookmarkEnd w:id="80"/>
    <w:bookmarkEnd w:id="81"/>
    <w:bookmarkEnd w:id="82"/>
    <w:bookmarkEnd w:id="83"/>
    <w:bookmarkEnd w:id="84"/>
    <w:bookmarkEnd w:id="85"/>
    <w:bookmarkEnd w:id="86"/>
    <w:p w14:paraId="1C6C2E7B">
      <w:pPr>
        <w:pStyle w:val="2"/>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22527526"/>
      <w:bookmarkStart w:id="88" w:name="_Toc117244350"/>
      <w:bookmarkStart w:id="89" w:name="_Toc117244465"/>
      <w:r>
        <w:rPr>
          <w:rFonts w:hint="eastAsia" w:ascii="宋体" w:hAnsi="宋体" w:eastAsia="宋体" w:cs="Times New Roman"/>
          <w:bCs w:val="0"/>
          <w:color w:val="auto"/>
          <w:sz w:val="28"/>
          <w:szCs w:val="28"/>
          <w:lang w:val="zh-CN"/>
        </w:rPr>
        <w:t>总  则</w:t>
      </w:r>
      <w:bookmarkEnd w:id="87"/>
      <w:bookmarkEnd w:id="88"/>
      <w:bookmarkEnd w:id="89"/>
    </w:p>
    <w:p w14:paraId="0E898102">
      <w:pPr>
        <w:pStyle w:val="45"/>
        <w:numPr>
          <w:ilvl w:val="0"/>
          <w:numId w:val="9"/>
        </w:numPr>
        <w:spacing w:line="360" w:lineRule="auto"/>
        <w:ind w:left="284" w:hanging="284" w:firstLineChars="0"/>
        <w:rPr>
          <w:b/>
          <w:color w:val="auto"/>
          <w:szCs w:val="24"/>
          <w:lang w:val="zh-CN"/>
        </w:rPr>
      </w:pPr>
      <w:bookmarkStart w:id="90" w:name="_Toc102115979"/>
      <w:bookmarkStart w:id="91" w:name="_Toc102057677"/>
      <w:bookmarkStart w:id="92" w:name="_Toc102114877"/>
      <w:bookmarkStart w:id="93" w:name="_Toc102116109"/>
      <w:bookmarkStart w:id="94" w:name="_Toc102119810"/>
      <w:bookmarkStart w:id="95" w:name="_Toc102056177"/>
      <w:r>
        <w:rPr>
          <w:rFonts w:hint="eastAsia"/>
          <w:b/>
          <w:color w:val="auto"/>
          <w:szCs w:val="24"/>
          <w:lang w:val="zh-CN"/>
        </w:rPr>
        <w:t>适用</w:t>
      </w:r>
      <w:bookmarkEnd w:id="90"/>
      <w:bookmarkEnd w:id="91"/>
      <w:bookmarkEnd w:id="92"/>
      <w:bookmarkEnd w:id="93"/>
      <w:bookmarkEnd w:id="94"/>
      <w:bookmarkEnd w:id="95"/>
      <w:r>
        <w:rPr>
          <w:rFonts w:hint="eastAsia"/>
          <w:b/>
          <w:color w:val="auto"/>
          <w:szCs w:val="24"/>
          <w:lang w:val="zh-CN"/>
        </w:rPr>
        <w:t>范围</w:t>
      </w:r>
    </w:p>
    <w:p w14:paraId="2C2BC282">
      <w:pPr>
        <w:wordWrap w:val="0"/>
        <w:adjustRightInd w:val="0"/>
        <w:snapToGrid w:val="0"/>
        <w:spacing w:line="360" w:lineRule="auto"/>
        <w:ind w:firstLine="480" w:firstLineChars="200"/>
        <w:rPr>
          <w:color w:val="auto"/>
          <w:lang w:val="zh-CN"/>
        </w:rPr>
      </w:pPr>
      <w:r>
        <w:rPr>
          <w:rFonts w:hint="eastAsia"/>
          <w:color w:val="auto"/>
          <w:szCs w:val="24"/>
          <w:lang w:val="zh-CN"/>
        </w:rPr>
        <w:t>本竞争性磋商文件仅适用于“第一章 磋商邀请”中所述的采购项目。</w:t>
      </w:r>
    </w:p>
    <w:p w14:paraId="19DCF17C">
      <w:pPr>
        <w:pStyle w:val="45"/>
        <w:numPr>
          <w:ilvl w:val="0"/>
          <w:numId w:val="9"/>
        </w:numPr>
        <w:spacing w:line="360" w:lineRule="auto"/>
        <w:ind w:left="284" w:hanging="284" w:firstLineChars="0"/>
        <w:rPr>
          <w:b/>
          <w:color w:val="auto"/>
          <w:szCs w:val="24"/>
          <w:lang w:val="zh-CN"/>
        </w:rPr>
      </w:pPr>
      <w:bookmarkStart w:id="96" w:name="_Toc102119814"/>
      <w:bookmarkStart w:id="97" w:name="_Toc102115983"/>
      <w:bookmarkStart w:id="98" w:name="_Toc102057680"/>
      <w:bookmarkStart w:id="99" w:name="_Toc102116113"/>
      <w:bookmarkStart w:id="100" w:name="_Toc102114881"/>
      <w:bookmarkStart w:id="101" w:name="_Toc102056180"/>
      <w:bookmarkStart w:id="102" w:name="_Toc102115981"/>
      <w:bookmarkStart w:id="103" w:name="_Toc102116111"/>
      <w:bookmarkStart w:id="104" w:name="_Toc102056179"/>
      <w:bookmarkStart w:id="105" w:name="_Toc102057679"/>
      <w:bookmarkStart w:id="106" w:name="_Toc102114879"/>
      <w:bookmarkStart w:id="107" w:name="_Toc102119812"/>
      <w:r>
        <w:rPr>
          <w:rFonts w:hint="eastAsia"/>
          <w:b/>
          <w:color w:val="auto"/>
          <w:szCs w:val="24"/>
          <w:lang w:val="zh-CN"/>
        </w:rPr>
        <w:t>基本定义</w:t>
      </w:r>
    </w:p>
    <w:p w14:paraId="6147ABAD">
      <w:pPr>
        <w:numPr>
          <w:ilvl w:val="0"/>
          <w:numId w:val="10"/>
        </w:numPr>
        <w:wordWrap w:val="0"/>
        <w:adjustRightInd w:val="0"/>
        <w:snapToGrid w:val="0"/>
        <w:spacing w:line="360" w:lineRule="auto"/>
        <w:ind w:left="476" w:hanging="476"/>
        <w:rPr>
          <w:color w:val="auto"/>
          <w:szCs w:val="24"/>
        </w:rPr>
      </w:pPr>
      <w:r>
        <w:rPr>
          <w:rFonts w:hint="eastAsia"/>
          <w:color w:val="auto"/>
          <w:szCs w:val="24"/>
        </w:rPr>
        <w:t>“</w:t>
      </w:r>
      <w:r>
        <w:rPr>
          <w:rFonts w:hint="eastAsia"/>
          <w:color w:val="auto"/>
          <w:szCs w:val="24"/>
          <w:lang w:val="zh-CN"/>
        </w:rPr>
        <w:t>电子采购平台</w:t>
      </w:r>
      <w:r>
        <w:rPr>
          <w:rFonts w:hint="eastAsia"/>
          <w:color w:val="auto"/>
          <w:szCs w:val="24"/>
        </w:rPr>
        <w:t>”</w:t>
      </w:r>
      <w:r>
        <w:rPr>
          <w:rFonts w:hint="eastAsia"/>
          <w:color w:val="auto"/>
          <w:szCs w:val="24"/>
          <w:lang w:val="zh-CN"/>
        </w:rPr>
        <w:t>是指</w:t>
      </w:r>
      <w:r>
        <w:rPr>
          <w:rFonts w:hint="eastAsia"/>
          <w:color w:val="auto"/>
          <w:szCs w:val="24"/>
        </w:rPr>
        <w:t>：</w:t>
      </w:r>
      <w:r>
        <w:rPr>
          <w:rFonts w:hint="eastAsia"/>
          <w:color w:val="auto"/>
          <w:szCs w:val="24"/>
          <w:lang w:val="zh-CN"/>
        </w:rPr>
        <w:t>随县政府电子采购平台</w:t>
      </w:r>
      <w:r>
        <w:rPr>
          <w:rFonts w:hint="eastAsia"/>
          <w:color w:val="auto"/>
          <w:szCs w:val="24"/>
        </w:rPr>
        <w:t>(https://dzcg. hubeigp. gov. cn/lassets/ special/ 100/hbenterpoint. html)</w:t>
      </w:r>
      <w:r>
        <w:rPr>
          <w:rFonts w:hint="eastAsia"/>
          <w:color w:val="auto"/>
          <w:szCs w:val="24"/>
          <w:lang w:val="zh-CN"/>
        </w:rPr>
        <w:t>。</w:t>
      </w:r>
    </w:p>
    <w:p w14:paraId="57D9E6D7">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磋商邀请”。</w:t>
      </w:r>
    </w:p>
    <w:p w14:paraId="781E13A0">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“集中采购机构”是指：随县公共资源交易中心（随县政府采购中心）。</w:t>
      </w:r>
    </w:p>
    <w:p w14:paraId="1D53F4F8">
      <w:pPr>
        <w:numPr>
          <w:ilvl w:val="0"/>
          <w:numId w:val="10"/>
        </w:numPr>
        <w:wordWrap w:val="0"/>
        <w:adjustRightInd w:val="0"/>
        <w:snapToGrid w:val="0"/>
        <w:spacing w:line="360" w:lineRule="auto"/>
        <w:ind w:left="476" w:hanging="476"/>
        <w:rPr>
          <w:color w:val="auto"/>
          <w:lang w:val="zh-CN"/>
        </w:rPr>
      </w:pPr>
      <w:r>
        <w:rPr>
          <w:rFonts w:hint="eastAsia"/>
          <w:color w:val="auto"/>
          <w:szCs w:val="24"/>
          <w:lang w:val="zh-CN"/>
        </w:rPr>
        <w:t>“供应商”是指：响应竞争性磋商、参加磋商竞争的法人、其他组织或者自然人，应在电子采购平台注册办理CA数字证书及电子签章。</w:t>
      </w:r>
    </w:p>
    <w:p w14:paraId="4481A4A9">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“成交供应商”是指：经磋商小组评审，授予合同的供应商。</w:t>
      </w:r>
    </w:p>
    <w:p w14:paraId="0C73FCA8">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6676CBB1">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监管部门</w:t>
      </w:r>
    </w:p>
    <w:p w14:paraId="712FECDC">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“磋商须知前附表”</w:t>
      </w:r>
      <w:r>
        <w:rPr>
          <w:rFonts w:hint="eastAsia"/>
          <w:color w:val="auto"/>
          <w:szCs w:val="24"/>
          <w:lang w:val="zh-CN"/>
        </w:rPr>
        <w:t>。</w:t>
      </w:r>
    </w:p>
    <w:p w14:paraId="4E67499A">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02570AE4">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项目属性</w:t>
      </w:r>
      <w:bookmarkEnd w:id="96"/>
      <w:bookmarkEnd w:id="97"/>
      <w:bookmarkEnd w:id="98"/>
      <w:bookmarkEnd w:id="99"/>
      <w:bookmarkEnd w:id="100"/>
      <w:bookmarkEnd w:id="101"/>
    </w:p>
    <w:p w14:paraId="340AF5CD">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“磋商须知前附表”</w:t>
      </w:r>
      <w:r>
        <w:rPr>
          <w:rFonts w:hint="eastAsia"/>
          <w:color w:val="auto"/>
          <w:szCs w:val="24"/>
          <w:lang w:val="zh-CN"/>
        </w:rPr>
        <w:t>。</w:t>
      </w:r>
    </w:p>
    <w:p w14:paraId="324B0E11">
      <w:pPr>
        <w:numPr>
          <w:ilvl w:val="0"/>
          <w:numId w:val="12"/>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102"/>
    <w:bookmarkEnd w:id="103"/>
    <w:bookmarkEnd w:id="104"/>
    <w:bookmarkEnd w:id="105"/>
    <w:bookmarkEnd w:id="106"/>
    <w:bookmarkEnd w:id="107"/>
    <w:p w14:paraId="386824F1">
      <w:pPr>
        <w:pStyle w:val="45"/>
        <w:numPr>
          <w:ilvl w:val="0"/>
          <w:numId w:val="9"/>
        </w:numPr>
        <w:spacing w:line="360" w:lineRule="auto"/>
        <w:ind w:left="284" w:hanging="284" w:firstLineChars="0"/>
        <w:rPr>
          <w:b/>
          <w:color w:val="auto"/>
          <w:szCs w:val="24"/>
          <w:lang w:val="zh-CN"/>
        </w:rPr>
      </w:pPr>
      <w:bookmarkStart w:id="108" w:name="_Toc102116116"/>
      <w:bookmarkStart w:id="109" w:name="_Toc102057683"/>
      <w:bookmarkStart w:id="110" w:name="_Toc102115986"/>
      <w:bookmarkStart w:id="111" w:name="_Toc102114884"/>
      <w:bookmarkStart w:id="112" w:name="_Toc102119817"/>
      <w:bookmarkStart w:id="113" w:name="_Toc102056183"/>
      <w:r>
        <w:rPr>
          <w:rFonts w:hint="eastAsia"/>
          <w:b/>
          <w:color w:val="auto"/>
          <w:szCs w:val="24"/>
          <w:lang w:val="zh-CN"/>
        </w:rPr>
        <w:t>供应商资格要求</w:t>
      </w:r>
    </w:p>
    <w:p w14:paraId="0359229E">
      <w:pPr>
        <w:numPr>
          <w:ilvl w:val="0"/>
          <w:numId w:val="13"/>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磋商邀请”中供应商资格要求的条件。</w:t>
      </w:r>
    </w:p>
    <w:p w14:paraId="2E844E90">
      <w:pPr>
        <w:numPr>
          <w:ilvl w:val="0"/>
          <w:numId w:val="13"/>
        </w:numPr>
        <w:wordWrap w:val="0"/>
        <w:adjustRightInd w:val="0"/>
        <w:snapToGrid w:val="0"/>
        <w:spacing w:line="360" w:lineRule="auto"/>
        <w:ind w:left="476" w:hanging="476"/>
        <w:rPr>
          <w:color w:val="auto"/>
          <w:szCs w:val="24"/>
          <w:highlight w:val="none"/>
          <w:lang w:val="zh-CN"/>
        </w:rPr>
      </w:pPr>
      <w:bookmarkStart w:id="114" w:name="_Toc102056196"/>
      <w:bookmarkStart w:id="115" w:name="_Toc102119831"/>
      <w:bookmarkStart w:id="116" w:name="_Toc102116130"/>
      <w:bookmarkStart w:id="117" w:name="_Toc102057696"/>
      <w:bookmarkStart w:id="118" w:name="_Toc102114898"/>
      <w:bookmarkStart w:id="119" w:name="_Toc102116000"/>
      <w:r>
        <w:rPr>
          <w:rFonts w:hint="eastAsia"/>
          <w:color w:val="auto"/>
          <w:szCs w:val="24"/>
          <w:highlight w:val="none"/>
          <w:lang w:val="zh-CN"/>
        </w:rPr>
        <w:t>联合体</w:t>
      </w:r>
      <w:bookmarkEnd w:id="114"/>
      <w:bookmarkEnd w:id="115"/>
      <w:bookmarkEnd w:id="116"/>
      <w:bookmarkEnd w:id="117"/>
      <w:bookmarkEnd w:id="118"/>
      <w:bookmarkEnd w:id="119"/>
    </w:p>
    <w:p w14:paraId="6EEF80FA">
      <w:pPr>
        <w:pStyle w:val="11"/>
        <w:tabs>
          <w:tab w:val="left" w:pos="1701"/>
        </w:tabs>
        <w:wordWrap w:val="0"/>
        <w:adjustRightInd w:val="0"/>
        <w:snapToGrid w:val="0"/>
        <w:spacing w:line="360" w:lineRule="auto"/>
        <w:ind w:firstLine="480" w:firstLineChars="200"/>
        <w:rPr>
          <w:color w:val="auto"/>
          <w:szCs w:val="24"/>
          <w:highlight w:val="none"/>
          <w:lang w:val="zh-CN"/>
        </w:rPr>
      </w:pPr>
      <w:r>
        <w:rPr>
          <w:rFonts w:hint="eastAsia"/>
          <w:color w:val="auto"/>
          <w:szCs w:val="24"/>
          <w:highlight w:val="none"/>
          <w:lang w:val="zh-CN"/>
        </w:rPr>
        <w:t>（1）两个以上自然人、</w:t>
      </w:r>
      <w:r>
        <w:rPr>
          <w:rFonts w:hint="eastAsia"/>
          <w:color w:val="auto"/>
          <w:highlight w:val="none"/>
          <w:lang w:val="zh-CN"/>
        </w:rPr>
        <w:t>法人</w:t>
      </w:r>
      <w:r>
        <w:rPr>
          <w:rFonts w:hint="eastAsia"/>
          <w:color w:val="auto"/>
          <w:szCs w:val="24"/>
          <w:highlight w:val="none"/>
          <w:lang w:val="zh-CN"/>
        </w:rPr>
        <w:t>或者其它组织可以组成联合体，以一个供应商身份共同参加磋商。接受或要求联合体的，详见第一章“磋商邀请”。</w:t>
      </w:r>
    </w:p>
    <w:p w14:paraId="141DD8E0">
      <w:pPr>
        <w:pStyle w:val="11"/>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（2）以联合体形式进行</w:t>
      </w:r>
      <w:r>
        <w:rPr>
          <w:rFonts w:hint="eastAsia" w:cs="宋体"/>
          <w:bCs/>
          <w:color w:val="auto"/>
          <w:szCs w:val="24"/>
          <w:highlight w:val="none"/>
          <w:lang w:val="zh-CN"/>
        </w:rPr>
        <w:t>磋商</w:t>
      </w:r>
      <w:r>
        <w:rPr>
          <w:rFonts w:hint="eastAsia" w:cs="宋体"/>
          <w:color w:val="auto"/>
          <w:szCs w:val="24"/>
          <w:highlight w:val="none"/>
          <w:lang w:val="zh-CN"/>
        </w:rPr>
        <w:t>的，应由组成联合体的任意一方办理参与项目的相关手续，联合体各方之间应签订联合协议书。联合体各方均应当符合《政府采购法》第二十二条第一款规定的条件。</w:t>
      </w:r>
    </w:p>
    <w:p w14:paraId="32216ECD">
      <w:pPr>
        <w:pStyle w:val="11"/>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（3）联合体中有同类资质的供应商按照联合体分工承担相同工作的，应当按照资质等级较低的供应商确定资质等级。</w:t>
      </w:r>
    </w:p>
    <w:p w14:paraId="2C004060">
      <w:pPr>
        <w:pStyle w:val="11"/>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（4）联合体成交的，联合体各方应当共同与采购人签订采购合同，</w:t>
      </w:r>
      <w:r>
        <w:rPr>
          <w:rFonts w:hint="eastAsia" w:cs="宋体"/>
          <w:color w:val="auto"/>
          <w:szCs w:val="24"/>
          <w:highlight w:val="none"/>
        </w:rPr>
        <w:t>就采购合同约定的事项对采购人承担</w:t>
      </w:r>
      <w:r>
        <w:rPr>
          <w:rFonts w:hint="eastAsia" w:cs="宋体"/>
          <w:color w:val="auto"/>
          <w:szCs w:val="24"/>
          <w:highlight w:val="none"/>
          <w:lang w:val="zh-CN"/>
        </w:rPr>
        <w:t>连带责任</w:t>
      </w:r>
      <w:r>
        <w:rPr>
          <w:rFonts w:hint="eastAsia" w:cs="宋体"/>
          <w:color w:val="auto"/>
          <w:szCs w:val="24"/>
          <w:highlight w:val="none"/>
        </w:rPr>
        <w:t>，</w:t>
      </w:r>
      <w:r>
        <w:rPr>
          <w:rFonts w:hint="eastAsia" w:cs="宋体"/>
          <w:color w:val="auto"/>
          <w:szCs w:val="24"/>
          <w:highlight w:val="none"/>
          <w:lang w:val="zh-CN"/>
        </w:rPr>
        <w:t>联合体主体负主要责任。</w:t>
      </w:r>
    </w:p>
    <w:p w14:paraId="1789E3BB">
      <w:pPr>
        <w:numPr>
          <w:ilvl w:val="0"/>
          <w:numId w:val="13"/>
        </w:numPr>
        <w:wordWrap w:val="0"/>
        <w:adjustRightInd w:val="0"/>
        <w:snapToGrid w:val="0"/>
        <w:spacing w:line="360" w:lineRule="auto"/>
        <w:ind w:left="476" w:hanging="476"/>
        <w:rPr>
          <w:color w:val="auto"/>
          <w:lang w:val="zh-CN"/>
        </w:rPr>
      </w:pPr>
      <w:bookmarkStart w:id="120" w:name="_Toc102116131"/>
      <w:bookmarkStart w:id="121" w:name="_Toc102119832"/>
      <w:bookmarkStart w:id="122" w:name="_Toc102114899"/>
      <w:bookmarkStart w:id="123" w:name="_Toc102056197"/>
      <w:bookmarkStart w:id="124" w:name="_Toc102057697"/>
      <w:bookmarkStart w:id="125" w:name="_Toc102116001"/>
      <w:r>
        <w:rPr>
          <w:rFonts w:hint="eastAsia"/>
          <w:color w:val="auto"/>
          <w:szCs w:val="24"/>
          <w:lang w:val="zh-CN"/>
        </w:rPr>
        <w:t>分支机构</w:t>
      </w:r>
      <w:bookmarkEnd w:id="120"/>
      <w:bookmarkEnd w:id="121"/>
      <w:bookmarkEnd w:id="122"/>
      <w:bookmarkEnd w:id="123"/>
      <w:bookmarkEnd w:id="124"/>
      <w:bookmarkEnd w:id="125"/>
      <w:r>
        <w:rPr>
          <w:rFonts w:hint="eastAsia"/>
          <w:color w:val="auto"/>
          <w:szCs w:val="24"/>
          <w:lang w:val="zh-CN"/>
        </w:rPr>
        <w:t>：根据财政部《政府采购法实施条例》释义中关于供应商资格条件的解释，对于分支机构磋商详见</w:t>
      </w:r>
      <w:r>
        <w:rPr>
          <w:rFonts w:hint="eastAsia"/>
          <w:b/>
          <w:color w:val="auto"/>
          <w:szCs w:val="24"/>
          <w:lang w:val="zh-CN"/>
        </w:rPr>
        <w:t>“磋商须知前附表”</w:t>
      </w:r>
      <w:r>
        <w:rPr>
          <w:rFonts w:hint="eastAsia"/>
          <w:color w:val="auto"/>
          <w:szCs w:val="24"/>
          <w:lang w:val="zh-CN"/>
        </w:rPr>
        <w:t>的规定。</w:t>
      </w:r>
    </w:p>
    <w:p w14:paraId="1D715032">
      <w:pPr>
        <w:pStyle w:val="45"/>
        <w:numPr>
          <w:ilvl w:val="0"/>
          <w:numId w:val="9"/>
        </w:numPr>
        <w:spacing w:line="440" w:lineRule="exact"/>
        <w:ind w:left="284" w:hanging="284" w:firstLineChars="0"/>
        <w:rPr>
          <w:rFonts w:cs="宋体"/>
          <w:color w:val="auto"/>
          <w:kern w:val="2"/>
          <w:szCs w:val="24"/>
          <w:lang w:val="zh-CN"/>
        </w:rPr>
      </w:pPr>
      <w:r>
        <w:rPr>
          <w:rFonts w:hint="eastAsia"/>
          <w:b/>
          <w:color w:val="auto"/>
          <w:szCs w:val="24"/>
          <w:lang w:val="zh-CN"/>
        </w:rPr>
        <w:t>磋商小组</w:t>
      </w:r>
    </w:p>
    <w:p w14:paraId="33FC3C8D">
      <w:pPr>
        <w:pStyle w:val="45"/>
        <w:numPr>
          <w:ilvl w:val="0"/>
          <w:numId w:val="14"/>
        </w:numPr>
        <w:spacing w:line="360" w:lineRule="auto"/>
        <w:ind w:left="567" w:hanging="567" w:firstLineChars="0"/>
        <w:rPr>
          <w:rFonts w:cs="宋体"/>
          <w:color w:val="auto"/>
          <w:kern w:val="2"/>
          <w:szCs w:val="24"/>
          <w:lang w:val="zh-CN"/>
        </w:rPr>
      </w:pPr>
      <w:r>
        <w:rPr>
          <w:rFonts w:hint="eastAsia" w:cs="宋体"/>
          <w:color w:val="auto"/>
          <w:kern w:val="2"/>
          <w:szCs w:val="24"/>
          <w:lang w:val="zh-CN"/>
        </w:rPr>
        <w:t>磋商小组由采购人代表和评审专家组成（评审专家对本单位的磋商项目只能作为采购人代表参与评标，本章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，成员人数应当为3人以上单数，其中评审专家人数不得少于磋商小组成员总数的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；达到公开招标数额标准的货物或服务采购项目，或者达到招标规模标准的政府采购工程，磋商小组应当由5人及以上单数组成。</w:t>
      </w:r>
    </w:p>
    <w:p w14:paraId="6AE30733">
      <w:pPr>
        <w:pStyle w:val="45"/>
        <w:numPr>
          <w:ilvl w:val="0"/>
          <w:numId w:val="14"/>
        </w:numPr>
        <w:spacing w:line="360" w:lineRule="auto"/>
        <w:ind w:left="567" w:hanging="567" w:firstLineChars="0"/>
        <w:rPr>
          <w:rFonts w:cs="宋体"/>
          <w:color w:val="auto"/>
          <w:kern w:val="2"/>
          <w:lang w:val="zh-CN"/>
        </w:rPr>
      </w:pPr>
      <w:r>
        <w:rPr>
          <w:rFonts w:hint="eastAsia" w:cs="宋体"/>
          <w:color w:val="auto"/>
          <w:kern w:val="2"/>
          <w:szCs w:val="24"/>
          <w:lang w:val="zh-CN"/>
        </w:rPr>
        <w:t>磋商小组中的评审</w:t>
      </w:r>
      <w:r>
        <w:rPr>
          <w:rFonts w:hint="eastAsia" w:cs="宋体"/>
          <w:color w:val="auto"/>
          <w:kern w:val="2"/>
          <w:szCs w:val="24"/>
        </w:rPr>
        <w:t>专家依法</w:t>
      </w:r>
      <w:r>
        <w:rPr>
          <w:rFonts w:hint="eastAsia" w:cs="宋体"/>
          <w:color w:val="auto"/>
          <w:kern w:val="2"/>
          <w:lang w:val="zh-CN"/>
        </w:rPr>
        <w:t>从湖北省政府采购评审专家库中随机抽取。</w:t>
      </w:r>
    </w:p>
    <w:p w14:paraId="0DC20F86">
      <w:pPr>
        <w:pStyle w:val="45"/>
        <w:numPr>
          <w:ilvl w:val="0"/>
          <w:numId w:val="14"/>
        </w:numPr>
        <w:spacing w:line="360" w:lineRule="auto"/>
        <w:ind w:left="567" w:hanging="567" w:firstLineChars="0"/>
        <w:rPr>
          <w:rFonts w:cs="宋体"/>
          <w:color w:val="auto"/>
          <w:kern w:val="2"/>
          <w:lang w:val="zh-CN"/>
        </w:rPr>
      </w:pPr>
      <w:r>
        <w:rPr>
          <w:rFonts w:hint="eastAsia" w:cs="宋体"/>
          <w:color w:val="auto"/>
          <w:kern w:val="2"/>
          <w:lang w:val="zh-CN"/>
        </w:rPr>
        <w:t>对市场竞争不充分的科研项目、需要扶持的科技成果转化项目以及技术复杂、专业性强的采购项目，通过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14:paraId="50023EA2">
      <w:pPr>
        <w:pStyle w:val="45"/>
        <w:numPr>
          <w:ilvl w:val="0"/>
          <w:numId w:val="14"/>
        </w:numPr>
        <w:spacing w:line="360" w:lineRule="auto"/>
        <w:ind w:left="567" w:hanging="567" w:firstLineChars="0"/>
        <w:rPr>
          <w:color w:val="auto"/>
          <w:szCs w:val="24"/>
        </w:rPr>
      </w:pPr>
      <w:r>
        <w:rPr>
          <w:rFonts w:hint="eastAsia"/>
          <w:color w:val="auto"/>
          <w:szCs w:val="24"/>
        </w:rPr>
        <w:t>磋商小组成员有下列情形之一的，应当回避：</w:t>
      </w:r>
    </w:p>
    <w:p w14:paraId="0D6FE1A4">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14:paraId="0E293EED">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14:paraId="6BB204F5">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14:paraId="4913855E">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14:paraId="60EC92C7">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14:paraId="35C871AA">
      <w:pPr>
        <w:pStyle w:val="45"/>
        <w:numPr>
          <w:ilvl w:val="0"/>
          <w:numId w:val="14"/>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磋商小组在采购活动过程中履行的职责</w:t>
      </w:r>
    </w:p>
    <w:p w14:paraId="74BEE88A">
      <w:pPr>
        <w:pStyle w:val="11"/>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或者制定磋商采购文件。</w:t>
      </w:r>
    </w:p>
    <w:p w14:paraId="5BB131F4">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（2）从符合相应资格条件的供应商名单中确定不少于3家（</w:t>
      </w:r>
      <w:r>
        <w:rPr>
          <w:rFonts w:hint="eastAsia"/>
          <w:color w:val="auto"/>
        </w:rPr>
        <w:t>符合本章</w:t>
      </w:r>
      <w:r>
        <w:rPr>
          <w:color w:val="auto"/>
        </w:rPr>
        <w:t>6.7条规定情形的</w:t>
      </w:r>
      <w:r>
        <w:rPr>
          <w:rFonts w:hint="eastAsia"/>
          <w:color w:val="auto"/>
          <w:szCs w:val="24"/>
        </w:rPr>
        <w:t>可以</w:t>
      </w:r>
      <w:r>
        <w:rPr>
          <w:color w:val="auto"/>
          <w:szCs w:val="24"/>
        </w:rPr>
        <w:t>为</w:t>
      </w:r>
      <w:r>
        <w:rPr>
          <w:rFonts w:hint="eastAsia"/>
          <w:color w:val="auto"/>
          <w:szCs w:val="24"/>
        </w:rPr>
        <w:t>2家）的供应商参加磋商。</w:t>
      </w:r>
    </w:p>
    <w:p w14:paraId="0EBCBD8E">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14:paraId="64D404AE">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14:paraId="3A7F1AA3">
      <w:pPr>
        <w:pStyle w:val="11"/>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14:paraId="14FE3F44">
      <w:pPr>
        <w:pStyle w:val="11"/>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14:paraId="5C5B5C91">
      <w:pPr>
        <w:pStyle w:val="45"/>
        <w:numPr>
          <w:ilvl w:val="0"/>
          <w:numId w:val="14"/>
        </w:numPr>
        <w:spacing w:line="360" w:lineRule="auto"/>
        <w:ind w:left="567" w:hanging="567" w:firstLineChars="0"/>
        <w:rPr>
          <w:b/>
          <w:color w:val="auto"/>
          <w:szCs w:val="24"/>
          <w:lang w:val="zh-CN"/>
        </w:rPr>
      </w:pPr>
      <w:r>
        <w:rPr>
          <w:rFonts w:hint="eastAsia"/>
          <w:bCs/>
          <w:color w:val="auto"/>
          <w:lang w:val="zh-CN"/>
        </w:rPr>
        <w:t>本章6.</w:t>
      </w:r>
      <w:r>
        <w:rPr>
          <w:bCs/>
          <w:color w:val="auto"/>
          <w:lang w:val="zh-CN"/>
        </w:rPr>
        <w:t>5</w:t>
      </w:r>
      <w:r>
        <w:rPr>
          <w:rFonts w:hint="eastAsia"/>
          <w:bCs/>
          <w:color w:val="auto"/>
          <w:lang w:val="zh-CN"/>
        </w:rPr>
        <w:t>条第二项中“符合相应资格条件的供应商”产生方式详见</w:t>
      </w:r>
      <w:r>
        <w:rPr>
          <w:rFonts w:hint="eastAsia"/>
          <w:b/>
          <w:color w:val="auto"/>
          <w:szCs w:val="24"/>
          <w:lang w:val="zh-CN"/>
        </w:rPr>
        <w:t>“磋商须知前附表”</w:t>
      </w:r>
      <w:r>
        <w:rPr>
          <w:rFonts w:hint="eastAsia"/>
          <w:bCs/>
          <w:color w:val="auto"/>
          <w:lang w:val="zh-CN"/>
        </w:rPr>
        <w:t>。</w:t>
      </w:r>
    </w:p>
    <w:p w14:paraId="0DB7F285">
      <w:pPr>
        <w:pStyle w:val="45"/>
        <w:numPr>
          <w:ilvl w:val="0"/>
          <w:numId w:val="14"/>
        </w:numPr>
        <w:spacing w:line="360" w:lineRule="auto"/>
        <w:ind w:left="567" w:hanging="567" w:firstLineChars="0"/>
        <w:rPr>
          <w:b/>
          <w:color w:val="auto"/>
          <w:szCs w:val="24"/>
          <w:lang w:val="zh-CN"/>
        </w:rPr>
      </w:pPr>
      <w:r>
        <w:rPr>
          <w:bCs/>
          <w:color w:val="auto"/>
          <w:lang w:val="zh-CN"/>
        </w:rPr>
        <w:t>符合市场竞争不充分的科研项目，以及需要扶持的科技成果转化项目，提交最后报价的供应商可以为</w:t>
      </w:r>
      <w:r>
        <w:rPr>
          <w:rFonts w:hint="eastAsia"/>
          <w:bCs/>
          <w:color w:val="auto"/>
          <w:lang w:val="zh-CN"/>
        </w:rPr>
        <w:t>2家。</w:t>
      </w:r>
    </w:p>
    <w:p w14:paraId="51BF9356">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语言文字</w:t>
      </w:r>
      <w:bookmarkEnd w:id="108"/>
      <w:bookmarkEnd w:id="109"/>
      <w:bookmarkEnd w:id="110"/>
      <w:bookmarkEnd w:id="111"/>
      <w:bookmarkEnd w:id="112"/>
      <w:bookmarkEnd w:id="113"/>
    </w:p>
    <w:p w14:paraId="69BCE0BA">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506D2CE2">
      <w:pPr>
        <w:pStyle w:val="45"/>
        <w:numPr>
          <w:ilvl w:val="0"/>
          <w:numId w:val="9"/>
        </w:numPr>
        <w:spacing w:line="360" w:lineRule="auto"/>
        <w:ind w:left="284" w:hanging="284" w:firstLineChars="0"/>
        <w:rPr>
          <w:b/>
          <w:color w:val="auto"/>
          <w:szCs w:val="24"/>
          <w:lang w:val="zh-CN"/>
        </w:rPr>
      </w:pPr>
      <w:bookmarkStart w:id="126" w:name="_Toc102057684"/>
      <w:bookmarkStart w:id="127" w:name="_Toc102116117"/>
      <w:bookmarkStart w:id="128" w:name="_Toc102119818"/>
      <w:bookmarkStart w:id="129" w:name="_Toc102115987"/>
      <w:bookmarkStart w:id="130" w:name="_Toc102056184"/>
      <w:bookmarkStart w:id="131" w:name="_Toc102114885"/>
      <w:r>
        <w:rPr>
          <w:rFonts w:hint="eastAsia"/>
          <w:b/>
          <w:color w:val="auto"/>
          <w:szCs w:val="24"/>
          <w:lang w:val="zh-CN"/>
        </w:rPr>
        <w:t>计量单位</w:t>
      </w:r>
      <w:bookmarkEnd w:id="126"/>
      <w:bookmarkEnd w:id="127"/>
      <w:bookmarkEnd w:id="128"/>
      <w:bookmarkEnd w:id="129"/>
      <w:bookmarkEnd w:id="130"/>
      <w:bookmarkEnd w:id="131"/>
    </w:p>
    <w:p w14:paraId="5B477185">
      <w:pPr>
        <w:wordWrap w:val="0"/>
        <w:adjustRightInd w:val="0"/>
        <w:snapToGrid w:val="0"/>
        <w:spacing w:line="360" w:lineRule="auto"/>
        <w:ind w:firstLine="480" w:firstLineChars="200"/>
        <w:rPr>
          <w:color w:val="auto"/>
          <w:szCs w:val="24"/>
          <w:lang w:val="zh-CN"/>
        </w:rPr>
      </w:pPr>
      <w:r>
        <w:rPr>
          <w:rFonts w:hint="eastAsia"/>
          <w:color w:val="auto"/>
          <w:szCs w:val="24"/>
          <w:lang w:val="zh-CN"/>
        </w:rPr>
        <w:t>竞争性磋商磋商文件中所使用的计量单位，应采用中华人民共和国法定计量单位。</w:t>
      </w:r>
    </w:p>
    <w:p w14:paraId="60B3DB0B">
      <w:pPr>
        <w:pStyle w:val="45"/>
        <w:numPr>
          <w:ilvl w:val="0"/>
          <w:numId w:val="9"/>
        </w:numPr>
        <w:spacing w:line="360" w:lineRule="auto"/>
        <w:ind w:left="284" w:hanging="284" w:firstLineChars="0"/>
        <w:rPr>
          <w:b/>
          <w:color w:val="auto"/>
          <w:szCs w:val="24"/>
          <w:lang w:val="zh-CN"/>
        </w:rPr>
      </w:pPr>
      <w:bookmarkStart w:id="132" w:name="_Toc102056185"/>
      <w:bookmarkStart w:id="133" w:name="_Toc102116118"/>
      <w:bookmarkStart w:id="134" w:name="_Toc102115988"/>
      <w:bookmarkStart w:id="135" w:name="_Toc102057685"/>
      <w:bookmarkStart w:id="136" w:name="_Toc102119819"/>
      <w:bookmarkStart w:id="137" w:name="_Toc102114886"/>
      <w:r>
        <w:rPr>
          <w:rFonts w:hint="eastAsia"/>
          <w:b/>
          <w:color w:val="auto"/>
          <w:szCs w:val="24"/>
          <w:lang w:val="zh-CN"/>
        </w:rPr>
        <w:t>保密要求</w:t>
      </w:r>
    </w:p>
    <w:p w14:paraId="4478EFD8">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14:paraId="1C59B66C">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费用承担</w:t>
      </w:r>
      <w:bookmarkEnd w:id="132"/>
      <w:bookmarkEnd w:id="133"/>
      <w:bookmarkEnd w:id="134"/>
      <w:bookmarkEnd w:id="135"/>
      <w:bookmarkEnd w:id="136"/>
      <w:bookmarkEnd w:id="137"/>
    </w:p>
    <w:p w14:paraId="1E5401C4">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集中采购机构不向供应商收取任何费用。</w:t>
      </w:r>
    </w:p>
    <w:p w14:paraId="4CFE0918">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供应商应承担所有与准备和参加磋商有关的费用。不论磋商的结果如何，集中采购机构和采购人均无义务和责任承担这些费用。</w:t>
      </w:r>
    </w:p>
    <w:p w14:paraId="5D9D2489">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采购信息</w:t>
      </w:r>
    </w:p>
    <w:p w14:paraId="46D379F7">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政府采购活动中的公示、公告、澄清、更正等采购信息依法在中国湖北政府采购网上发布，同步在随县人民政府网发布。</w:t>
      </w:r>
    </w:p>
    <w:p w14:paraId="58CB9459">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采购信息获取：供应商应按</w:t>
      </w:r>
      <w:r>
        <w:rPr>
          <w:rFonts w:hint="eastAsia"/>
          <w:b/>
          <w:color w:val="auto"/>
          <w:szCs w:val="24"/>
          <w:lang w:val="zh-CN"/>
        </w:rPr>
        <w:t>“磋商须知前附表”</w:t>
      </w:r>
      <w:r>
        <w:rPr>
          <w:rFonts w:hint="eastAsia"/>
          <w:color w:val="auto"/>
          <w:szCs w:val="24"/>
          <w:lang w:val="zh-CN"/>
        </w:rPr>
        <w:t>规定渠道获取项目采购信息，采购人、集中采购机构不再另行通知，因供应商自身原因未及时获取项目采购信息的，导致的后果由供应商自行承担。</w:t>
      </w:r>
    </w:p>
    <w:p w14:paraId="015173C2">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电子采购平台</w:t>
      </w:r>
    </w:p>
    <w:p w14:paraId="492CA2B2">
      <w:pPr>
        <w:pStyle w:val="45"/>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电子采购平台客户端运行环境应满足以下要求，否则可能会出错，影响其磋商：</w:t>
      </w:r>
    </w:p>
    <w:p w14:paraId="14AD1EE8">
      <w:pPr>
        <w:pStyle w:val="11"/>
        <w:tabs>
          <w:tab w:val="left" w:pos="1701"/>
        </w:tabs>
        <w:wordWrap w:val="0"/>
        <w:adjustRightInd w:val="0"/>
        <w:snapToGrid w:val="0"/>
        <w:spacing w:line="360" w:lineRule="auto"/>
        <w:ind w:firstLine="480" w:firstLineChars="200"/>
        <w:rPr>
          <w:color w:val="auto"/>
          <w:szCs w:val="24"/>
        </w:rPr>
      </w:pPr>
      <w:r>
        <w:rPr>
          <w:rFonts w:hint="eastAsia"/>
          <w:color w:val="auto"/>
          <w:szCs w:val="24"/>
        </w:rPr>
        <w:t>（1）操作系统：Windows 7及以上版本；</w:t>
      </w:r>
    </w:p>
    <w:p w14:paraId="6E3C2EBE">
      <w:pPr>
        <w:pStyle w:val="11"/>
        <w:tabs>
          <w:tab w:val="left" w:pos="1701"/>
        </w:tabs>
        <w:wordWrap w:val="0"/>
        <w:adjustRightInd w:val="0"/>
        <w:snapToGrid w:val="0"/>
        <w:spacing w:line="360" w:lineRule="auto"/>
        <w:ind w:firstLine="480" w:firstLineChars="200"/>
        <w:rPr>
          <w:color w:val="auto"/>
          <w:szCs w:val="24"/>
        </w:rPr>
      </w:pPr>
      <w:r>
        <w:rPr>
          <w:rFonts w:hint="eastAsia"/>
          <w:color w:val="auto"/>
          <w:szCs w:val="24"/>
        </w:rPr>
        <w:t>（2）浏览器：360</w:t>
      </w:r>
      <w:r>
        <w:rPr>
          <w:rFonts w:hint="eastAsia"/>
          <w:color w:val="auto"/>
          <w:szCs w:val="24"/>
          <w:lang w:val="zh-CN"/>
        </w:rPr>
        <w:t>浏览器</w:t>
      </w:r>
      <w:r>
        <w:rPr>
          <w:rFonts w:hint="eastAsia"/>
          <w:color w:val="auto"/>
          <w:szCs w:val="24"/>
        </w:rPr>
        <w:t>、Internet Explorer 11、10；</w:t>
      </w:r>
    </w:p>
    <w:p w14:paraId="689174DB">
      <w:pPr>
        <w:pStyle w:val="11"/>
        <w:tabs>
          <w:tab w:val="left" w:pos="1701"/>
        </w:tabs>
        <w:wordWrap w:val="0"/>
        <w:adjustRightInd w:val="0"/>
        <w:snapToGrid w:val="0"/>
        <w:spacing w:line="360" w:lineRule="auto"/>
        <w:ind w:firstLine="480" w:firstLineChars="200"/>
        <w:rPr>
          <w:color w:val="auto"/>
          <w:szCs w:val="24"/>
        </w:rPr>
      </w:pPr>
      <w:r>
        <w:rPr>
          <w:rFonts w:hint="eastAsia"/>
          <w:color w:val="auto"/>
          <w:szCs w:val="24"/>
        </w:rPr>
        <w:t>（3）办公软件：Microsoft Office 2007-2016完整版、WPS Office 2019个人版、WPS Office 企业版；</w:t>
      </w:r>
    </w:p>
    <w:p w14:paraId="04FF599A">
      <w:pPr>
        <w:pStyle w:val="11"/>
        <w:tabs>
          <w:tab w:val="left" w:pos="1701"/>
        </w:tabs>
        <w:wordWrap w:val="0"/>
        <w:adjustRightInd w:val="0"/>
        <w:snapToGrid w:val="0"/>
        <w:spacing w:line="360" w:lineRule="auto"/>
        <w:ind w:firstLine="480" w:firstLineChars="200"/>
        <w:rPr>
          <w:color w:val="auto"/>
          <w:szCs w:val="24"/>
        </w:rPr>
      </w:pPr>
      <w:r>
        <w:rPr>
          <w:rFonts w:hint="eastAsia"/>
          <w:color w:val="auto"/>
          <w:szCs w:val="24"/>
        </w:rPr>
        <w:t>（4）PDF软件</w:t>
      </w:r>
      <w:r>
        <w:rPr>
          <w:rFonts w:hint="eastAsia"/>
          <w:color w:val="auto"/>
          <w:szCs w:val="24"/>
          <w:lang w:val="zh-CN"/>
        </w:rPr>
        <w:t>推荐</w:t>
      </w:r>
      <w:r>
        <w:rPr>
          <w:rFonts w:hint="eastAsia"/>
          <w:color w:val="auto"/>
          <w:szCs w:val="24"/>
        </w:rPr>
        <w:t>： 平台自带PDF软件（软件路径：C:\Windows\winaip）；</w:t>
      </w:r>
    </w:p>
    <w:p w14:paraId="2754ABAA">
      <w:pPr>
        <w:pStyle w:val="11"/>
        <w:tabs>
          <w:tab w:val="left" w:pos="1701"/>
        </w:tabs>
        <w:wordWrap w:val="0"/>
        <w:adjustRightInd w:val="0"/>
        <w:snapToGrid w:val="0"/>
        <w:spacing w:line="360" w:lineRule="auto"/>
        <w:ind w:firstLine="480" w:firstLineChars="200"/>
        <w:rPr>
          <w:color w:val="auto"/>
          <w:szCs w:val="24"/>
        </w:rPr>
      </w:pPr>
      <w:r>
        <w:rPr>
          <w:rFonts w:hint="eastAsia"/>
          <w:color w:val="auto"/>
          <w:szCs w:val="24"/>
        </w:rPr>
        <w:t>（5）电子采购平台所有插件应为最新版。</w:t>
      </w:r>
    </w:p>
    <w:p w14:paraId="7152CD9B">
      <w:pPr>
        <w:pStyle w:val="45"/>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电子采购平台操作手册：电子采购平台的注册、CA数字证书办理、平台操作等事项详见电子采购平台《供应商操作手册》，其下载网址详见</w:t>
      </w:r>
      <w:r>
        <w:rPr>
          <w:rFonts w:hint="eastAsia"/>
          <w:b/>
          <w:color w:val="auto"/>
          <w:szCs w:val="24"/>
        </w:rPr>
        <w:t>“磋商须知前附表”</w:t>
      </w:r>
    </w:p>
    <w:p w14:paraId="2A6462F5">
      <w:pPr>
        <w:pStyle w:val="45"/>
        <w:numPr>
          <w:ilvl w:val="0"/>
          <w:numId w:val="17"/>
        </w:numPr>
        <w:tabs>
          <w:tab w:val="left" w:pos="567"/>
        </w:tabs>
        <w:wordWrap w:val="0"/>
        <w:spacing w:line="360" w:lineRule="auto"/>
        <w:ind w:left="567" w:right="-120" w:rightChars="-50" w:hanging="567" w:firstLineChars="0"/>
        <w:rPr>
          <w:color w:val="auto"/>
          <w:lang w:val="zh-CN"/>
        </w:rPr>
      </w:pPr>
      <w:r>
        <w:rPr>
          <w:rFonts w:hint="eastAsia"/>
          <w:color w:val="auto"/>
          <w:szCs w:val="24"/>
        </w:rPr>
        <w:t>电子采购平台咨询：供应商应充分考虑到网上电子磋商可能会发生的各种问题和风险，特别是磋商文件签署、提交等问题，无特殊情况，应在</w:t>
      </w:r>
      <w:r>
        <w:rPr>
          <w:rFonts w:hint="eastAsia"/>
          <w:b/>
          <w:color w:val="auto"/>
          <w:szCs w:val="24"/>
        </w:rPr>
        <w:t>“磋商须知前附表”</w:t>
      </w:r>
      <w:r>
        <w:rPr>
          <w:rFonts w:hint="eastAsia"/>
          <w:color w:val="auto"/>
          <w:szCs w:val="24"/>
        </w:rPr>
        <w:t>规定的时间前咨询集中采购机构或电子采购平台。任何问题和风险导致供应商磋商内容不一致或利益受损或磋商失败的，</w:t>
      </w:r>
      <w:r>
        <w:rPr>
          <w:rFonts w:hint="eastAsia"/>
          <w:color w:val="auto"/>
          <w:szCs w:val="24"/>
          <w:lang w:val="zh-CN"/>
        </w:rPr>
        <w:t>其</w:t>
      </w:r>
      <w:r>
        <w:rPr>
          <w:rFonts w:hint="eastAsia"/>
          <w:color w:val="auto"/>
          <w:szCs w:val="24"/>
        </w:rPr>
        <w:t>后果由供应商自行承担。</w:t>
      </w:r>
    </w:p>
    <w:p w14:paraId="0F28916A">
      <w:pPr>
        <w:pStyle w:val="45"/>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电子采购平台联系方式详见</w:t>
      </w:r>
      <w:r>
        <w:rPr>
          <w:rFonts w:hint="eastAsia"/>
          <w:b/>
          <w:color w:val="auto"/>
          <w:szCs w:val="24"/>
        </w:rPr>
        <w:t>“磋商须知前附表”</w:t>
      </w:r>
      <w:r>
        <w:rPr>
          <w:rFonts w:hint="eastAsia"/>
          <w:color w:val="auto"/>
          <w:szCs w:val="24"/>
        </w:rPr>
        <w:t>。</w:t>
      </w:r>
    </w:p>
    <w:p w14:paraId="26A7D3A3">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38" w:name="_Toc117244351"/>
      <w:bookmarkStart w:id="139" w:name="_Toc122527527"/>
      <w:bookmarkStart w:id="140" w:name="_Toc117244466"/>
      <w:bookmarkStart w:id="141" w:name="_Toc511889418"/>
      <w:bookmarkStart w:id="142" w:name="_Toc511894496"/>
      <w:r>
        <w:rPr>
          <w:rFonts w:hint="eastAsia" w:ascii="宋体" w:hAnsi="宋体" w:eastAsia="宋体" w:cs="Times New Roman"/>
          <w:bCs w:val="0"/>
          <w:color w:val="auto"/>
          <w:sz w:val="28"/>
          <w:szCs w:val="28"/>
          <w:lang w:val="zh-CN"/>
        </w:rPr>
        <w:t>竞争性磋商文件</w:t>
      </w:r>
      <w:bookmarkEnd w:id="138"/>
      <w:bookmarkEnd w:id="139"/>
      <w:bookmarkEnd w:id="140"/>
    </w:p>
    <w:p w14:paraId="37BF82C9">
      <w:pPr>
        <w:pStyle w:val="45"/>
        <w:numPr>
          <w:ilvl w:val="0"/>
          <w:numId w:val="9"/>
        </w:numPr>
        <w:spacing w:line="360" w:lineRule="auto"/>
        <w:ind w:left="284" w:hanging="284" w:firstLineChars="0"/>
        <w:rPr>
          <w:b/>
          <w:color w:val="auto"/>
          <w:szCs w:val="24"/>
          <w:lang w:val="zh-CN"/>
        </w:rPr>
      </w:pPr>
      <w:bookmarkStart w:id="143" w:name="_Toc102056189"/>
      <w:bookmarkStart w:id="144" w:name="_Toc102115993"/>
      <w:bookmarkStart w:id="145" w:name="_Toc102116123"/>
      <w:bookmarkStart w:id="146" w:name="_Toc102119824"/>
      <w:bookmarkStart w:id="147" w:name="_Toc102114891"/>
      <w:bookmarkStart w:id="148" w:name="_Toc102057689"/>
      <w:r>
        <w:rPr>
          <w:rFonts w:hint="eastAsia"/>
          <w:b/>
          <w:color w:val="auto"/>
          <w:szCs w:val="24"/>
          <w:lang w:val="zh-CN"/>
        </w:rPr>
        <w:t>竞争性磋商文件</w:t>
      </w:r>
      <w:bookmarkEnd w:id="143"/>
      <w:bookmarkEnd w:id="144"/>
      <w:bookmarkEnd w:id="145"/>
      <w:bookmarkEnd w:id="146"/>
      <w:bookmarkEnd w:id="147"/>
      <w:bookmarkEnd w:id="148"/>
      <w:r>
        <w:rPr>
          <w:rFonts w:hint="eastAsia"/>
          <w:b/>
          <w:color w:val="auto"/>
          <w:szCs w:val="24"/>
          <w:lang w:val="zh-CN"/>
        </w:rPr>
        <w:t>组成</w:t>
      </w:r>
    </w:p>
    <w:p w14:paraId="78232CF2">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竞争性磋商文件由竞争性磋商文件</w:t>
      </w:r>
      <w:r>
        <w:rPr>
          <w:rFonts w:hint="eastAsia" w:cs="宋体"/>
          <w:color w:val="auto"/>
        </w:rPr>
        <w:t>（Word格式）和竞争性磋商数据文件（Excel格式）两部分共同构成。（采用电子版文件压缩包格式提供）</w:t>
      </w:r>
    </w:p>
    <w:p w14:paraId="5D78691F">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w:t>
      </w:r>
      <w:r>
        <w:rPr>
          <w:rFonts w:hint="eastAsia" w:cs="宋体"/>
          <w:color w:val="auto"/>
        </w:rPr>
        <w:t>（Word格式）包括以下内容：</w:t>
      </w:r>
    </w:p>
    <w:p w14:paraId="3961595F">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磋商邀请</w:t>
      </w:r>
    </w:p>
    <w:p w14:paraId="0E343B9D">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磋商须知</w:t>
      </w:r>
    </w:p>
    <w:p w14:paraId="5059AD87">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14:paraId="4274D345">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14:paraId="26D96FD0">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14:paraId="000B62E6">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磋商文件格式（参考）</w:t>
      </w:r>
    </w:p>
    <w:p w14:paraId="15B743E1">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w:t>
      </w:r>
      <w:r>
        <w:rPr>
          <w:rFonts w:hint="eastAsia" w:cs="宋体"/>
          <w:color w:val="auto"/>
        </w:rPr>
        <w:t>数据文件（Excel格式）包括以下内容：</w:t>
      </w:r>
    </w:p>
    <w:p w14:paraId="0ADD3B38">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第一部分  封面</w:t>
      </w:r>
    </w:p>
    <w:p w14:paraId="6E72694F">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第二部分  响应报价表（含明细）</w:t>
      </w:r>
    </w:p>
    <w:p w14:paraId="1505DF2B">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第三部分  评审对照表</w:t>
      </w:r>
    </w:p>
    <w:p w14:paraId="65AF0F91">
      <w:pPr>
        <w:pStyle w:val="45"/>
        <w:numPr>
          <w:ilvl w:val="0"/>
          <w:numId w:val="9"/>
        </w:numPr>
        <w:spacing w:line="360" w:lineRule="auto"/>
        <w:ind w:left="284" w:hanging="284" w:firstLineChars="0"/>
        <w:rPr>
          <w:b/>
          <w:color w:val="auto"/>
          <w:szCs w:val="24"/>
          <w:lang w:val="zh-CN"/>
        </w:rPr>
      </w:pPr>
      <w:bookmarkStart w:id="149" w:name="_Toc102114892"/>
      <w:bookmarkStart w:id="150" w:name="_Toc102119825"/>
      <w:bookmarkStart w:id="151" w:name="_Toc102116124"/>
      <w:bookmarkStart w:id="152" w:name="_Toc102115994"/>
      <w:bookmarkStart w:id="153" w:name="_Toc102056190"/>
      <w:bookmarkStart w:id="154" w:name="_Toc102057690"/>
      <w:r>
        <w:rPr>
          <w:rFonts w:hint="eastAsia"/>
          <w:b/>
          <w:color w:val="auto"/>
          <w:szCs w:val="24"/>
          <w:lang w:val="zh-CN"/>
        </w:rPr>
        <w:t>实物样品</w:t>
      </w:r>
    </w:p>
    <w:p w14:paraId="4BBBA042">
      <w:pPr>
        <w:numPr>
          <w:ilvl w:val="0"/>
          <w:numId w:val="19"/>
        </w:numPr>
        <w:wordWrap w:val="0"/>
        <w:adjustRightInd w:val="0"/>
        <w:snapToGrid w:val="0"/>
        <w:spacing w:line="360" w:lineRule="auto"/>
        <w:ind w:left="567" w:hanging="567"/>
        <w:rPr>
          <w:color w:val="auto"/>
          <w:szCs w:val="24"/>
          <w:lang w:val="zh-CN"/>
        </w:rPr>
      </w:pP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14:paraId="3F53BAD5">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14:paraId="58FD0B97">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color w:val="auto"/>
          <w:szCs w:val="24"/>
          <w:lang w:val="zh-CN"/>
        </w:rPr>
        <w:t>文件另有规定的</w:t>
      </w:r>
      <w:r>
        <w:rPr>
          <w:rFonts w:hint="eastAsia"/>
          <w:color w:val="auto"/>
          <w:szCs w:val="24"/>
          <w:lang w:val="en-US" w:eastAsia="zh-CN"/>
        </w:rPr>
        <w:t>从</w:t>
      </w:r>
      <w:r>
        <w:rPr>
          <w:color w:val="auto"/>
          <w:szCs w:val="24"/>
          <w:lang w:val="zh-CN"/>
        </w:rPr>
        <w:t>其规定</w:t>
      </w:r>
      <w:r>
        <w:rPr>
          <w:rFonts w:hint="eastAsia"/>
          <w:color w:val="auto"/>
          <w:szCs w:val="24"/>
          <w:lang w:val="zh-CN"/>
        </w:rPr>
        <w:t>)。磋商样品制作、提交及退还所产生的一切费用由供应商自行承担。</w:t>
      </w:r>
    </w:p>
    <w:p w14:paraId="2CB53F9A">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项目演示</w:t>
      </w:r>
    </w:p>
    <w:p w14:paraId="29590A73">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14:paraId="73152432">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2E3DA215">
      <w:pPr>
        <w:numPr>
          <w:ilvl w:val="0"/>
          <w:numId w:val="20"/>
        </w:numPr>
        <w:wordWrap w:val="0"/>
        <w:adjustRightInd w:val="0"/>
        <w:snapToGrid w:val="0"/>
        <w:spacing w:line="360" w:lineRule="auto"/>
        <w:ind w:left="616" w:hanging="616"/>
        <w:rPr>
          <w:color w:val="auto"/>
          <w:szCs w:val="24"/>
          <w:lang w:val="zh-CN"/>
        </w:rPr>
      </w:pP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14:paraId="65EFB715">
      <w:pPr>
        <w:numPr>
          <w:ilvl w:val="0"/>
          <w:numId w:val="20"/>
        </w:numPr>
        <w:wordWrap w:val="0"/>
        <w:adjustRightInd w:val="0"/>
        <w:snapToGrid w:val="0"/>
        <w:spacing w:line="360" w:lineRule="auto"/>
        <w:ind w:left="616" w:hanging="616"/>
        <w:rPr>
          <w:b/>
          <w:color w:val="auto"/>
          <w:szCs w:val="24"/>
          <w:lang w:val="zh-CN"/>
        </w:rPr>
      </w:pPr>
      <w:r>
        <w:rPr>
          <w:rFonts w:hint="eastAsia"/>
          <w:color w:val="auto"/>
          <w:szCs w:val="24"/>
          <w:lang w:val="zh-CN"/>
        </w:rPr>
        <w:t>项目演示顺序按磋商文件解密时间先后次序依次演示，演示的评审详见“第四章 评审办法”和“第三章 采购需求”。</w:t>
      </w:r>
    </w:p>
    <w:p w14:paraId="5A1AC211">
      <w:pPr>
        <w:pStyle w:val="45"/>
        <w:numPr>
          <w:ilvl w:val="0"/>
          <w:numId w:val="9"/>
        </w:numPr>
        <w:spacing w:line="360" w:lineRule="auto"/>
        <w:ind w:left="284" w:hanging="284" w:firstLineChars="0"/>
        <w:rPr>
          <w:b/>
          <w:color w:val="auto"/>
          <w:szCs w:val="24"/>
          <w:highlight w:val="none"/>
          <w:lang w:val="zh-CN"/>
        </w:rPr>
      </w:pPr>
      <w:bookmarkStart w:id="155" w:name="_Toc102114900"/>
      <w:bookmarkStart w:id="156" w:name="_Toc102116002"/>
      <w:bookmarkStart w:id="157" w:name="_Toc102056198"/>
      <w:bookmarkStart w:id="158" w:name="_Toc102119833"/>
      <w:bookmarkStart w:id="159" w:name="_Toc102116132"/>
      <w:bookmarkStart w:id="160" w:name="_Toc102057698"/>
      <w:r>
        <w:rPr>
          <w:rFonts w:hint="eastAsia"/>
          <w:b/>
          <w:color w:val="auto"/>
          <w:szCs w:val="24"/>
          <w:highlight w:val="none"/>
          <w:lang w:val="zh-CN"/>
        </w:rPr>
        <w:t>合同分包</w:t>
      </w:r>
      <w:bookmarkEnd w:id="155"/>
      <w:bookmarkEnd w:id="156"/>
      <w:bookmarkEnd w:id="157"/>
      <w:bookmarkEnd w:id="158"/>
      <w:bookmarkEnd w:id="159"/>
      <w:bookmarkEnd w:id="160"/>
    </w:p>
    <w:p w14:paraId="155A3ECE">
      <w:pPr>
        <w:pStyle w:val="45"/>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允许或要求成交后合同分包的，详见“第一章 磋商邀请”，</w:t>
      </w:r>
      <w:r>
        <w:rPr>
          <w:rFonts w:cs="宋体"/>
          <w:bCs/>
          <w:color w:val="auto"/>
          <w:szCs w:val="24"/>
          <w:highlight w:val="none"/>
          <w:lang w:val="zh-CN"/>
        </w:rPr>
        <w:t>分包承担主体不得再次分包</w:t>
      </w:r>
      <w:r>
        <w:rPr>
          <w:rFonts w:hint="eastAsia" w:cs="宋体"/>
          <w:bCs/>
          <w:color w:val="auto"/>
          <w:szCs w:val="24"/>
          <w:highlight w:val="none"/>
          <w:lang w:val="zh-CN"/>
        </w:rPr>
        <w:t>。</w:t>
      </w:r>
    </w:p>
    <w:p w14:paraId="63B99CAE">
      <w:pPr>
        <w:pStyle w:val="45"/>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拟成交后合同分包的，应提供分包意向协议书。</w:t>
      </w:r>
    </w:p>
    <w:p w14:paraId="72933C30">
      <w:pPr>
        <w:pStyle w:val="45"/>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color w:val="auto"/>
          <w:szCs w:val="24"/>
          <w:highlight w:val="none"/>
          <w:lang w:val="zh-CN"/>
        </w:rPr>
        <w:t>享受中小企业扶持政策获得政府采购合同的，小微企业不得将合同分包给大中型企业，中型企业不得将合同分包给大型企业。</w:t>
      </w:r>
    </w:p>
    <w:p w14:paraId="07FC1809">
      <w:pPr>
        <w:pStyle w:val="45"/>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竞争性磋商文件</w:t>
      </w:r>
      <w:r>
        <w:rPr>
          <w:rFonts w:hint="eastAsia" w:cs="宋体"/>
          <w:b/>
          <w:bCs/>
          <w:color w:val="auto"/>
          <w:szCs w:val="24"/>
          <w:highlight w:val="none"/>
          <w:lang w:val="zh-CN"/>
        </w:rPr>
        <w:t>未载明</w:t>
      </w:r>
      <w:r>
        <w:rPr>
          <w:rFonts w:hint="eastAsia" w:cs="宋体"/>
          <w:bCs/>
          <w:color w:val="auto"/>
          <w:szCs w:val="24"/>
          <w:highlight w:val="none"/>
          <w:lang w:val="zh-CN"/>
        </w:rPr>
        <w:t>合同分包的，不得进行合同分包，否则应承担相应的法律责任。</w:t>
      </w:r>
    </w:p>
    <w:p w14:paraId="33A61338">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竞争性磋商文件的澄清或修改</w:t>
      </w:r>
      <w:bookmarkEnd w:id="149"/>
      <w:bookmarkEnd w:id="150"/>
      <w:bookmarkEnd w:id="151"/>
      <w:bookmarkEnd w:id="152"/>
      <w:bookmarkEnd w:id="153"/>
      <w:bookmarkEnd w:id="154"/>
    </w:p>
    <w:p w14:paraId="6CFC1550">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color w:val="auto"/>
          <w:szCs w:val="24"/>
          <w:lang w:val="zh-CN"/>
        </w:rPr>
        <w:t xml:space="preserve"> “磋商须知前附表”</w:t>
      </w:r>
      <w:r>
        <w:rPr>
          <w:rFonts w:hint="eastAsia"/>
          <w:color w:val="auto"/>
          <w:szCs w:val="24"/>
          <w:lang w:val="zh-CN"/>
        </w:rPr>
        <w:t>的要求及时关注更正公告的内容。</w:t>
      </w:r>
    </w:p>
    <w:p w14:paraId="4BF8F481">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澄清或者修改的内容可能影响磋商文件编制且距磋商截止时间不足</w:t>
      </w:r>
      <w:r>
        <w:rPr>
          <w:color w:val="auto"/>
          <w:szCs w:val="24"/>
          <w:lang w:val="zh-CN"/>
        </w:rPr>
        <w:t>3</w:t>
      </w:r>
      <w:r>
        <w:rPr>
          <w:rFonts w:hint="eastAsia"/>
          <w:color w:val="auto"/>
          <w:szCs w:val="24"/>
          <w:lang w:val="zh-CN"/>
        </w:rPr>
        <w:t>日的，应当延长提交磋商文件的截止时间。</w:t>
      </w:r>
    </w:p>
    <w:p w14:paraId="7450EA21">
      <w:pPr>
        <w:pStyle w:val="45"/>
        <w:numPr>
          <w:ilvl w:val="0"/>
          <w:numId w:val="9"/>
        </w:numPr>
        <w:spacing w:line="360" w:lineRule="auto"/>
        <w:ind w:left="284" w:hanging="284" w:firstLineChars="0"/>
        <w:rPr>
          <w:b/>
          <w:color w:val="auto"/>
          <w:szCs w:val="24"/>
          <w:lang w:val="zh-CN"/>
        </w:rPr>
      </w:pPr>
      <w:bookmarkStart w:id="161" w:name="_Toc102114893"/>
      <w:bookmarkStart w:id="162" w:name="_Toc102057691"/>
      <w:bookmarkStart w:id="163" w:name="_Toc102116125"/>
      <w:bookmarkStart w:id="164" w:name="_Toc102115995"/>
      <w:bookmarkStart w:id="165" w:name="_Toc102056191"/>
      <w:bookmarkStart w:id="166" w:name="_Toc102119826"/>
      <w:r>
        <w:rPr>
          <w:rFonts w:hint="eastAsia"/>
          <w:b/>
          <w:color w:val="auto"/>
          <w:szCs w:val="24"/>
          <w:lang w:val="zh-CN"/>
        </w:rPr>
        <w:t>现场考察或磋商前答疑</w:t>
      </w:r>
      <w:bookmarkEnd w:id="161"/>
      <w:bookmarkEnd w:id="162"/>
      <w:bookmarkEnd w:id="163"/>
      <w:bookmarkEnd w:id="164"/>
      <w:bookmarkEnd w:id="165"/>
      <w:bookmarkEnd w:id="166"/>
    </w:p>
    <w:p w14:paraId="38A6633C">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现场考察或磋商前答疑：详见</w:t>
      </w:r>
      <w:r>
        <w:rPr>
          <w:rFonts w:hint="eastAsia"/>
          <w:b/>
          <w:color w:val="auto"/>
          <w:szCs w:val="24"/>
          <w:lang w:val="zh-CN"/>
        </w:rPr>
        <w:t>“磋商须知前附表”</w:t>
      </w:r>
      <w:r>
        <w:rPr>
          <w:rFonts w:hint="eastAsia"/>
          <w:color w:val="auto"/>
          <w:lang w:val="zh-CN"/>
        </w:rPr>
        <w:t>规定。组织现场考察或召开磋商前答疑会的，潜在供应商按要求及时参加。</w:t>
      </w:r>
      <w:r>
        <w:rPr>
          <w:color w:val="auto"/>
          <w:lang w:val="zh-CN"/>
        </w:rPr>
        <w:t xml:space="preserve"> </w:t>
      </w:r>
    </w:p>
    <w:p w14:paraId="79A95CF3">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6DC95597">
      <w:pPr>
        <w:numPr>
          <w:ilvl w:val="0"/>
          <w:numId w:val="23"/>
        </w:numPr>
        <w:wordWrap w:val="0"/>
        <w:adjustRightInd w:val="0"/>
        <w:snapToGrid w:val="0"/>
        <w:spacing w:line="360" w:lineRule="auto"/>
        <w:ind w:left="616" w:hanging="616"/>
        <w:rPr>
          <w:color w:val="auto"/>
          <w:lang w:val="zh-CN"/>
        </w:rPr>
      </w:pPr>
      <w:r>
        <w:rPr>
          <w:rFonts w:hint="eastAsia"/>
          <w:color w:val="auto"/>
          <w:lang w:val="zh-CN"/>
        </w:rPr>
        <w:t>磋商前答疑会涉及竞争性磋商文件内容有澄清、修改的，以发布的更正公告内容为准。</w:t>
      </w:r>
    </w:p>
    <w:p w14:paraId="46F466A6">
      <w:pPr>
        <w:numPr>
          <w:ilvl w:val="0"/>
          <w:numId w:val="23"/>
        </w:numPr>
        <w:wordWrap w:val="0"/>
        <w:adjustRightInd w:val="0"/>
        <w:snapToGrid w:val="0"/>
        <w:spacing w:line="360" w:lineRule="auto"/>
        <w:ind w:left="616" w:hanging="616"/>
        <w:rPr>
          <w:color w:val="auto"/>
          <w:lang w:val="zh-CN"/>
        </w:rPr>
      </w:pPr>
      <w:r>
        <w:rPr>
          <w:rFonts w:hint="eastAsia"/>
          <w:color w:val="auto"/>
          <w:lang w:val="zh-CN"/>
        </w:rPr>
        <w:t>潜在供应商参加现场考察或磋商前答疑会的，不得因此使采购人承担有关责任和蒙受损失。潜在供应商应自行承担参加现场考察或磋商前答疑会的全部费用、责任和风险。</w:t>
      </w:r>
    </w:p>
    <w:p w14:paraId="5C3DED08">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67" w:name="_Toc117244467"/>
      <w:bookmarkStart w:id="168" w:name="_Toc117244352"/>
      <w:bookmarkStart w:id="169" w:name="_Toc122527528"/>
      <w:r>
        <w:rPr>
          <w:rFonts w:hint="eastAsia" w:ascii="宋体" w:hAnsi="宋体" w:eastAsia="宋体" w:cs="Times New Roman"/>
          <w:bCs w:val="0"/>
          <w:color w:val="auto"/>
          <w:sz w:val="28"/>
          <w:szCs w:val="28"/>
          <w:lang w:val="zh-CN"/>
        </w:rPr>
        <w:t>响应文件</w:t>
      </w:r>
      <w:bookmarkEnd w:id="167"/>
      <w:bookmarkEnd w:id="168"/>
      <w:bookmarkEnd w:id="169"/>
    </w:p>
    <w:p w14:paraId="250A06B2">
      <w:pPr>
        <w:pStyle w:val="45"/>
        <w:numPr>
          <w:ilvl w:val="0"/>
          <w:numId w:val="9"/>
        </w:numPr>
        <w:spacing w:line="360" w:lineRule="auto"/>
        <w:ind w:left="284" w:hanging="284" w:firstLineChars="0"/>
        <w:rPr>
          <w:b/>
          <w:color w:val="auto"/>
          <w:szCs w:val="24"/>
          <w:lang w:val="zh-CN"/>
        </w:rPr>
      </w:pPr>
      <w:bookmarkStart w:id="170" w:name="_Toc102057693"/>
      <w:bookmarkStart w:id="171" w:name="_Toc102056193"/>
      <w:bookmarkStart w:id="172" w:name="_Toc102116127"/>
      <w:bookmarkStart w:id="173" w:name="_Toc102115997"/>
      <w:bookmarkStart w:id="174" w:name="_Toc102114895"/>
      <w:bookmarkStart w:id="175" w:name="_Toc102119828"/>
      <w:r>
        <w:rPr>
          <w:rFonts w:hint="eastAsia"/>
          <w:b/>
          <w:color w:val="auto"/>
          <w:szCs w:val="24"/>
          <w:lang w:val="zh-CN"/>
        </w:rPr>
        <w:t>响应文件</w:t>
      </w:r>
      <w:bookmarkEnd w:id="170"/>
      <w:bookmarkEnd w:id="171"/>
      <w:bookmarkEnd w:id="172"/>
      <w:bookmarkEnd w:id="173"/>
      <w:bookmarkEnd w:id="174"/>
      <w:bookmarkEnd w:id="175"/>
      <w:r>
        <w:rPr>
          <w:rFonts w:hint="eastAsia"/>
          <w:b/>
          <w:color w:val="auto"/>
          <w:szCs w:val="24"/>
          <w:lang w:val="zh-CN"/>
        </w:rPr>
        <w:t>组成</w:t>
      </w:r>
    </w:p>
    <w:p w14:paraId="22E5BBA6">
      <w:pPr>
        <w:pStyle w:val="45"/>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响应文件由响应文件（PDF格式）和响应数据文件（</w:t>
      </w:r>
      <w:r>
        <w:rPr>
          <w:rFonts w:cs="宋体"/>
          <w:color w:val="auto"/>
          <w:szCs w:val="24"/>
          <w:lang w:val="zh-CN"/>
        </w:rPr>
        <w:t>PDF</w:t>
      </w:r>
      <w:r>
        <w:rPr>
          <w:rFonts w:hint="eastAsia" w:cs="宋体"/>
          <w:color w:val="auto"/>
          <w:szCs w:val="24"/>
          <w:lang w:val="zh-CN"/>
        </w:rPr>
        <w:t>格式）组成。</w:t>
      </w:r>
    </w:p>
    <w:p w14:paraId="6BF65348">
      <w:pPr>
        <w:pStyle w:val="45"/>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响应文件（PDF格式）详见“第六章</w:t>
      </w:r>
      <w:r>
        <w:rPr>
          <w:rFonts w:cs="宋体"/>
          <w:color w:val="auto"/>
          <w:szCs w:val="24"/>
          <w:lang w:val="zh-CN"/>
        </w:rPr>
        <w:t xml:space="preserve"> 响应文件格式”</w:t>
      </w:r>
    </w:p>
    <w:p w14:paraId="5DFBA40F">
      <w:pPr>
        <w:pStyle w:val="45"/>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响应数据文件（</w:t>
      </w:r>
      <w:r>
        <w:rPr>
          <w:rFonts w:cs="宋体"/>
          <w:color w:val="auto"/>
          <w:szCs w:val="24"/>
          <w:lang w:val="zh-CN"/>
        </w:rPr>
        <w:t>PDF</w:t>
      </w:r>
      <w:r>
        <w:rPr>
          <w:rFonts w:hint="eastAsia" w:cs="宋体"/>
          <w:color w:val="auto"/>
          <w:szCs w:val="24"/>
          <w:lang w:val="zh-CN"/>
        </w:rPr>
        <w:t>格式）包括以下内容：</w:t>
      </w:r>
    </w:p>
    <w:p w14:paraId="3DEFBAA2">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第一部分  封面</w:t>
      </w:r>
    </w:p>
    <w:p w14:paraId="32285193">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第二部分  响应报价表（含明细）</w:t>
      </w:r>
    </w:p>
    <w:p w14:paraId="15211684">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第三部分  评审对照表</w:t>
      </w:r>
    </w:p>
    <w:p w14:paraId="1A97DB3F">
      <w:pPr>
        <w:pStyle w:val="45"/>
        <w:numPr>
          <w:ilvl w:val="0"/>
          <w:numId w:val="9"/>
        </w:numPr>
        <w:spacing w:line="360" w:lineRule="auto"/>
        <w:ind w:left="284" w:hanging="284" w:firstLineChars="0"/>
        <w:rPr>
          <w:b/>
          <w:color w:val="auto"/>
          <w:szCs w:val="24"/>
          <w:lang w:val="zh-CN"/>
        </w:rPr>
      </w:pPr>
      <w:bookmarkStart w:id="176" w:name="_Toc102114896"/>
      <w:bookmarkStart w:id="177" w:name="_Toc102115998"/>
      <w:bookmarkStart w:id="178" w:name="_Toc102119829"/>
      <w:bookmarkStart w:id="179" w:name="_Toc102057694"/>
      <w:bookmarkStart w:id="180" w:name="_Toc102116128"/>
      <w:bookmarkStart w:id="181" w:name="_Toc102056194"/>
      <w:r>
        <w:rPr>
          <w:rFonts w:hint="eastAsia"/>
          <w:b/>
          <w:color w:val="auto"/>
          <w:szCs w:val="24"/>
          <w:lang w:val="zh-CN"/>
        </w:rPr>
        <w:t>响应文件编制</w:t>
      </w:r>
      <w:bookmarkEnd w:id="176"/>
      <w:bookmarkEnd w:id="177"/>
      <w:bookmarkEnd w:id="178"/>
      <w:bookmarkEnd w:id="179"/>
      <w:bookmarkEnd w:id="180"/>
      <w:bookmarkEnd w:id="181"/>
    </w:p>
    <w:p w14:paraId="63732265">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竞争性磋商项目划分采购包的，供应商应对应所投包段分别编制各包段的响应文件。</w:t>
      </w:r>
    </w:p>
    <w:p w14:paraId="3984AF8A">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响应文件（PDF格式）应按“第六章 响应文件格式”的要求，先编写成Word格式，再通过电子采购平台转换成PDF格式。具体要求如下：</w:t>
      </w:r>
    </w:p>
    <w:p w14:paraId="29DD1283">
      <w:pPr>
        <w:pStyle w:val="11"/>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14:paraId="6F80F360">
      <w:pPr>
        <w:pStyle w:val="11"/>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（2）响应文件应编写详细目录，目录能链接到响应文件对应章节内容，且具有文档结构图；</w:t>
      </w:r>
    </w:p>
    <w:p w14:paraId="2677B3D4">
      <w:pPr>
        <w:pStyle w:val="11"/>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14:paraId="0EDFD568">
      <w:pPr>
        <w:pStyle w:val="11"/>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响应文件转换成PDF格式后也应满足上述要求，若未按上述要求编制响应文件的，导致的不利后果由供应商自行承担。</w:t>
      </w:r>
    </w:p>
    <w:p w14:paraId="20143746">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响应数据文件（</w:t>
      </w:r>
      <w:r>
        <w:rPr>
          <w:rFonts w:cs="宋体"/>
          <w:color w:val="auto"/>
          <w:szCs w:val="24"/>
        </w:rPr>
        <w:t>PDF</w:t>
      </w:r>
      <w:r>
        <w:rPr>
          <w:rFonts w:hint="eastAsia" w:cs="宋体"/>
          <w:color w:val="auto"/>
          <w:szCs w:val="24"/>
        </w:rPr>
        <w:t>格式</w:t>
      </w:r>
      <w:r>
        <w:rPr>
          <w:rFonts w:hint="eastAsia" w:cs="宋体"/>
          <w:color w:val="auto"/>
          <w:szCs w:val="24"/>
          <w:lang w:val="zh-CN"/>
        </w:rPr>
        <w:t>）应先按竞争性磋商数据文件（Excel格式）的格式、内容及填写要求进行</w:t>
      </w:r>
      <w:r>
        <w:rPr>
          <w:rFonts w:hint="eastAsia" w:cs="宋体"/>
          <w:color w:val="auto"/>
          <w:szCs w:val="24"/>
        </w:rPr>
        <w:t>编写</w:t>
      </w:r>
      <w:r>
        <w:rPr>
          <w:rFonts w:hint="eastAsia" w:cs="宋体"/>
          <w:color w:val="auto"/>
          <w:szCs w:val="24"/>
          <w:lang w:val="zh-CN"/>
        </w:rPr>
        <w:t>，</w:t>
      </w:r>
      <w:r>
        <w:rPr>
          <w:rFonts w:hint="eastAsia" w:cs="宋体"/>
          <w:color w:val="auto"/>
          <w:szCs w:val="24"/>
        </w:rPr>
        <w:t>并确保已充分覆盖了竞争性磋商文件《</w:t>
      </w:r>
      <w:r>
        <w:rPr>
          <w:rFonts w:hint="eastAsia" w:cs="宋体"/>
          <w:color w:val="auto"/>
          <w:szCs w:val="24"/>
          <w:lang w:val="zh-CN"/>
        </w:rPr>
        <w:t>磋商一览表（含明细）</w:t>
      </w:r>
      <w:r>
        <w:rPr>
          <w:rFonts w:hint="eastAsia" w:cs="宋体"/>
          <w:color w:val="auto"/>
          <w:szCs w:val="24"/>
        </w:rPr>
        <w:t>》</w:t>
      </w:r>
      <w:r>
        <w:rPr>
          <w:rFonts w:hint="eastAsia" w:cs="宋体"/>
          <w:color w:val="auto"/>
          <w:szCs w:val="24"/>
          <w:lang w:val="zh-CN"/>
        </w:rPr>
        <w:t>、</w:t>
      </w:r>
      <w:r>
        <w:rPr>
          <w:rFonts w:hint="eastAsia" w:cs="宋体"/>
          <w:color w:val="auto"/>
          <w:szCs w:val="24"/>
        </w:rPr>
        <w:t>《评审对照表》的内容，再通过电子采购平台转换成PDF格式</w:t>
      </w:r>
      <w:r>
        <w:rPr>
          <w:rFonts w:hint="eastAsia" w:cs="宋体"/>
          <w:color w:val="auto"/>
          <w:szCs w:val="24"/>
          <w:lang w:val="zh-CN"/>
        </w:rPr>
        <w:t>。</w:t>
      </w:r>
    </w:p>
    <w:p w14:paraId="6750951F">
      <w:pPr>
        <w:numPr>
          <w:ilvl w:val="0"/>
          <w:numId w:val="25"/>
        </w:numPr>
        <w:wordWrap w:val="0"/>
        <w:adjustRightInd w:val="0"/>
        <w:snapToGrid w:val="0"/>
        <w:spacing w:line="360" w:lineRule="auto"/>
        <w:ind w:left="616" w:hanging="616"/>
        <w:rPr>
          <w:rFonts w:cs="宋体"/>
          <w:color w:val="auto"/>
          <w:szCs w:val="24"/>
        </w:rPr>
      </w:pPr>
      <w:r>
        <w:rPr>
          <w:rFonts w:hint="eastAsia" w:cs="宋体"/>
          <w:color w:val="auto"/>
          <w:szCs w:val="24"/>
          <w:lang w:val="zh-CN"/>
        </w:rPr>
        <w:t>为了</w:t>
      </w:r>
      <w:r>
        <w:rPr>
          <w:rFonts w:hint="eastAsia" w:cs="宋体"/>
          <w:color w:val="auto"/>
          <w:szCs w:val="24"/>
        </w:rPr>
        <w:t>保证采购平台电子化处理效率，供应商在保证扫描件清晰可辨认（若无法辨认影响评审的，导致</w:t>
      </w:r>
      <w:r>
        <w:rPr>
          <w:rFonts w:cs="宋体"/>
          <w:color w:val="auto"/>
          <w:szCs w:val="24"/>
        </w:rPr>
        <w:t>的后果</w:t>
      </w:r>
      <w:r>
        <w:rPr>
          <w:rFonts w:hint="eastAsia" w:cs="宋体"/>
          <w:color w:val="auto"/>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36A5B193">
      <w:pPr>
        <w:pStyle w:val="45"/>
        <w:numPr>
          <w:ilvl w:val="0"/>
          <w:numId w:val="25"/>
        </w:numPr>
        <w:wordWrap w:val="0"/>
        <w:adjustRightInd w:val="0"/>
        <w:snapToGrid w:val="0"/>
        <w:spacing w:line="360" w:lineRule="auto"/>
        <w:ind w:left="616" w:hanging="616" w:firstLineChars="0"/>
        <w:rPr>
          <w:rFonts w:cs="宋体"/>
          <w:color w:val="auto"/>
          <w:szCs w:val="24"/>
        </w:rPr>
      </w:pPr>
      <w:r>
        <w:rPr>
          <w:rFonts w:hint="eastAsia" w:cs="宋体"/>
          <w:color w:val="auto"/>
          <w:szCs w:val="24"/>
        </w:rPr>
        <w:t>供应商应对响应文件全部内容的真实性负责，若有虚假，将依法承担相应责任。</w:t>
      </w:r>
    </w:p>
    <w:p w14:paraId="431044A8">
      <w:pPr>
        <w:pStyle w:val="45"/>
        <w:numPr>
          <w:ilvl w:val="0"/>
          <w:numId w:val="9"/>
        </w:numPr>
        <w:spacing w:line="360" w:lineRule="auto"/>
        <w:ind w:left="284" w:hanging="284" w:firstLineChars="0"/>
        <w:rPr>
          <w:b/>
          <w:color w:val="auto"/>
          <w:szCs w:val="24"/>
          <w:lang w:val="zh-CN"/>
        </w:rPr>
      </w:pPr>
      <w:bookmarkStart w:id="182" w:name="_Toc102116129"/>
      <w:bookmarkStart w:id="183" w:name="_Toc102115999"/>
      <w:bookmarkStart w:id="184" w:name="_Toc102057695"/>
      <w:bookmarkStart w:id="185" w:name="_Toc102119830"/>
      <w:bookmarkStart w:id="186" w:name="_Toc102114897"/>
      <w:bookmarkStart w:id="187" w:name="_Toc102056195"/>
      <w:r>
        <w:rPr>
          <w:rFonts w:hint="eastAsia"/>
          <w:b/>
          <w:color w:val="auto"/>
          <w:szCs w:val="24"/>
          <w:lang w:val="zh-CN"/>
        </w:rPr>
        <w:t>响应文件的数量</w:t>
      </w:r>
    </w:p>
    <w:p w14:paraId="51739343">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“磋商须知前附表”</w:t>
      </w:r>
      <w:r>
        <w:rPr>
          <w:rFonts w:hint="eastAsia" w:cs="宋体"/>
          <w:color w:val="auto"/>
          <w:szCs w:val="24"/>
          <w:lang w:val="zh-CN"/>
        </w:rPr>
        <w:t>中规定的份数编制响应文件。</w:t>
      </w:r>
    </w:p>
    <w:p w14:paraId="0BDF88DD">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磋商报价</w:t>
      </w:r>
      <w:bookmarkEnd w:id="182"/>
      <w:bookmarkEnd w:id="183"/>
      <w:bookmarkEnd w:id="184"/>
      <w:bookmarkEnd w:id="185"/>
      <w:bookmarkEnd w:id="186"/>
      <w:bookmarkEnd w:id="187"/>
    </w:p>
    <w:p w14:paraId="44DA971D">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0BE548CB">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应对项目竞争性磋商范围内的全部内容进行报价，不得缺、漏项或只投其中部分内容，否则按照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14:paraId="1E80E666">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14:paraId="4FA8F528">
      <w:pPr>
        <w:pStyle w:val="45"/>
        <w:numPr>
          <w:ilvl w:val="0"/>
          <w:numId w:val="9"/>
        </w:numPr>
        <w:spacing w:line="360" w:lineRule="auto"/>
        <w:ind w:left="284" w:hanging="284" w:firstLineChars="0"/>
        <w:rPr>
          <w:b/>
          <w:color w:val="auto"/>
          <w:szCs w:val="24"/>
          <w:lang w:val="zh-CN"/>
        </w:rPr>
      </w:pPr>
      <w:bookmarkStart w:id="188" w:name="_Toc102056199"/>
      <w:bookmarkStart w:id="189" w:name="_Toc102057699"/>
      <w:bookmarkStart w:id="190" w:name="_Toc102114901"/>
      <w:bookmarkStart w:id="191" w:name="_Toc102116133"/>
      <w:bookmarkStart w:id="192" w:name="_Toc102119834"/>
      <w:bookmarkStart w:id="193" w:name="_Toc102116003"/>
      <w:r>
        <w:rPr>
          <w:rFonts w:hint="eastAsia"/>
          <w:b/>
          <w:color w:val="auto"/>
          <w:szCs w:val="24"/>
          <w:lang w:val="zh-CN"/>
        </w:rPr>
        <w:t>备选方案</w:t>
      </w:r>
      <w:bookmarkEnd w:id="188"/>
      <w:bookmarkEnd w:id="189"/>
      <w:bookmarkEnd w:id="190"/>
      <w:bookmarkEnd w:id="191"/>
      <w:bookmarkEnd w:id="192"/>
      <w:bookmarkEnd w:id="193"/>
    </w:p>
    <w:p w14:paraId="2FECF844">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“磋商须知前附表”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14:paraId="21322E90">
      <w:pPr>
        <w:pStyle w:val="45"/>
        <w:numPr>
          <w:ilvl w:val="0"/>
          <w:numId w:val="9"/>
        </w:numPr>
        <w:spacing w:line="360" w:lineRule="auto"/>
        <w:ind w:left="284" w:hanging="284" w:firstLineChars="0"/>
        <w:rPr>
          <w:b/>
          <w:color w:val="auto"/>
          <w:szCs w:val="24"/>
          <w:lang w:val="zh-CN"/>
        </w:rPr>
      </w:pPr>
      <w:bookmarkStart w:id="194" w:name="_Toc102114903"/>
      <w:bookmarkStart w:id="195" w:name="_Toc102116005"/>
      <w:bookmarkStart w:id="196" w:name="_Toc102119836"/>
      <w:bookmarkStart w:id="197" w:name="_Toc102116135"/>
      <w:bookmarkStart w:id="198" w:name="_Toc102056201"/>
      <w:bookmarkStart w:id="199" w:name="_Toc102057701"/>
      <w:r>
        <w:rPr>
          <w:rFonts w:hint="eastAsia"/>
          <w:b/>
          <w:color w:val="auto"/>
          <w:szCs w:val="24"/>
          <w:lang w:val="zh-CN"/>
        </w:rPr>
        <w:t>磋商有效期</w:t>
      </w:r>
      <w:bookmarkEnd w:id="194"/>
      <w:bookmarkEnd w:id="195"/>
      <w:bookmarkEnd w:id="196"/>
      <w:bookmarkEnd w:id="197"/>
      <w:bookmarkEnd w:id="198"/>
      <w:bookmarkEnd w:id="199"/>
    </w:p>
    <w:p w14:paraId="7ADFCFFA">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磋商有效期：详见</w:t>
      </w:r>
      <w:r>
        <w:rPr>
          <w:rFonts w:hint="eastAsia" w:cs="宋体"/>
          <w:b/>
          <w:color w:val="auto"/>
          <w:szCs w:val="24"/>
          <w:lang w:val="zh-CN"/>
        </w:rPr>
        <w:t xml:space="preserve"> “磋商须知前附表”</w:t>
      </w:r>
      <w:r>
        <w:rPr>
          <w:rFonts w:hint="eastAsia" w:cs="宋体"/>
          <w:color w:val="auto"/>
          <w:szCs w:val="24"/>
          <w:lang w:val="zh-CN"/>
        </w:rPr>
        <w:t>的规定。磋商有效期不足的，按照</w:t>
      </w:r>
      <w:r>
        <w:rPr>
          <w:rFonts w:hint="eastAsia" w:cs="宋体"/>
          <w:b/>
          <w:color w:val="auto"/>
          <w:szCs w:val="24"/>
          <w:lang w:val="zh-CN"/>
        </w:rPr>
        <w:t>无效响应处理。</w:t>
      </w:r>
    </w:p>
    <w:p w14:paraId="63E5DA2D">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0E014B6F">
      <w:pPr>
        <w:pStyle w:val="45"/>
        <w:numPr>
          <w:ilvl w:val="0"/>
          <w:numId w:val="9"/>
        </w:numPr>
        <w:spacing w:line="360" w:lineRule="auto"/>
        <w:ind w:left="284" w:hanging="284" w:firstLineChars="0"/>
        <w:rPr>
          <w:b/>
          <w:color w:val="auto"/>
          <w:szCs w:val="24"/>
          <w:lang w:val="zh-CN"/>
        </w:rPr>
      </w:pPr>
      <w:bookmarkStart w:id="200" w:name="_Toc102116136"/>
      <w:bookmarkStart w:id="201" w:name="_Toc102116006"/>
      <w:bookmarkStart w:id="202" w:name="_Toc102057702"/>
      <w:bookmarkStart w:id="203" w:name="_Toc102119837"/>
      <w:bookmarkStart w:id="204" w:name="_Toc102114904"/>
      <w:bookmarkStart w:id="205" w:name="_Toc102056202"/>
      <w:r>
        <w:rPr>
          <w:rFonts w:hint="eastAsia"/>
          <w:b/>
          <w:color w:val="auto"/>
          <w:szCs w:val="24"/>
          <w:lang w:val="zh-CN"/>
        </w:rPr>
        <w:t>响应文件签署</w:t>
      </w:r>
      <w:bookmarkEnd w:id="200"/>
      <w:bookmarkEnd w:id="201"/>
      <w:bookmarkEnd w:id="202"/>
      <w:bookmarkEnd w:id="203"/>
      <w:bookmarkEnd w:id="204"/>
      <w:bookmarkEnd w:id="205"/>
    </w:p>
    <w:p w14:paraId="22355608">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w:t>
      </w:r>
      <w:r>
        <w:rPr>
          <w:rFonts w:hint="eastAsia" w:cs="宋体"/>
          <w:color w:val="auto"/>
          <w:szCs w:val="24"/>
          <w:lang w:val="zh-CN"/>
        </w:rPr>
        <w:t>应按要求对响应文件（含响应文件PDF格式、响应数据文件（</w:t>
      </w:r>
      <w:r>
        <w:rPr>
          <w:rFonts w:cs="宋体"/>
          <w:color w:val="auto"/>
          <w:szCs w:val="24"/>
          <w:lang w:val="zh-CN"/>
        </w:rPr>
        <w:t>PDF</w:t>
      </w:r>
      <w:r>
        <w:rPr>
          <w:rFonts w:hint="eastAsia" w:cs="宋体"/>
          <w:color w:val="auto"/>
          <w:szCs w:val="24"/>
          <w:lang w:val="zh-CN"/>
        </w:rPr>
        <w:t>格式）需要加盖公章的</w:t>
      </w:r>
      <w:r>
        <w:rPr>
          <w:rFonts w:hint="eastAsia" w:cs="宋体"/>
          <w:color w:val="auto"/>
          <w:szCs w:val="24"/>
        </w:rPr>
        <w:t>部位</w:t>
      </w:r>
      <w:r>
        <w:rPr>
          <w:rFonts w:hint="eastAsia" w:cs="宋体"/>
          <w:color w:val="auto"/>
          <w:szCs w:val="24"/>
          <w:lang w:val="zh-CN"/>
        </w:rPr>
        <w:t>加盖公章（或电子公章），需要法定代表人签名的部位加盖法定代表人电子人名章（或签名）；电子章与相应的实物章、签名具有同等法律效力。</w:t>
      </w:r>
    </w:p>
    <w:p w14:paraId="0057E70B">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响应文件（PDF格式）：供应商</w:t>
      </w:r>
      <w:r>
        <w:rPr>
          <w:rFonts w:hint="eastAsia" w:cs="宋体"/>
          <w:color w:val="auto"/>
          <w:szCs w:val="24"/>
          <w:lang w:val="zh-CN"/>
        </w:rPr>
        <w:t>应用带电子签章功能的CA数字证书登陆电子采购平台，使用文件签章菜单的标书签章功能将编制好的响应文件（Word格式）转换为PDF格式并逐一加盖电子印章。</w:t>
      </w:r>
    </w:p>
    <w:p w14:paraId="2EA79F39">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响应数据</w:t>
      </w:r>
      <w:r>
        <w:rPr>
          <w:rFonts w:hint="eastAsia" w:cs="宋体"/>
          <w:color w:val="auto"/>
          <w:szCs w:val="24"/>
          <w:lang w:val="zh-CN"/>
        </w:rPr>
        <w:t>文件</w:t>
      </w:r>
      <w:r>
        <w:rPr>
          <w:rFonts w:hint="eastAsia" w:cs="宋体"/>
          <w:color w:val="auto"/>
          <w:szCs w:val="24"/>
        </w:rPr>
        <w:t>（</w:t>
      </w:r>
      <w:r>
        <w:rPr>
          <w:rFonts w:cs="宋体"/>
          <w:color w:val="auto"/>
          <w:szCs w:val="24"/>
          <w:lang w:val="zh-CN"/>
        </w:rPr>
        <w:t>PDF</w:t>
      </w:r>
      <w:r>
        <w:rPr>
          <w:rFonts w:hint="eastAsia" w:cs="宋体"/>
          <w:color w:val="auto"/>
          <w:szCs w:val="24"/>
        </w:rPr>
        <w:t>格式）：</w:t>
      </w:r>
      <w:r>
        <w:rPr>
          <w:rFonts w:hint="eastAsia" w:cs="宋体"/>
          <w:color w:val="auto"/>
          <w:szCs w:val="24"/>
          <w:lang w:val="zh-CN"/>
        </w:rPr>
        <w:t>应通过电子采购平台的文件签章菜单的数据签章</w:t>
      </w:r>
      <w:r>
        <w:rPr>
          <w:rFonts w:hint="eastAsia" w:cs="宋体"/>
          <w:color w:val="auto"/>
          <w:szCs w:val="24"/>
        </w:rPr>
        <w:t>功</w:t>
      </w:r>
      <w:r>
        <w:rPr>
          <w:rFonts w:hint="eastAsia" w:cs="宋体"/>
          <w:color w:val="auto"/>
          <w:szCs w:val="24"/>
          <w:lang w:val="zh-CN"/>
        </w:rPr>
        <w:t>能将填写完毕的响应数据文件（Excel格式）转换为PDF格式加盖电子印章。</w:t>
      </w:r>
    </w:p>
    <w:p w14:paraId="1558D294">
      <w:pPr>
        <w:numPr>
          <w:ilvl w:val="0"/>
          <w:numId w:val="28"/>
        </w:numPr>
        <w:wordWrap w:val="0"/>
        <w:adjustRightInd w:val="0"/>
        <w:snapToGrid w:val="0"/>
        <w:spacing w:line="360" w:lineRule="auto"/>
        <w:ind w:left="616" w:hanging="616"/>
        <w:rPr>
          <w:color w:val="auto"/>
          <w:highlight w:val="none"/>
          <w:lang w:val="zh-CN"/>
        </w:rPr>
      </w:pPr>
      <w:r>
        <w:rPr>
          <w:rFonts w:hint="eastAsia" w:cs="宋体"/>
          <w:color w:val="auto"/>
          <w:szCs w:val="24"/>
          <w:highlight w:val="none"/>
          <w:lang w:val="zh-CN"/>
        </w:rPr>
        <w:t>以</w:t>
      </w:r>
      <w:r>
        <w:rPr>
          <w:rFonts w:hint="eastAsia" w:cs="宋体"/>
          <w:color w:val="auto"/>
          <w:szCs w:val="24"/>
          <w:highlight w:val="none"/>
        </w:rPr>
        <w:t>联合</w:t>
      </w:r>
      <w:r>
        <w:rPr>
          <w:rFonts w:hint="eastAsia" w:cs="宋体"/>
          <w:color w:val="auto"/>
          <w:szCs w:val="24"/>
          <w:highlight w:val="none"/>
          <w:lang w:val="zh-CN"/>
        </w:rPr>
        <w:t>体形式的，联合体成员都应在响应文件上加盖公章或电子公章。</w:t>
      </w:r>
    </w:p>
    <w:p w14:paraId="2CFEFD33">
      <w:pPr>
        <w:numPr>
          <w:ilvl w:val="0"/>
          <w:numId w:val="28"/>
        </w:numPr>
        <w:wordWrap w:val="0"/>
        <w:adjustRightInd w:val="0"/>
        <w:snapToGrid w:val="0"/>
        <w:spacing w:line="360" w:lineRule="auto"/>
        <w:ind w:left="616" w:hanging="616"/>
        <w:rPr>
          <w:color w:val="auto"/>
          <w:lang w:val="zh-CN"/>
        </w:rPr>
      </w:pPr>
      <w:r>
        <w:rPr>
          <w:rFonts w:hint="eastAsia" w:cs="宋体"/>
          <w:color w:val="auto"/>
          <w:szCs w:val="24"/>
          <w:lang w:val="zh-CN"/>
        </w:rPr>
        <w:t>未按竞争性磋商文件</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14:paraId="07F096E1">
      <w:pPr>
        <w:pStyle w:val="45"/>
        <w:numPr>
          <w:ilvl w:val="0"/>
          <w:numId w:val="9"/>
        </w:numPr>
        <w:spacing w:line="360" w:lineRule="auto"/>
        <w:ind w:left="284" w:hanging="284" w:firstLineChars="0"/>
        <w:rPr>
          <w:b/>
          <w:color w:val="auto"/>
          <w:szCs w:val="24"/>
          <w:lang w:val="zh-CN"/>
        </w:rPr>
      </w:pPr>
      <w:bookmarkStart w:id="206" w:name="_Toc102114905"/>
      <w:bookmarkStart w:id="207" w:name="_Toc102116007"/>
      <w:bookmarkStart w:id="208" w:name="_Toc102119838"/>
      <w:bookmarkStart w:id="209" w:name="_Toc102056203"/>
      <w:bookmarkStart w:id="210" w:name="_Toc102057703"/>
      <w:bookmarkStart w:id="211" w:name="_Toc102116137"/>
      <w:r>
        <w:rPr>
          <w:rFonts w:hint="eastAsia"/>
          <w:b/>
          <w:color w:val="auto"/>
          <w:szCs w:val="24"/>
          <w:lang w:val="zh-CN"/>
        </w:rPr>
        <w:t>响应文件加密与提交</w:t>
      </w:r>
      <w:bookmarkEnd w:id="206"/>
      <w:bookmarkEnd w:id="207"/>
      <w:bookmarkEnd w:id="208"/>
      <w:bookmarkEnd w:id="209"/>
      <w:bookmarkEnd w:id="210"/>
      <w:bookmarkEnd w:id="211"/>
    </w:p>
    <w:p w14:paraId="234AD2F4">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供应商应按第一</w:t>
      </w:r>
      <w:r>
        <w:rPr>
          <w:rFonts w:hint="eastAsia" w:cs="宋体"/>
          <w:color w:val="auto"/>
          <w:szCs w:val="24"/>
          <w:lang w:val="zh-CN"/>
        </w:rPr>
        <w:t>章“磋商邀请”中规定</w:t>
      </w:r>
      <w:r>
        <w:rPr>
          <w:rFonts w:hint="eastAsia" w:cs="宋体"/>
          <w:color w:val="auto"/>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color w:val="auto"/>
          <w:szCs w:val="24"/>
          <w:lang w:val="zh-CN"/>
        </w:rPr>
        <w:t>导致的</w:t>
      </w:r>
      <w:r>
        <w:rPr>
          <w:rFonts w:hint="eastAsia" w:cs="宋体"/>
          <w:color w:val="auto"/>
          <w:szCs w:val="24"/>
        </w:rPr>
        <w:t>后果由供应商自行承担。</w:t>
      </w:r>
    </w:p>
    <w:p w14:paraId="4C5ADA89">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供应商应充分评估集中提交带来的网络影响，尽量避开网络使用高峰时间，错峰进行上传。</w:t>
      </w:r>
    </w:p>
    <w:p w14:paraId="04D8FA99">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响应文件提交时间以电子采购平台显示为准</w:t>
      </w:r>
      <w:r>
        <w:rPr>
          <w:rFonts w:hint="eastAsia" w:cs="宋体"/>
          <w:b/>
          <w:color w:val="auto"/>
          <w:szCs w:val="24"/>
        </w:rPr>
        <w:t>，</w:t>
      </w:r>
      <w:r>
        <w:rPr>
          <w:rFonts w:hint="eastAsia" w:cs="宋体"/>
          <w:color w:val="auto"/>
          <w:szCs w:val="24"/>
        </w:rPr>
        <w:t>系统以收到供应商发出的提交指令时间作为其磋商时间。超过磋商截止时间的，</w:t>
      </w:r>
      <w:r>
        <w:rPr>
          <w:rFonts w:hint="eastAsia" w:cs="宋体"/>
          <w:b/>
          <w:color w:val="auto"/>
          <w:szCs w:val="24"/>
          <w:lang w:val="zh-CN"/>
        </w:rPr>
        <w:t>集中采购机构拒收逾期提交的响应文件</w:t>
      </w:r>
      <w:r>
        <w:rPr>
          <w:rFonts w:hint="eastAsia" w:cs="宋体"/>
          <w:color w:val="auto"/>
          <w:szCs w:val="24"/>
        </w:rPr>
        <w:t>。</w:t>
      </w:r>
    </w:p>
    <w:p w14:paraId="1A138764">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供应商应将电子采购平台上未加密且盖章的响应文件下载谨慎保存，以便启动应急磋商程序时使用。</w:t>
      </w:r>
    </w:p>
    <w:p w14:paraId="3D56F9F4">
      <w:pPr>
        <w:pStyle w:val="45"/>
        <w:numPr>
          <w:ilvl w:val="0"/>
          <w:numId w:val="9"/>
        </w:numPr>
        <w:spacing w:line="360" w:lineRule="auto"/>
        <w:ind w:left="284" w:hanging="284" w:firstLineChars="0"/>
        <w:rPr>
          <w:b/>
          <w:color w:val="auto"/>
          <w:szCs w:val="24"/>
          <w:lang w:val="zh-CN"/>
        </w:rPr>
      </w:pPr>
      <w:bookmarkStart w:id="212" w:name="_Toc102119839"/>
      <w:bookmarkStart w:id="213" w:name="_Toc102056204"/>
      <w:bookmarkStart w:id="214" w:name="_Toc102114906"/>
      <w:bookmarkStart w:id="215" w:name="_Toc102116008"/>
      <w:bookmarkStart w:id="216" w:name="_Toc102057704"/>
      <w:bookmarkStart w:id="217" w:name="_Toc102116138"/>
      <w:r>
        <w:rPr>
          <w:rFonts w:hint="eastAsia"/>
          <w:b/>
          <w:color w:val="auto"/>
          <w:szCs w:val="24"/>
          <w:lang w:val="zh-CN"/>
        </w:rPr>
        <w:t>响应文件的修改和撤回</w:t>
      </w:r>
      <w:bookmarkEnd w:id="212"/>
      <w:bookmarkEnd w:id="213"/>
      <w:bookmarkEnd w:id="214"/>
      <w:bookmarkEnd w:id="215"/>
      <w:bookmarkEnd w:id="216"/>
      <w:bookmarkEnd w:id="217"/>
    </w:p>
    <w:p w14:paraId="13C37EDB">
      <w:pPr>
        <w:numPr>
          <w:ilvl w:val="0"/>
          <w:numId w:val="30"/>
        </w:numPr>
        <w:wordWrap w:val="0"/>
        <w:adjustRightInd w:val="0"/>
        <w:snapToGrid w:val="0"/>
        <w:spacing w:line="360" w:lineRule="auto"/>
        <w:ind w:left="616" w:hanging="616"/>
        <w:rPr>
          <w:rFonts w:cs="宋体"/>
          <w:strike/>
          <w:color w:val="auto"/>
          <w:szCs w:val="24"/>
          <w:lang w:val="zh-CN"/>
        </w:rPr>
      </w:pPr>
      <w:r>
        <w:rPr>
          <w:rFonts w:hint="eastAsia" w:cs="宋体"/>
          <w:color w:val="auto"/>
          <w:szCs w:val="24"/>
          <w:lang w:val="zh-CN"/>
        </w:rPr>
        <w:t>供应商在磋商截止时间前，可以对所提交的响应文件进行补充、修改或者撤回。补充、修改的内容应当按照竞争性磋商文件要求签署、盖章后，作为响应文件的组成部分。</w:t>
      </w:r>
    </w:p>
    <w:p w14:paraId="38926DD9">
      <w:pPr>
        <w:numPr>
          <w:ilvl w:val="0"/>
          <w:numId w:val="30"/>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磋商截止后，磋商有效期内供应商不得撤销其响应文件。</w:t>
      </w:r>
    </w:p>
    <w:p w14:paraId="03D1FE6B">
      <w:pPr>
        <w:pStyle w:val="45"/>
        <w:numPr>
          <w:ilvl w:val="0"/>
          <w:numId w:val="9"/>
        </w:numPr>
        <w:spacing w:line="360" w:lineRule="auto"/>
        <w:ind w:left="284" w:hanging="284" w:firstLineChars="0"/>
        <w:rPr>
          <w:b/>
          <w:color w:val="auto"/>
          <w:szCs w:val="24"/>
          <w:lang w:val="zh-CN"/>
        </w:rPr>
      </w:pPr>
      <w:bookmarkStart w:id="218" w:name="_Toc102056205"/>
      <w:bookmarkStart w:id="219" w:name="_Toc102116009"/>
      <w:bookmarkStart w:id="220" w:name="_Toc102116139"/>
      <w:bookmarkStart w:id="221" w:name="_Toc102119840"/>
      <w:bookmarkStart w:id="222" w:name="_Toc102114907"/>
      <w:bookmarkStart w:id="223" w:name="_Toc102057705"/>
      <w:r>
        <w:rPr>
          <w:rFonts w:hint="eastAsia"/>
          <w:b/>
          <w:color w:val="auto"/>
          <w:szCs w:val="24"/>
          <w:lang w:val="zh-CN"/>
        </w:rPr>
        <w:t>磋商无效情形</w:t>
      </w:r>
      <w:bookmarkEnd w:id="218"/>
      <w:bookmarkEnd w:id="219"/>
      <w:bookmarkEnd w:id="220"/>
      <w:bookmarkEnd w:id="221"/>
      <w:bookmarkEnd w:id="222"/>
      <w:bookmarkEnd w:id="223"/>
    </w:p>
    <w:p w14:paraId="3B0F0490">
      <w:pPr>
        <w:numPr>
          <w:ilvl w:val="0"/>
          <w:numId w:val="31"/>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有下列情形之一的，视为供应商串通磋商，其磋商无效：</w:t>
      </w:r>
    </w:p>
    <w:p w14:paraId="1C5A5ADA">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14:paraId="4E67DA9A">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（2）不同供应商委托同一单位或者个人办理磋商事宜；</w:t>
      </w:r>
    </w:p>
    <w:p w14:paraId="57397244">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14:paraId="412F66D2">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（4）不同供应商的响应文件异常一致或者磋商报价呈规律性差异；</w:t>
      </w:r>
    </w:p>
    <w:p w14:paraId="422F2CEF">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p w14:paraId="7DC44BDA">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（6）不同供应商使用同一电脑（机器特征值一致：如MAC地址等）或使用同一电子密钥，编制或上传电子响应文件。</w:t>
      </w:r>
    </w:p>
    <w:bookmarkEnd w:id="141"/>
    <w:bookmarkEnd w:id="142"/>
    <w:p w14:paraId="590B1DE8">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24" w:name="_Toc117244353"/>
      <w:bookmarkStart w:id="225" w:name="_Toc117244468"/>
      <w:bookmarkStart w:id="226" w:name="_Toc122527529"/>
      <w:r>
        <w:rPr>
          <w:rFonts w:hint="eastAsia" w:ascii="宋体" w:hAnsi="宋体" w:eastAsia="宋体" w:cs="Times New Roman"/>
          <w:bCs w:val="0"/>
          <w:color w:val="auto"/>
          <w:sz w:val="28"/>
          <w:szCs w:val="28"/>
          <w:lang w:val="zh-CN"/>
        </w:rPr>
        <w:t>磋商与评审</w:t>
      </w:r>
      <w:bookmarkEnd w:id="224"/>
      <w:bookmarkEnd w:id="225"/>
      <w:bookmarkEnd w:id="226"/>
    </w:p>
    <w:p w14:paraId="2246934B">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磋商程序</w:t>
      </w:r>
    </w:p>
    <w:p w14:paraId="4A9770A1">
      <w:pPr>
        <w:numPr>
          <w:ilvl w:val="0"/>
          <w:numId w:val="32"/>
        </w:numPr>
        <w:wordWrap w:val="0"/>
        <w:adjustRightInd w:val="0"/>
        <w:snapToGrid w:val="0"/>
        <w:spacing w:line="360" w:lineRule="auto"/>
        <w:ind w:left="616" w:hanging="616"/>
        <w:rPr>
          <w:color w:val="auto"/>
          <w:szCs w:val="24"/>
        </w:rPr>
      </w:pPr>
      <w:bookmarkStart w:id="227" w:name="_Toc152045560"/>
      <w:bookmarkStart w:id="228" w:name="_Toc144974528"/>
      <w:bookmarkStart w:id="229" w:name="_Toc107387533"/>
      <w:bookmarkStart w:id="230" w:name="_Toc179632578"/>
      <w:bookmarkStart w:id="231" w:name="_Toc152042336"/>
      <w:r>
        <w:rPr>
          <w:rFonts w:hint="eastAsia"/>
          <w:color w:val="auto"/>
          <w:szCs w:val="24"/>
        </w:rPr>
        <w:t>磋商时间和地点</w:t>
      </w:r>
      <w:bookmarkEnd w:id="227"/>
      <w:bookmarkEnd w:id="228"/>
      <w:bookmarkEnd w:id="229"/>
      <w:bookmarkEnd w:id="230"/>
      <w:bookmarkEnd w:id="231"/>
    </w:p>
    <w:p w14:paraId="3B5DF067">
      <w:pPr>
        <w:tabs>
          <w:tab w:val="left" w:pos="993"/>
        </w:tabs>
        <w:wordWrap w:val="0"/>
        <w:adjustRightInd w:val="0"/>
        <w:snapToGrid w:val="0"/>
        <w:spacing w:line="360" w:lineRule="auto"/>
        <w:ind w:firstLine="480" w:firstLineChars="200"/>
        <w:rPr>
          <w:color w:val="auto"/>
          <w:szCs w:val="24"/>
        </w:rPr>
      </w:pPr>
      <w:r>
        <w:rPr>
          <w:rFonts w:hint="eastAsia"/>
          <w:color w:val="auto"/>
          <w:szCs w:val="24"/>
        </w:rPr>
        <w:t>（1）磋商截止时间前，供应商应</w:t>
      </w:r>
      <w:r>
        <w:rPr>
          <w:color w:val="auto"/>
          <w:szCs w:val="24"/>
        </w:rPr>
        <w:t>使用</w:t>
      </w:r>
      <w:r>
        <w:rPr>
          <w:rFonts w:hint="eastAsia"/>
          <w:b/>
          <w:color w:val="auto"/>
          <w:szCs w:val="24"/>
        </w:rPr>
        <w:t>加密其响应文件的CA数字证书</w:t>
      </w:r>
      <w:r>
        <w:rPr>
          <w:rFonts w:hint="eastAsia"/>
          <w:color w:val="auto"/>
          <w:szCs w:val="24"/>
        </w:rPr>
        <w:t>登录电子采购平台，进入“磋商大厅”选择所投项目</w:t>
      </w:r>
      <w:r>
        <w:rPr>
          <w:color w:val="auto"/>
          <w:szCs w:val="24"/>
        </w:rPr>
        <w:t>（或</w:t>
      </w:r>
      <w:r>
        <w:rPr>
          <w:rFonts w:hint="eastAsia"/>
          <w:color w:val="auto"/>
          <w:szCs w:val="24"/>
        </w:rPr>
        <w:t>标段）完成项目签到工作。</w:t>
      </w:r>
    </w:p>
    <w:p w14:paraId="66ED0780">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在第一章“磋商邀请”约定的磋商截止时间、磋商时间及地点，集中采购</w:t>
      </w:r>
      <w:r>
        <w:rPr>
          <w:rFonts w:hint="eastAsia" w:cs="宋体"/>
          <w:color w:val="auto"/>
          <w:szCs w:val="24"/>
          <w:lang w:val="zh-CN"/>
        </w:rPr>
        <w:t>机构通过互联网</w:t>
      </w:r>
      <w:r>
        <w:rPr>
          <w:rFonts w:hint="eastAsia"/>
          <w:color w:val="auto"/>
          <w:szCs w:val="24"/>
          <w:lang w:val="zh-CN"/>
        </w:rPr>
        <w:t>在电子采购平台“磋商大厅”公开组织磋商工作。</w:t>
      </w:r>
    </w:p>
    <w:p w14:paraId="5F95C47A">
      <w:pPr>
        <w:tabs>
          <w:tab w:val="left" w:pos="993"/>
        </w:tabs>
        <w:wordWrap w:val="0"/>
        <w:adjustRightInd w:val="0"/>
        <w:snapToGrid w:val="0"/>
        <w:spacing w:line="360" w:lineRule="auto"/>
        <w:ind w:firstLine="480" w:firstLineChars="200"/>
        <w:rPr>
          <w:color w:val="auto"/>
          <w:szCs w:val="24"/>
        </w:rPr>
      </w:pPr>
      <w:r>
        <w:rPr>
          <w:rFonts w:hint="eastAsia"/>
          <w:color w:val="auto"/>
          <w:szCs w:val="24"/>
          <w:lang w:val="zh-CN"/>
        </w:rPr>
        <w:t>（3）供应商</w:t>
      </w:r>
      <w:r>
        <w:rPr>
          <w:rFonts w:hint="eastAsia"/>
          <w:color w:val="auto"/>
          <w:szCs w:val="24"/>
        </w:rPr>
        <w:t>应当在能够保证设施设备可靠、互联网畅通的任意地点，使用</w:t>
      </w:r>
      <w:r>
        <w:rPr>
          <w:rFonts w:hint="eastAsia"/>
          <w:b/>
          <w:color w:val="auto"/>
          <w:szCs w:val="24"/>
        </w:rPr>
        <w:t>加密其响应文件的CA数字证书</w:t>
      </w:r>
      <w:r>
        <w:rPr>
          <w:rFonts w:hint="eastAsia"/>
          <w:color w:val="auto"/>
          <w:szCs w:val="24"/>
        </w:rPr>
        <w:t>登录电子采购平台，进入“开标大厅”，通过互联网</w:t>
      </w:r>
      <w:r>
        <w:rPr>
          <w:rFonts w:hint="eastAsia"/>
          <w:color w:val="auto"/>
          <w:szCs w:val="24"/>
          <w:lang w:val="zh-CN"/>
        </w:rPr>
        <w:t>准时</w:t>
      </w:r>
      <w:r>
        <w:rPr>
          <w:rFonts w:hint="eastAsia"/>
          <w:color w:val="auto"/>
          <w:szCs w:val="24"/>
        </w:rPr>
        <w:t>参加在线磋商，并实时在线通过直播关注工作</w:t>
      </w:r>
      <w:r>
        <w:rPr>
          <w:color w:val="auto"/>
          <w:szCs w:val="24"/>
        </w:rPr>
        <w:t>人员</w:t>
      </w:r>
      <w:r>
        <w:rPr>
          <w:rFonts w:hint="eastAsia"/>
          <w:color w:val="auto"/>
          <w:szCs w:val="24"/>
        </w:rPr>
        <w:t>的操作情况。</w:t>
      </w:r>
    </w:p>
    <w:p w14:paraId="07BDF21C">
      <w:pPr>
        <w:numPr>
          <w:ilvl w:val="0"/>
          <w:numId w:val="32"/>
        </w:numPr>
        <w:wordWrap w:val="0"/>
        <w:adjustRightInd w:val="0"/>
        <w:snapToGrid w:val="0"/>
        <w:spacing w:line="360" w:lineRule="auto"/>
        <w:ind w:left="616" w:hanging="616"/>
        <w:rPr>
          <w:color w:val="auto"/>
          <w:lang w:val="zh-CN"/>
        </w:rPr>
      </w:pPr>
      <w:r>
        <w:rPr>
          <w:rFonts w:hint="eastAsia"/>
          <w:color w:val="auto"/>
          <w:lang w:val="zh-CN"/>
        </w:rPr>
        <w:t>响应文件解密：提交响应文件截止时间到后，工作人员启动开始解密指令，</w:t>
      </w:r>
      <w:r>
        <w:rPr>
          <w:rFonts w:hint="eastAsia"/>
          <w:color w:val="auto"/>
        </w:rPr>
        <w:t>供应商</w:t>
      </w:r>
      <w:r>
        <w:rPr>
          <w:rFonts w:hint="eastAsia"/>
          <w:color w:val="auto"/>
          <w:lang w:val="zh-CN"/>
        </w:rPr>
        <w:t>应按</w:t>
      </w:r>
      <w:r>
        <w:rPr>
          <w:rFonts w:hint="eastAsia"/>
          <w:b/>
          <w:color w:val="auto"/>
          <w:lang w:val="zh-CN"/>
        </w:rPr>
        <w:t>“磋商须知前附表”</w:t>
      </w:r>
      <w:r>
        <w:rPr>
          <w:rFonts w:hint="eastAsia"/>
          <w:color w:val="auto"/>
          <w:lang w:val="zh-CN"/>
        </w:rPr>
        <w:t>规定及时进行响应文件解密。</w:t>
      </w:r>
    </w:p>
    <w:p w14:paraId="20ABE000">
      <w:pPr>
        <w:numPr>
          <w:ilvl w:val="0"/>
          <w:numId w:val="32"/>
        </w:numPr>
        <w:wordWrap w:val="0"/>
        <w:adjustRightInd w:val="0"/>
        <w:snapToGrid w:val="0"/>
        <w:spacing w:line="360" w:lineRule="auto"/>
        <w:ind w:left="616" w:hanging="616"/>
        <w:rPr>
          <w:color w:val="auto"/>
          <w:lang w:val="zh-CN"/>
        </w:rPr>
      </w:pPr>
      <w:r>
        <w:rPr>
          <w:rFonts w:hint="eastAsia"/>
          <w:color w:val="auto"/>
          <w:lang w:val="zh-CN"/>
        </w:rPr>
        <w:t>在本章“磋商须知前附表规定的时间内（</w:t>
      </w:r>
      <w:r>
        <w:rPr>
          <w:rFonts w:hint="eastAsia"/>
          <w:color w:val="auto"/>
          <w:lang w:val="en-US" w:eastAsia="zh-CN"/>
        </w:rPr>
        <w:t>30分钟）</w:t>
      </w:r>
      <w:r>
        <w:rPr>
          <w:rFonts w:hint="eastAsia"/>
          <w:color w:val="auto"/>
          <w:lang w:val="zh-CN"/>
        </w:rPr>
        <w:t>，非因电子采购平台原因造成响应文件未解密的，视为供应商撤回响应文件。停止解密后，在部分响应文件未解密的情况下，已解密的响应文件不足3</w:t>
      </w:r>
      <w:r>
        <w:rPr>
          <w:color w:val="auto"/>
          <w:lang w:val="zh-CN"/>
        </w:rPr>
        <w:t>家</w:t>
      </w:r>
      <w:r>
        <w:rPr>
          <w:rFonts w:hint="eastAsia"/>
          <w:color w:val="auto"/>
          <w:lang w:val="zh-CN"/>
        </w:rPr>
        <w:t>的，应予以</w:t>
      </w:r>
      <w:r>
        <w:rPr>
          <w:color w:val="auto"/>
          <w:lang w:val="zh-CN"/>
        </w:rPr>
        <w:t>废标</w:t>
      </w:r>
      <w:r>
        <w:rPr>
          <w:rFonts w:hint="eastAsia"/>
          <w:color w:val="auto"/>
          <w:lang w:val="zh-CN"/>
        </w:rPr>
        <w:t>；已解密的响应文件不少于3家</w:t>
      </w:r>
      <w:r>
        <w:rPr>
          <w:color w:val="auto"/>
          <w:lang w:val="zh-CN"/>
        </w:rPr>
        <w:t>的</w:t>
      </w:r>
      <w:r>
        <w:rPr>
          <w:rFonts w:hint="eastAsia"/>
          <w:color w:val="auto"/>
          <w:lang w:val="zh-CN"/>
        </w:rPr>
        <w:t>，磋商继续进行。</w:t>
      </w:r>
    </w:p>
    <w:p w14:paraId="47F51184">
      <w:pPr>
        <w:numPr>
          <w:ilvl w:val="0"/>
          <w:numId w:val="32"/>
        </w:numPr>
        <w:wordWrap w:val="0"/>
        <w:adjustRightInd w:val="0"/>
        <w:snapToGrid w:val="0"/>
        <w:spacing w:line="360" w:lineRule="auto"/>
        <w:ind w:left="616" w:hanging="616"/>
        <w:rPr>
          <w:color w:val="auto"/>
          <w:lang w:val="zh-CN"/>
        </w:rPr>
      </w:pPr>
      <w:r>
        <w:rPr>
          <w:rFonts w:hint="eastAsia"/>
          <w:color w:val="auto"/>
          <w:lang w:val="zh-CN"/>
        </w:rPr>
        <w:t>工作人员在电子采购平台上组织磋商。</w:t>
      </w:r>
    </w:p>
    <w:p w14:paraId="5E057D42">
      <w:pPr>
        <w:numPr>
          <w:ilvl w:val="0"/>
          <w:numId w:val="32"/>
        </w:numPr>
        <w:wordWrap w:val="0"/>
        <w:adjustRightInd w:val="0"/>
        <w:snapToGrid w:val="0"/>
        <w:spacing w:line="360" w:lineRule="auto"/>
        <w:ind w:left="616" w:hanging="616"/>
        <w:rPr>
          <w:color w:val="auto"/>
          <w:lang w:val="zh-CN"/>
        </w:rPr>
      </w:pPr>
      <w:bookmarkStart w:id="232" w:name="_Toc102057709"/>
      <w:bookmarkStart w:id="233" w:name="_Toc102116013"/>
      <w:bookmarkStart w:id="234" w:name="_Toc102116143"/>
      <w:bookmarkStart w:id="235" w:name="_Toc102119844"/>
      <w:bookmarkStart w:id="236" w:name="_Toc102056209"/>
      <w:bookmarkStart w:id="237" w:name="_Toc102114911"/>
      <w:r>
        <w:rPr>
          <w:color w:val="auto"/>
          <w:lang w:val="zh-CN"/>
        </w:rPr>
        <w:t>供应商</w:t>
      </w:r>
      <w:r>
        <w:rPr>
          <w:rFonts w:hint="eastAsia"/>
          <w:color w:val="auto"/>
          <w:lang w:val="zh-CN"/>
        </w:rPr>
        <w:t>或其</w:t>
      </w:r>
      <w:r>
        <w:rPr>
          <w:rFonts w:hint="eastAsia"/>
          <w:color w:val="auto"/>
        </w:rPr>
        <w:t>授权</w:t>
      </w:r>
      <w:r>
        <w:rPr>
          <w:color w:val="auto"/>
          <w:lang w:val="zh-CN"/>
        </w:rPr>
        <w:t>代表对磋商过程和磋商记录有疑义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认为采购人、集中采购机构相关工作人员有需要回避的情形的，</w:t>
      </w:r>
      <w:r>
        <w:rPr>
          <w:rFonts w:hint="eastAsia"/>
          <w:color w:val="auto"/>
          <w:lang w:val="zh-CN"/>
        </w:rPr>
        <w:t>应当在磋商过程中提出；工作人员当场对疑义作出答复。疑义与答复应通过 “开标大厅”互动窗口中在</w:t>
      </w:r>
      <w:r>
        <w:rPr>
          <w:color w:val="auto"/>
          <w:lang w:val="zh-CN"/>
        </w:rPr>
        <w:t>线</w:t>
      </w:r>
      <w:r>
        <w:rPr>
          <w:rFonts w:hint="eastAsia"/>
          <w:color w:val="auto"/>
          <w:lang w:val="zh-CN"/>
        </w:rPr>
        <w:t>进行。</w:t>
      </w:r>
    </w:p>
    <w:p w14:paraId="5A62C947">
      <w:pPr>
        <w:numPr>
          <w:ilvl w:val="0"/>
          <w:numId w:val="32"/>
        </w:numPr>
        <w:wordWrap w:val="0"/>
        <w:adjustRightInd w:val="0"/>
        <w:snapToGrid w:val="0"/>
        <w:spacing w:line="360" w:lineRule="auto"/>
        <w:ind w:left="616" w:hanging="616"/>
        <w:rPr>
          <w:color w:val="auto"/>
          <w:lang w:val="zh-CN"/>
        </w:rPr>
      </w:pPr>
      <w:bookmarkStart w:id="238" w:name="_Toc107387536"/>
      <w:r>
        <w:rPr>
          <w:color w:val="auto"/>
          <w:lang w:val="zh-CN"/>
        </w:rPr>
        <w:t>特殊情况的处置</w:t>
      </w:r>
      <w:bookmarkEnd w:id="238"/>
    </w:p>
    <w:p w14:paraId="6EFBD2AD">
      <w:pPr>
        <w:tabs>
          <w:tab w:val="left" w:pos="993"/>
        </w:tabs>
        <w:wordWrap w:val="0"/>
        <w:adjustRightInd w:val="0"/>
        <w:snapToGrid w:val="0"/>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color w:val="auto"/>
          <w:szCs w:val="24"/>
        </w:rPr>
        <w:t>因</w:t>
      </w:r>
      <w:r>
        <w:rPr>
          <w:rFonts w:hint="eastAsia"/>
          <w:color w:val="auto"/>
          <w:szCs w:val="24"/>
        </w:rPr>
        <w:t>电子采购平台</w:t>
      </w:r>
      <w:r>
        <w:rPr>
          <w:color w:val="auto"/>
          <w:szCs w:val="24"/>
        </w:rPr>
        <w:t>系统</w:t>
      </w:r>
      <w:r>
        <w:rPr>
          <w:rFonts w:hint="eastAsia"/>
          <w:color w:val="auto"/>
          <w:szCs w:val="24"/>
        </w:rPr>
        <w:t>故障</w:t>
      </w:r>
      <w:r>
        <w:rPr>
          <w:color w:val="auto"/>
          <w:szCs w:val="24"/>
        </w:rPr>
        <w:t>导致</w:t>
      </w:r>
      <w:r>
        <w:rPr>
          <w:rFonts w:hint="eastAsia"/>
          <w:color w:val="auto"/>
          <w:szCs w:val="24"/>
        </w:rPr>
        <w:t>无法正常磋商的，采购人将</w:t>
      </w:r>
      <w:r>
        <w:rPr>
          <w:color w:val="auto"/>
          <w:szCs w:val="24"/>
        </w:rPr>
        <w:t>暂停磋商</w:t>
      </w:r>
      <w:r>
        <w:rPr>
          <w:rFonts w:hint="eastAsia"/>
          <w:color w:val="auto"/>
          <w:szCs w:val="24"/>
        </w:rPr>
        <w:t>，待系统恢复</w:t>
      </w:r>
      <w:r>
        <w:rPr>
          <w:color w:val="auto"/>
          <w:szCs w:val="24"/>
        </w:rPr>
        <w:t>正常</w:t>
      </w:r>
      <w:r>
        <w:rPr>
          <w:rFonts w:hint="eastAsia"/>
          <w:color w:val="auto"/>
          <w:szCs w:val="24"/>
        </w:rPr>
        <w:t>后继续磋商，也可按照本章“</w:t>
      </w:r>
      <w:r>
        <w:rPr>
          <w:rFonts w:hint="eastAsia"/>
          <w:color w:val="auto"/>
          <w:szCs w:val="24"/>
          <w:lang w:val="en-US" w:eastAsia="zh-CN"/>
        </w:rPr>
        <w:t>30</w:t>
      </w:r>
      <w:r>
        <w:rPr>
          <w:color w:val="auto"/>
          <w:szCs w:val="24"/>
        </w:rPr>
        <w:t>.应急磋商程序</w:t>
      </w:r>
      <w:r>
        <w:rPr>
          <w:rFonts w:hint="eastAsia"/>
          <w:color w:val="auto"/>
          <w:szCs w:val="24"/>
        </w:rPr>
        <w:t>”规定启动</w:t>
      </w:r>
      <w:r>
        <w:rPr>
          <w:color w:val="auto"/>
          <w:szCs w:val="24"/>
        </w:rPr>
        <w:t>应急磋商程序</w:t>
      </w:r>
      <w:r>
        <w:rPr>
          <w:rFonts w:hint="eastAsia"/>
          <w:color w:val="auto"/>
          <w:szCs w:val="24"/>
        </w:rPr>
        <w:t>；</w:t>
      </w:r>
    </w:p>
    <w:p w14:paraId="1C9E9ACC">
      <w:pPr>
        <w:tabs>
          <w:tab w:val="left" w:pos="993"/>
        </w:tabs>
        <w:wordWrap w:val="0"/>
        <w:adjustRightInd w:val="0"/>
        <w:snapToGrid w:val="0"/>
        <w:spacing w:line="360" w:lineRule="auto"/>
        <w:ind w:firstLine="480" w:firstLineChars="200"/>
        <w:rPr>
          <w:color w:val="auto"/>
        </w:rPr>
      </w:pPr>
      <w:r>
        <w:rPr>
          <w:rFonts w:hint="eastAsia"/>
          <w:color w:val="auto"/>
          <w:szCs w:val="24"/>
        </w:rPr>
        <w:t>（</w:t>
      </w:r>
      <w:r>
        <w:rPr>
          <w:color w:val="auto"/>
          <w:szCs w:val="24"/>
        </w:rPr>
        <w:t>2</w:t>
      </w:r>
      <w:r>
        <w:rPr>
          <w:rFonts w:hint="eastAsia"/>
          <w:color w:val="auto"/>
          <w:szCs w:val="24"/>
        </w:rPr>
        <w:t>）“电子采购平台</w:t>
      </w:r>
      <w:r>
        <w:rPr>
          <w:color w:val="auto"/>
          <w:szCs w:val="24"/>
        </w:rPr>
        <w:t>系统</w:t>
      </w:r>
      <w:r>
        <w:rPr>
          <w:rFonts w:hint="eastAsia"/>
          <w:color w:val="auto"/>
          <w:szCs w:val="24"/>
        </w:rPr>
        <w:t>故障”是指：</w:t>
      </w:r>
      <w:r>
        <w:rPr>
          <w:color w:val="auto"/>
          <w:szCs w:val="24"/>
        </w:rPr>
        <w:t>系统服务器发生故障，无法访问或无法使用系统；系统的软件或数据库出现错误，不能进行正常操作；系统发现有安全漏洞，有潜在的泄密危险；</w:t>
      </w:r>
      <w:r>
        <w:rPr>
          <w:rFonts w:hint="eastAsia"/>
          <w:color w:val="auto"/>
          <w:szCs w:val="24"/>
        </w:rPr>
        <w:t>出现断电、断网事故；</w:t>
      </w:r>
      <w:r>
        <w:rPr>
          <w:color w:val="auto"/>
          <w:szCs w:val="24"/>
        </w:rPr>
        <w:t>其他无法保证磋商过程</w:t>
      </w:r>
      <w:r>
        <w:rPr>
          <w:rFonts w:hint="eastAsia"/>
          <w:color w:val="auto"/>
          <w:szCs w:val="24"/>
        </w:rPr>
        <w:t>正常进行</w:t>
      </w:r>
      <w:r>
        <w:rPr>
          <w:color w:val="auto"/>
          <w:szCs w:val="24"/>
        </w:rPr>
        <w:t>的情形。</w:t>
      </w:r>
    </w:p>
    <w:p w14:paraId="23DC38C4">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应急磋商程序</w:t>
      </w:r>
      <w:bookmarkEnd w:id="232"/>
      <w:bookmarkEnd w:id="233"/>
      <w:bookmarkEnd w:id="234"/>
      <w:bookmarkEnd w:id="235"/>
      <w:bookmarkEnd w:id="236"/>
      <w:bookmarkEnd w:id="237"/>
    </w:p>
    <w:p w14:paraId="337363DB">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30.1 </w:t>
      </w:r>
      <w:r>
        <w:rPr>
          <w:rFonts w:hint="eastAsia"/>
          <w:bCs/>
          <w:color w:val="auto"/>
        </w:rPr>
        <w:t>磋商</w:t>
      </w:r>
      <w:r>
        <w:rPr>
          <w:rFonts w:hint="eastAsia"/>
          <w:color w:val="auto"/>
          <w:lang w:val="zh-CN"/>
        </w:rPr>
        <w:t>过程</w:t>
      </w:r>
      <w:r>
        <w:rPr>
          <w:rFonts w:hint="eastAsia"/>
          <w:bCs/>
          <w:color w:val="auto"/>
        </w:rPr>
        <w:t>中若出现“电子采购平台系统故障”</w:t>
      </w:r>
      <w:r>
        <w:rPr>
          <w:rFonts w:hint="eastAsia"/>
          <w:color w:val="auto"/>
          <w:lang w:val="zh-CN"/>
        </w:rPr>
        <w:t>时</w:t>
      </w:r>
      <w:r>
        <w:rPr>
          <w:bCs/>
          <w:color w:val="auto"/>
        </w:rPr>
        <w:t>，</w:t>
      </w:r>
      <w:r>
        <w:rPr>
          <w:rFonts w:hint="eastAsia"/>
          <w:bCs/>
          <w:color w:val="auto"/>
        </w:rPr>
        <w:t>可以在采购人代表的监督下，启动应急磋商程序。</w:t>
      </w:r>
    </w:p>
    <w:p w14:paraId="2A457601">
      <w:pPr>
        <w:numPr>
          <w:ilvl w:val="0"/>
          <w:numId w:val="0"/>
        </w:numPr>
        <w:wordWrap w:val="0"/>
        <w:adjustRightInd w:val="0"/>
        <w:snapToGrid w:val="0"/>
        <w:spacing w:line="360" w:lineRule="auto"/>
        <w:ind w:leftChars="0"/>
        <w:rPr>
          <w:color w:val="auto"/>
        </w:rPr>
      </w:pPr>
      <w:r>
        <w:rPr>
          <w:rFonts w:hint="eastAsia"/>
          <w:color w:val="auto"/>
          <w:lang w:val="en-US" w:eastAsia="zh-CN"/>
        </w:rPr>
        <w:t xml:space="preserve">30.2 </w:t>
      </w:r>
      <w:r>
        <w:rPr>
          <w:rFonts w:hint="eastAsia"/>
          <w:color w:val="auto"/>
        </w:rPr>
        <w:t>应急</w:t>
      </w:r>
      <w:r>
        <w:rPr>
          <w:rFonts w:hint="eastAsia"/>
          <w:bCs/>
          <w:color w:val="auto"/>
        </w:rPr>
        <w:t>磋商程序</w:t>
      </w:r>
      <w:r>
        <w:rPr>
          <w:rFonts w:hint="eastAsia"/>
          <w:color w:val="auto"/>
        </w:rPr>
        <w:t>如下：</w:t>
      </w:r>
    </w:p>
    <w:p w14:paraId="4B65DAC1">
      <w:pPr>
        <w:tabs>
          <w:tab w:val="left" w:pos="709"/>
        </w:tabs>
        <w:wordWrap w:val="0"/>
        <w:adjustRightInd w:val="0"/>
        <w:snapToGrid w:val="0"/>
        <w:spacing w:line="360" w:lineRule="auto"/>
        <w:ind w:firstLine="480" w:firstLineChars="200"/>
        <w:rPr>
          <w:color w:val="auto"/>
        </w:rPr>
      </w:pPr>
      <w:r>
        <w:rPr>
          <w:rFonts w:hint="eastAsia"/>
          <w:color w:val="auto"/>
        </w:rPr>
        <w:t>（1）工作人员电话通知所有供应商，启动应急磋商程序；</w:t>
      </w:r>
      <w:r>
        <w:rPr>
          <w:color w:val="auto"/>
        </w:rPr>
        <w:t xml:space="preserve"> </w:t>
      </w:r>
    </w:p>
    <w:p w14:paraId="1E88E619">
      <w:pPr>
        <w:tabs>
          <w:tab w:val="left" w:pos="709"/>
        </w:tabs>
        <w:wordWrap w:val="0"/>
        <w:adjustRightInd w:val="0"/>
        <w:snapToGrid w:val="0"/>
        <w:spacing w:line="360" w:lineRule="auto"/>
        <w:ind w:firstLine="480" w:firstLineChars="200"/>
        <w:rPr>
          <w:color w:val="auto"/>
        </w:rPr>
      </w:pPr>
      <w:r>
        <w:rPr>
          <w:rFonts w:hint="eastAsia"/>
          <w:color w:val="auto"/>
        </w:rPr>
        <w:t>（2）供应商接到通知后，应在40分钟内通过电子邮件（接收响应文件邮箱1215848566@qq.com</w:t>
      </w:r>
      <w:r>
        <w:rPr>
          <w:rFonts w:hint="eastAsia"/>
          <w:color w:val="auto"/>
          <w:lang w:eastAsia="zh-CN"/>
        </w:rPr>
        <w:t>）</w:t>
      </w:r>
      <w:r>
        <w:rPr>
          <w:rFonts w:hint="eastAsia"/>
          <w:color w:val="auto"/>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color w:val="auto"/>
        </w:rPr>
        <w:t>无效响应处理；</w:t>
      </w:r>
    </w:p>
    <w:p w14:paraId="79FFE5CD">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3</w:t>
      </w:r>
      <w:r>
        <w:rPr>
          <w:rFonts w:hint="eastAsia"/>
          <w:color w:val="auto"/>
        </w:rPr>
        <w:t>）提交响应文件时间截止后，工作人员及时下载响应文件。</w:t>
      </w:r>
      <w:r>
        <w:rPr>
          <w:color w:val="auto"/>
        </w:rPr>
        <w:tab/>
      </w:r>
      <w:r>
        <w:rPr>
          <w:rFonts w:hint="eastAsia"/>
          <w:color w:val="auto"/>
        </w:rPr>
        <w:t>磋商</w:t>
      </w:r>
      <w:r>
        <w:rPr>
          <w:color w:val="auto"/>
        </w:rPr>
        <w:t>小组通过电话等通信工具工具与供应商进行</w:t>
      </w:r>
      <w:r>
        <w:rPr>
          <w:rFonts w:hint="eastAsia"/>
          <w:color w:val="auto"/>
        </w:rPr>
        <w:t>磋商</w:t>
      </w:r>
      <w:r>
        <w:rPr>
          <w:color w:val="auto"/>
        </w:rPr>
        <w:t>，</w:t>
      </w:r>
      <w:r>
        <w:rPr>
          <w:rFonts w:hint="eastAsia"/>
          <w:color w:val="auto"/>
        </w:rPr>
        <w:t>磋商</w:t>
      </w:r>
      <w:r>
        <w:rPr>
          <w:color w:val="auto"/>
        </w:rPr>
        <w:t>结束后，供应商应按</w:t>
      </w:r>
      <w:r>
        <w:rPr>
          <w:rFonts w:hint="eastAsia"/>
          <w:color w:val="auto"/>
        </w:rPr>
        <w:t>磋商</w:t>
      </w:r>
      <w:r>
        <w:rPr>
          <w:color w:val="auto"/>
        </w:rPr>
        <w:t>小组要求及时提交最后报价。最后报价应通过响应文件接收邮箱提交。未在规定时间内（一般</w:t>
      </w:r>
      <w:r>
        <w:rPr>
          <w:rFonts w:hint="eastAsia"/>
          <w:color w:val="auto"/>
        </w:rPr>
        <w:t>30</w:t>
      </w:r>
      <w:r>
        <w:rPr>
          <w:color w:val="auto"/>
        </w:rPr>
        <w:t>分钟内）提交的，视同</w:t>
      </w:r>
      <w:r>
        <w:rPr>
          <w:rFonts w:hint="eastAsia"/>
          <w:color w:val="auto"/>
        </w:rPr>
        <w:t>退出磋商；</w:t>
      </w:r>
      <w:r>
        <w:rPr>
          <w:color w:val="auto"/>
        </w:rPr>
        <w:t xml:space="preserve"> </w:t>
      </w:r>
    </w:p>
    <w:p w14:paraId="555B6DBD">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4</w:t>
      </w:r>
      <w:r>
        <w:rPr>
          <w:rFonts w:hint="eastAsia"/>
          <w:color w:val="auto"/>
        </w:rPr>
        <w:t>）磋商结束。</w:t>
      </w:r>
    </w:p>
    <w:p w14:paraId="3F38A88B">
      <w:pPr>
        <w:numPr>
          <w:ilvl w:val="0"/>
          <w:numId w:val="0"/>
        </w:numPr>
        <w:wordWrap w:val="0"/>
        <w:adjustRightInd w:val="0"/>
        <w:snapToGrid w:val="0"/>
        <w:spacing w:line="360" w:lineRule="auto"/>
        <w:ind w:leftChars="0"/>
        <w:rPr>
          <w:bCs/>
          <w:color w:val="auto"/>
        </w:rPr>
      </w:pPr>
      <w:r>
        <w:rPr>
          <w:rFonts w:hint="eastAsia"/>
          <w:color w:val="auto"/>
          <w:lang w:val="en-US" w:eastAsia="zh-CN"/>
        </w:rPr>
        <w:t xml:space="preserve">30.3 </w:t>
      </w:r>
      <w:r>
        <w:rPr>
          <w:rFonts w:hint="eastAsia"/>
          <w:color w:val="auto"/>
          <w:lang w:val="zh-CN"/>
        </w:rPr>
        <w:t>截</w:t>
      </w:r>
      <w:r>
        <w:rPr>
          <w:rFonts w:hint="eastAsia"/>
          <w:bCs/>
          <w:color w:val="auto"/>
        </w:rPr>
        <w:t>止响应文件提交时间，供应商不足3家的，不进行磋商。</w:t>
      </w:r>
    </w:p>
    <w:p w14:paraId="1613254A">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30.4 </w:t>
      </w:r>
      <w:r>
        <w:rPr>
          <w:rFonts w:hint="eastAsia"/>
          <w:bCs/>
          <w:color w:val="auto"/>
        </w:rPr>
        <w:t>磋商、</w:t>
      </w:r>
      <w:r>
        <w:rPr>
          <w:rFonts w:hint="eastAsia"/>
          <w:color w:val="auto"/>
        </w:rPr>
        <w:t>评审均以电子邮件提交的响应文件为准。</w:t>
      </w:r>
      <w:r>
        <w:rPr>
          <w:color w:val="auto"/>
          <w:lang w:val="zh-CN"/>
        </w:rPr>
        <w:t xml:space="preserve"> </w:t>
      </w:r>
    </w:p>
    <w:p w14:paraId="37108ACA">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评审方法、程序及标准</w:t>
      </w:r>
    </w:p>
    <w:p w14:paraId="34120ECA">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14:paraId="42868B02">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39" w:name="_Toc511889422"/>
      <w:bookmarkStart w:id="240" w:name="_Toc102056220"/>
      <w:bookmarkStart w:id="241" w:name="_Toc122527530"/>
      <w:bookmarkStart w:id="242" w:name="_Toc102057720"/>
      <w:bookmarkStart w:id="243" w:name="_Toc102114922"/>
      <w:bookmarkStart w:id="244" w:name="_Toc102119855"/>
      <w:bookmarkStart w:id="245" w:name="_Toc511894500"/>
      <w:bookmarkStart w:id="246" w:name="_Toc117244469"/>
      <w:bookmarkStart w:id="247" w:name="_Toc102116154"/>
      <w:bookmarkStart w:id="248" w:name="_Toc117244354"/>
      <w:bookmarkStart w:id="249" w:name="_Toc102116024"/>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488EA014">
      <w:pPr>
        <w:pStyle w:val="45"/>
        <w:numPr>
          <w:ilvl w:val="0"/>
          <w:numId w:val="9"/>
        </w:numPr>
        <w:spacing w:line="360" w:lineRule="auto"/>
        <w:ind w:left="284" w:hanging="284" w:firstLineChars="0"/>
        <w:rPr>
          <w:b/>
          <w:color w:val="auto"/>
          <w:szCs w:val="24"/>
          <w:lang w:val="zh-CN"/>
        </w:rPr>
      </w:pPr>
      <w:bookmarkStart w:id="250" w:name="_Toc102114923"/>
      <w:bookmarkStart w:id="251" w:name="_Toc102116155"/>
      <w:bookmarkStart w:id="252" w:name="_Toc102116025"/>
      <w:bookmarkStart w:id="253" w:name="_Toc102056221"/>
      <w:bookmarkStart w:id="254" w:name="_Toc102057721"/>
      <w:bookmarkStart w:id="255" w:name="_Toc102119856"/>
      <w:r>
        <w:rPr>
          <w:rFonts w:hint="eastAsia"/>
          <w:b/>
          <w:color w:val="auto"/>
          <w:szCs w:val="24"/>
          <w:lang w:val="zh-CN"/>
        </w:rPr>
        <w:t>确定成交供应商</w:t>
      </w:r>
      <w:bookmarkEnd w:id="250"/>
      <w:bookmarkEnd w:id="251"/>
      <w:bookmarkEnd w:id="252"/>
      <w:bookmarkEnd w:id="253"/>
      <w:bookmarkEnd w:id="254"/>
      <w:bookmarkEnd w:id="255"/>
    </w:p>
    <w:p w14:paraId="68EDFD08">
      <w:pPr>
        <w:pStyle w:val="11"/>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磋商小组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14:paraId="1EC25FD2">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成交公告</w:t>
      </w:r>
    </w:p>
    <w:p w14:paraId="6F809CEA">
      <w:pPr>
        <w:numPr>
          <w:ilvl w:val="0"/>
          <w:numId w:val="33"/>
        </w:numPr>
        <w:tabs>
          <w:tab w:val="left" w:pos="616"/>
        </w:tabs>
        <w:wordWrap w:val="0"/>
        <w:adjustRightInd w:val="0"/>
        <w:snapToGrid w:val="0"/>
        <w:spacing w:line="360" w:lineRule="auto"/>
        <w:rPr>
          <w:color w:val="auto"/>
          <w:lang w:val="zh-CN"/>
        </w:rPr>
      </w:pPr>
      <w:r>
        <w:rPr>
          <w:rFonts w:hint="eastAsia"/>
          <w:color w:val="auto"/>
          <w:lang w:val="zh-CN"/>
        </w:rPr>
        <w:t>集中采购机构自成交供应商确定之日起2个工作日内，在规定媒体上发布成交公告，成交公告的公示期为1个工作日，同时向成交供应商和采购人发出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14:paraId="53E4CAAB">
      <w:pPr>
        <w:pStyle w:val="45"/>
        <w:numPr>
          <w:ilvl w:val="0"/>
          <w:numId w:val="9"/>
        </w:numPr>
        <w:spacing w:line="360" w:lineRule="auto"/>
        <w:ind w:left="284" w:hanging="284" w:firstLineChars="0"/>
        <w:rPr>
          <w:b/>
          <w:color w:val="auto"/>
          <w:szCs w:val="24"/>
          <w:lang w:val="zh-CN"/>
        </w:rPr>
      </w:pPr>
      <w:bookmarkStart w:id="256" w:name="_Toc102116157"/>
      <w:bookmarkStart w:id="257" w:name="_Toc102057723"/>
      <w:bookmarkStart w:id="258" w:name="_Toc102116027"/>
      <w:bookmarkStart w:id="259" w:name="_Toc102056223"/>
      <w:bookmarkStart w:id="260" w:name="_Toc102119858"/>
      <w:bookmarkStart w:id="261" w:name="_Toc102114925"/>
      <w:r>
        <w:rPr>
          <w:rFonts w:hint="eastAsia"/>
          <w:b/>
          <w:color w:val="auto"/>
          <w:szCs w:val="24"/>
          <w:lang w:val="zh-CN"/>
        </w:rPr>
        <w:t>合同签订</w:t>
      </w:r>
      <w:bookmarkEnd w:id="256"/>
      <w:bookmarkEnd w:id="257"/>
      <w:bookmarkEnd w:id="258"/>
      <w:bookmarkEnd w:id="259"/>
      <w:bookmarkEnd w:id="260"/>
      <w:bookmarkEnd w:id="261"/>
    </w:p>
    <w:p w14:paraId="7C31083E">
      <w:pPr>
        <w:numPr>
          <w:ilvl w:val="0"/>
          <w:numId w:val="34"/>
        </w:numPr>
        <w:tabs>
          <w:tab w:val="left" w:pos="616"/>
        </w:tabs>
        <w:wordWrap w:val="0"/>
        <w:adjustRightInd w:val="0"/>
        <w:snapToGrid w:val="0"/>
        <w:spacing w:line="360" w:lineRule="auto"/>
        <w:ind w:left="616" w:hanging="616"/>
        <w:rPr>
          <w:color w:val="auto"/>
          <w:lang w:val="zh-CN"/>
        </w:rPr>
      </w:pPr>
      <w:r>
        <w:rPr>
          <w:color w:val="auto"/>
          <w:lang w:val="zh-CN"/>
        </w:rPr>
        <w:t>采购人应当自成交通知书发出之日起</w:t>
      </w:r>
      <w:r>
        <w:rPr>
          <w:rFonts w:hint="eastAsia"/>
          <w:color w:val="auto"/>
        </w:rPr>
        <w:t>10</w:t>
      </w:r>
      <w:r>
        <w:rPr>
          <w:color w:val="auto"/>
          <w:lang w:val="zh-CN"/>
        </w:rPr>
        <w:t>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竞争性磋商文件确定的事项和成交</w:t>
      </w:r>
      <w:r>
        <w:rPr>
          <w:rFonts w:hint="eastAsia"/>
          <w:color w:val="auto"/>
          <w:lang w:val="zh-CN"/>
        </w:rPr>
        <w:t>供应商响应文件签订政府采购合同，合同要素应当与竞争性磋商文件、成交通知书和响应文件等相关内容一致</w:t>
      </w:r>
      <w:r>
        <w:rPr>
          <w:color w:val="auto"/>
          <w:lang w:val="zh-CN"/>
        </w:rPr>
        <w:t>。</w:t>
      </w:r>
    </w:p>
    <w:p w14:paraId="3E400CE7">
      <w:pPr>
        <w:numPr>
          <w:ilvl w:val="0"/>
          <w:numId w:val="34"/>
        </w:numPr>
        <w:tabs>
          <w:tab w:val="left" w:pos="616"/>
        </w:tabs>
        <w:wordWrap w:val="0"/>
        <w:adjustRightInd w:val="0"/>
        <w:snapToGrid w:val="0"/>
        <w:spacing w:line="360" w:lineRule="auto"/>
        <w:ind w:left="616" w:hanging="616"/>
        <w:rPr>
          <w:color w:val="auto"/>
          <w:lang w:val="zh-CN"/>
        </w:rPr>
      </w:pPr>
      <w:r>
        <w:rPr>
          <w:rFonts w:hint="eastAsia"/>
          <w:color w:val="auto"/>
          <w:lang w:val="zh-CN"/>
        </w:rPr>
        <w:t>政府采购合同签订之日起2个工作日内，应当将政府采购合同在规定的媒体上公告，但政府采购合同中涉及国家秘密、商业秘密的内容除外。</w:t>
      </w:r>
    </w:p>
    <w:p w14:paraId="0C9ABAD5">
      <w:pPr>
        <w:pStyle w:val="45"/>
        <w:numPr>
          <w:ilvl w:val="0"/>
          <w:numId w:val="9"/>
        </w:numPr>
        <w:spacing w:line="360" w:lineRule="auto"/>
        <w:ind w:left="284" w:hanging="284" w:firstLineChars="0"/>
        <w:rPr>
          <w:b/>
          <w:color w:val="auto"/>
          <w:szCs w:val="24"/>
          <w:lang w:val="zh-CN"/>
        </w:rPr>
      </w:pPr>
      <w:r>
        <w:rPr>
          <w:rFonts w:hint="eastAsia"/>
          <w:b/>
          <w:color w:val="auto"/>
          <w:szCs w:val="24"/>
          <w:lang w:val="zh-CN"/>
        </w:rPr>
        <w:t>合同变更</w:t>
      </w:r>
    </w:p>
    <w:p w14:paraId="09A88E6B">
      <w:pPr>
        <w:numPr>
          <w:ilvl w:val="0"/>
          <w:numId w:val="35"/>
        </w:numPr>
        <w:tabs>
          <w:tab w:val="left" w:pos="616"/>
        </w:tabs>
        <w:wordWrap w:val="0"/>
        <w:adjustRightInd w:val="0"/>
        <w:snapToGrid w:val="0"/>
        <w:spacing w:line="360" w:lineRule="auto"/>
        <w:rPr>
          <w:rFonts w:cs="Helvetica"/>
          <w:color w:val="auto"/>
          <w:szCs w:val="24"/>
          <w:lang w:val="zh-CN"/>
        </w:rPr>
      </w:pPr>
      <w:r>
        <w:rPr>
          <w:rFonts w:hint="eastAsia"/>
          <w:color w:val="auto"/>
          <w:szCs w:val="24"/>
          <w:lang w:val="zh-CN"/>
        </w:rPr>
        <w:t>政府采购合同的双方当事人不得擅自变更、中止或终止合同。</w:t>
      </w:r>
    </w:p>
    <w:p w14:paraId="5639A2E3">
      <w:pPr>
        <w:numPr>
          <w:ilvl w:val="0"/>
          <w:numId w:val="35"/>
        </w:numPr>
        <w:tabs>
          <w:tab w:val="left" w:pos="616"/>
        </w:tabs>
        <w:wordWrap w:val="0"/>
        <w:adjustRightInd w:val="0"/>
        <w:snapToGrid w:val="0"/>
        <w:spacing w:line="360" w:lineRule="auto"/>
        <w:ind w:left="616" w:hanging="616"/>
        <w:rPr>
          <w:rFonts w:cs="Helvetica"/>
          <w:color w:val="auto"/>
          <w:szCs w:val="24"/>
          <w:lang w:val="zh-CN"/>
        </w:rPr>
      </w:pP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14:paraId="61BA979E">
      <w:pPr>
        <w:numPr>
          <w:ilvl w:val="0"/>
          <w:numId w:val="35"/>
        </w:numPr>
        <w:tabs>
          <w:tab w:val="left" w:pos="616"/>
        </w:tabs>
        <w:wordWrap w:val="0"/>
        <w:adjustRightInd w:val="0"/>
        <w:snapToGrid w:val="0"/>
        <w:spacing w:line="360" w:lineRule="auto"/>
        <w:ind w:left="616" w:hanging="616"/>
        <w:rPr>
          <w:color w:val="auto"/>
          <w:szCs w:val="24"/>
          <w:lang w:val="zh-CN"/>
        </w:rPr>
      </w:pP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14:paraId="43FD6033">
      <w:pPr>
        <w:pStyle w:val="45"/>
        <w:numPr>
          <w:ilvl w:val="0"/>
          <w:numId w:val="9"/>
        </w:numPr>
        <w:spacing w:line="360" w:lineRule="auto"/>
        <w:ind w:left="284" w:hanging="284" w:firstLineChars="0"/>
        <w:rPr>
          <w:b/>
          <w:color w:val="auto"/>
          <w:szCs w:val="24"/>
          <w:lang w:val="zh-CN"/>
        </w:rPr>
      </w:pPr>
      <w:bookmarkStart w:id="262" w:name="_Toc102114888"/>
      <w:bookmarkStart w:id="263" w:name="_Toc102115990"/>
      <w:bookmarkStart w:id="264" w:name="_Toc102116120"/>
      <w:bookmarkStart w:id="265" w:name="_Toc102119821"/>
      <w:r>
        <w:rPr>
          <w:rFonts w:hint="eastAsia"/>
          <w:b/>
          <w:color w:val="auto"/>
          <w:szCs w:val="24"/>
          <w:lang w:val="zh-CN"/>
        </w:rPr>
        <w:t>合同融资</w:t>
      </w:r>
    </w:p>
    <w:p w14:paraId="3EFAA717">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w:t>
      </w:r>
      <w:r>
        <w:rPr>
          <w:rFonts w:hint="eastAsia"/>
          <w:color w:val="auto"/>
          <w:szCs w:val="24"/>
          <w:lang w:val="en-US" w:eastAsia="zh-CN"/>
        </w:rPr>
        <w:t>结果</w:t>
      </w:r>
      <w:r>
        <w:rPr>
          <w:rFonts w:hint="eastAsia"/>
          <w:color w:val="auto"/>
          <w:szCs w:val="24"/>
          <w:lang w:val="zh-CN"/>
        </w:rPr>
        <w:t>）通知书后，向开展“政采贷”业务的金融机构提出申请，金融机构依据政府采购成交（</w:t>
      </w:r>
      <w:r>
        <w:rPr>
          <w:rFonts w:hint="eastAsia"/>
          <w:color w:val="auto"/>
          <w:szCs w:val="24"/>
          <w:lang w:val="en-US" w:eastAsia="zh-CN"/>
        </w:rPr>
        <w:t>结果</w:t>
      </w:r>
      <w:r>
        <w:rPr>
          <w:rFonts w:hint="eastAsia"/>
          <w:color w:val="auto"/>
          <w:szCs w:val="24"/>
          <w:lang w:val="zh-CN"/>
        </w:rPr>
        <w:t>）通知书和政府采购合同，为其提供融资服务。</w:t>
      </w:r>
      <w:bookmarkEnd w:id="262"/>
      <w:bookmarkEnd w:id="263"/>
      <w:bookmarkEnd w:id="264"/>
      <w:bookmarkEnd w:id="265"/>
    </w:p>
    <w:p w14:paraId="11E4F449">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66" w:name="_Toc102116029"/>
      <w:bookmarkStart w:id="267" w:name="_Toc102116159"/>
      <w:bookmarkStart w:id="268" w:name="_Toc102114927"/>
      <w:bookmarkStart w:id="269" w:name="_Toc102119860"/>
      <w:bookmarkStart w:id="270" w:name="_Toc511889424"/>
      <w:bookmarkStart w:id="271" w:name="_Toc122527531"/>
      <w:bookmarkStart w:id="272" w:name="_Toc117244355"/>
      <w:bookmarkStart w:id="273" w:name="_Toc102056225"/>
      <w:bookmarkStart w:id="274" w:name="_Toc511894502"/>
      <w:bookmarkStart w:id="275" w:name="_Toc117244470"/>
      <w:bookmarkStart w:id="276" w:name="_Toc102057725"/>
      <w:r>
        <w:rPr>
          <w:rFonts w:hint="eastAsia" w:ascii="宋体" w:hAnsi="宋体" w:eastAsia="宋体" w:cs="Times New Roman"/>
          <w:bCs w:val="0"/>
          <w:color w:val="auto"/>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11D4A3A5">
      <w:pPr>
        <w:pStyle w:val="45"/>
        <w:numPr>
          <w:ilvl w:val="0"/>
          <w:numId w:val="9"/>
        </w:numPr>
        <w:spacing w:line="360" w:lineRule="auto"/>
        <w:ind w:left="284" w:hanging="284" w:firstLineChars="0"/>
        <w:rPr>
          <w:b/>
          <w:color w:val="auto"/>
          <w:szCs w:val="24"/>
          <w:lang w:val="zh-CN"/>
        </w:rPr>
      </w:pPr>
      <w:bookmarkStart w:id="277" w:name="_Toc102119861"/>
      <w:bookmarkStart w:id="278" w:name="_Toc102116160"/>
      <w:bookmarkStart w:id="279" w:name="_Toc102057726"/>
      <w:bookmarkStart w:id="280" w:name="_Toc102056226"/>
      <w:bookmarkStart w:id="281" w:name="_Toc102116030"/>
      <w:bookmarkStart w:id="282" w:name="_Toc102114928"/>
      <w:r>
        <w:rPr>
          <w:rFonts w:hint="eastAsia"/>
          <w:b/>
          <w:color w:val="auto"/>
          <w:szCs w:val="24"/>
          <w:lang w:val="zh-CN"/>
        </w:rPr>
        <w:t>询问</w:t>
      </w:r>
      <w:bookmarkEnd w:id="277"/>
      <w:bookmarkEnd w:id="278"/>
      <w:bookmarkEnd w:id="279"/>
      <w:bookmarkEnd w:id="280"/>
      <w:bookmarkEnd w:id="281"/>
      <w:bookmarkEnd w:id="282"/>
    </w:p>
    <w:p w14:paraId="662E56FF">
      <w:pPr>
        <w:pStyle w:val="45"/>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5C0FABE8">
      <w:pPr>
        <w:pStyle w:val="45"/>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询问联系方式：详见</w:t>
      </w:r>
      <w:r>
        <w:rPr>
          <w:rFonts w:hint="eastAsia"/>
          <w:b/>
          <w:color w:val="auto"/>
          <w:lang w:val="zh-CN"/>
        </w:rPr>
        <w:t>“磋商须知前附表”</w:t>
      </w:r>
      <w:r>
        <w:rPr>
          <w:rFonts w:hint="eastAsia"/>
          <w:color w:val="auto"/>
          <w:lang w:val="zh-CN"/>
        </w:rPr>
        <w:t>。</w:t>
      </w:r>
    </w:p>
    <w:p w14:paraId="196913FD">
      <w:pPr>
        <w:pStyle w:val="45"/>
        <w:numPr>
          <w:ilvl w:val="0"/>
          <w:numId w:val="9"/>
        </w:numPr>
        <w:spacing w:line="360" w:lineRule="auto"/>
        <w:ind w:left="284" w:hanging="284" w:firstLineChars="0"/>
        <w:rPr>
          <w:b/>
          <w:color w:val="auto"/>
          <w:szCs w:val="24"/>
          <w:lang w:val="zh-CN"/>
        </w:rPr>
      </w:pPr>
      <w:bookmarkStart w:id="283" w:name="_Toc102114929"/>
      <w:bookmarkStart w:id="284" w:name="_Toc102116161"/>
      <w:bookmarkStart w:id="285" w:name="_Toc102057727"/>
      <w:bookmarkStart w:id="286" w:name="_Toc102116031"/>
      <w:bookmarkStart w:id="287" w:name="_Toc102119862"/>
      <w:bookmarkStart w:id="288" w:name="_Toc102056227"/>
      <w:r>
        <w:rPr>
          <w:rFonts w:hint="eastAsia"/>
          <w:b/>
          <w:color w:val="auto"/>
          <w:szCs w:val="24"/>
          <w:lang w:val="zh-CN"/>
        </w:rPr>
        <w:t>质疑</w:t>
      </w:r>
      <w:bookmarkEnd w:id="283"/>
      <w:bookmarkEnd w:id="284"/>
      <w:bookmarkEnd w:id="285"/>
      <w:bookmarkEnd w:id="286"/>
      <w:bookmarkEnd w:id="287"/>
      <w:bookmarkEnd w:id="288"/>
    </w:p>
    <w:p w14:paraId="4F9FDD4A">
      <w:pPr>
        <w:pStyle w:val="45"/>
        <w:wordWrap w:val="0"/>
        <w:adjustRightInd w:val="0"/>
        <w:snapToGrid w:val="0"/>
        <w:spacing w:line="360" w:lineRule="auto"/>
        <w:ind w:left="240" w:firstLine="240" w:firstLineChars="100"/>
        <w:rPr>
          <w:rFonts w:ascii="仿宋" w:hAnsi="仿宋" w:eastAsia="仿宋"/>
          <w:b/>
          <w:color w:val="auto"/>
          <w:szCs w:val="24"/>
        </w:rPr>
      </w:pPr>
      <w:r>
        <w:rPr>
          <w:rFonts w:hint="eastAsia"/>
          <w:color w:val="auto"/>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color w:val="auto"/>
          <w:szCs w:val="24"/>
        </w:rPr>
        <w:t>质疑</w:t>
      </w:r>
      <w:r>
        <w:rPr>
          <w:rFonts w:hint="eastAsia" w:ascii="仿宋" w:hAnsi="仿宋" w:eastAsia="仿宋"/>
          <w:b/>
          <w:color w:val="auto"/>
          <w:szCs w:val="24"/>
        </w:rPr>
        <w:t>函的</w:t>
      </w:r>
      <w:r>
        <w:rPr>
          <w:rFonts w:ascii="仿宋" w:hAnsi="仿宋" w:eastAsia="仿宋"/>
          <w:b/>
          <w:color w:val="auto"/>
          <w:szCs w:val="24"/>
        </w:rPr>
        <w:t>主要内容：</w:t>
      </w:r>
    </w:p>
    <w:p w14:paraId="5AEB4981">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（1）质疑人的名称、地址、联系人及联系电话等；</w:t>
      </w:r>
    </w:p>
    <w:p w14:paraId="6CEB57C3">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（2）被质疑人的名称、地址、联系人及联系电话等； </w:t>
      </w:r>
    </w:p>
    <w:p w14:paraId="5812C4D0">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（3）质疑项目名称及编号、质疑事项和明确的请求； </w:t>
      </w:r>
    </w:p>
    <w:p w14:paraId="6C35BC88">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（4）质疑事项的事实根据、法律依据及其他必要的证明材料； </w:t>
      </w:r>
    </w:p>
    <w:p w14:paraId="33995C48">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（5）提出质疑的日期； </w:t>
      </w:r>
    </w:p>
    <w:p w14:paraId="3B3039E6">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（6）质疑人的署名及签章（质疑人为自然人的，应当由本人签字；质疑人为法人或者其</w:t>
      </w:r>
    </w:p>
    <w:p w14:paraId="1C2E872B">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他组织的，应当由法定代表人或者主要负责人签字盖章并加盖公章）；</w:t>
      </w:r>
    </w:p>
    <w:p w14:paraId="7FBF5154">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（7）法人授权委托书（质疑人或法人委托代理人办理质疑事务的，应当提供授权委托书，</w:t>
      </w:r>
    </w:p>
    <w:p w14:paraId="3651171B">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 授权委托书应当载明委托代理的具体权限和事项）。</w:t>
      </w:r>
    </w:p>
    <w:p w14:paraId="59E22607">
      <w:pPr>
        <w:pStyle w:val="45"/>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w:t>
      </w:r>
      <w:r>
        <w:rPr>
          <w:rFonts w:hint="eastAsia"/>
          <w:color w:val="auto"/>
          <w:szCs w:val="24"/>
        </w:rPr>
        <w:t xml:space="preserve">联系方式：详见 </w:t>
      </w:r>
      <w:r>
        <w:rPr>
          <w:rFonts w:hint="eastAsia"/>
          <w:b/>
          <w:color w:val="auto"/>
          <w:szCs w:val="24"/>
        </w:rPr>
        <w:t>“磋商须知前附表”</w:t>
      </w:r>
      <w:r>
        <w:rPr>
          <w:rFonts w:hint="eastAsia"/>
          <w:color w:val="auto"/>
          <w:szCs w:val="24"/>
        </w:rPr>
        <w:t>。</w:t>
      </w:r>
    </w:p>
    <w:p w14:paraId="2768BB4E">
      <w:pPr>
        <w:pStyle w:val="45"/>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14:paraId="50BEE630">
      <w:pPr>
        <w:pStyle w:val="45"/>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供应商未按规定的时限、内容及方式进行质疑的，集中采购机构有权不予受理。</w:t>
      </w:r>
    </w:p>
    <w:p w14:paraId="3FF4C189">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89" w:name="_Toc117244471"/>
      <w:bookmarkStart w:id="290" w:name="_Toc122527532"/>
      <w:bookmarkStart w:id="291" w:name="_Toc117244356"/>
      <w:r>
        <w:rPr>
          <w:rFonts w:hint="eastAsia" w:ascii="宋体" w:hAnsi="宋体" w:eastAsia="宋体" w:cs="Times New Roman"/>
          <w:bCs w:val="0"/>
          <w:color w:val="auto"/>
          <w:sz w:val="28"/>
          <w:szCs w:val="28"/>
          <w:lang w:val="zh-CN"/>
        </w:rPr>
        <w:t>政府采购政策</w:t>
      </w:r>
      <w:bookmarkEnd w:id="289"/>
      <w:bookmarkEnd w:id="290"/>
      <w:bookmarkEnd w:id="291"/>
    </w:p>
    <w:p w14:paraId="7EF53727">
      <w:pPr>
        <w:pStyle w:val="45"/>
        <w:numPr>
          <w:ilvl w:val="0"/>
          <w:numId w:val="9"/>
        </w:numPr>
        <w:spacing w:line="360" w:lineRule="auto"/>
        <w:ind w:left="284" w:hanging="284" w:firstLineChars="0"/>
        <w:rPr>
          <w:b/>
          <w:color w:val="auto"/>
          <w:szCs w:val="24"/>
          <w:lang w:val="zh-CN"/>
        </w:rPr>
      </w:pPr>
      <w:bookmarkStart w:id="292" w:name="_Toc102116114"/>
      <w:bookmarkStart w:id="293" w:name="_Toc102057681"/>
      <w:bookmarkStart w:id="294" w:name="_Toc102115984"/>
      <w:bookmarkStart w:id="295" w:name="_Toc102056181"/>
      <w:bookmarkStart w:id="296" w:name="_Toc102119815"/>
      <w:bookmarkStart w:id="297" w:name="_Toc102114882"/>
      <w:r>
        <w:rPr>
          <w:rFonts w:hint="eastAsia"/>
          <w:b/>
          <w:color w:val="auto"/>
          <w:szCs w:val="24"/>
          <w:lang w:val="zh-CN"/>
        </w:rPr>
        <w:t>政府采购政策</w:t>
      </w:r>
      <w:bookmarkEnd w:id="292"/>
      <w:bookmarkEnd w:id="293"/>
      <w:bookmarkEnd w:id="294"/>
      <w:bookmarkEnd w:id="295"/>
      <w:bookmarkEnd w:id="296"/>
      <w:bookmarkEnd w:id="297"/>
    </w:p>
    <w:p w14:paraId="36C895AB">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w:t>
      </w:r>
    </w:p>
    <w:p w14:paraId="470F36D5">
      <w:pPr>
        <w:pStyle w:val="45"/>
        <w:keepNext w:val="0"/>
        <w:keepLines w:val="0"/>
        <w:pageBreakBefore w:val="0"/>
        <w:widowControl w:val="0"/>
        <w:numPr>
          <w:ilvl w:val="0"/>
          <w:numId w:val="9"/>
        </w:numPr>
        <w:kinsoku/>
        <w:overflowPunct/>
        <w:topLinePunct w:val="0"/>
        <w:autoSpaceDE/>
        <w:autoSpaceDN/>
        <w:bidi w:val="0"/>
        <w:spacing w:line="360" w:lineRule="auto"/>
        <w:ind w:left="284" w:hanging="284" w:firstLineChars="0"/>
        <w:textAlignment w:val="auto"/>
        <w:rPr>
          <w:color w:val="auto"/>
          <w:lang w:val="zh-CN"/>
        </w:rPr>
      </w:pPr>
      <w:r>
        <w:rPr>
          <w:rFonts w:hint="eastAsia"/>
          <w:b/>
          <w:color w:val="auto"/>
          <w:szCs w:val="24"/>
          <w:lang w:val="zh-CN"/>
        </w:rPr>
        <w:t>政府采购</w:t>
      </w:r>
      <w:r>
        <w:rPr>
          <w:b/>
          <w:color w:val="auto"/>
          <w:szCs w:val="24"/>
          <w:lang w:val="zh-CN"/>
        </w:rPr>
        <w:t>政策</w:t>
      </w:r>
      <w:r>
        <w:rPr>
          <w:rFonts w:hint="eastAsia"/>
          <w:b/>
          <w:color w:val="auto"/>
          <w:szCs w:val="24"/>
          <w:lang w:val="zh-CN"/>
        </w:rPr>
        <w:t>落实措施</w:t>
      </w:r>
    </w:p>
    <w:p w14:paraId="40FBC754">
      <w:pPr>
        <w:pStyle w:val="45"/>
        <w:keepNext w:val="0"/>
        <w:keepLines w:val="0"/>
        <w:pageBreakBefore w:val="0"/>
        <w:widowControl w:val="0"/>
        <w:numPr>
          <w:ilvl w:val="0"/>
          <w:numId w:val="38"/>
        </w:numPr>
        <w:kinsoku/>
        <w:wordWrap w:val="0"/>
        <w:overflowPunct/>
        <w:topLinePunct w:val="0"/>
        <w:autoSpaceDE/>
        <w:autoSpaceDN/>
        <w:bidi w:val="0"/>
        <w:adjustRightInd w:val="0"/>
        <w:snapToGrid w:val="0"/>
        <w:spacing w:line="360" w:lineRule="auto"/>
        <w:ind w:left="567" w:hanging="567" w:firstLineChars="0"/>
        <w:textAlignment w:val="auto"/>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1C2E5701">
      <w:pPr>
        <w:pStyle w:val="45"/>
        <w:numPr>
          <w:ilvl w:val="0"/>
          <w:numId w:val="38"/>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624F90E8">
      <w:pPr>
        <w:pStyle w:val="45"/>
        <w:numPr>
          <w:ilvl w:val="0"/>
          <w:numId w:val="38"/>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w:t>
      </w:r>
      <w:r>
        <w:rPr>
          <w:rFonts w:hint="eastAsia"/>
          <w:color w:val="auto"/>
          <w:szCs w:val="24"/>
          <w:lang w:val="en-US" w:eastAsia="zh-CN"/>
        </w:rPr>
        <w:t>四</w:t>
      </w:r>
      <w:r>
        <w:rPr>
          <w:rFonts w:hint="eastAsia"/>
          <w:color w:val="auto"/>
          <w:szCs w:val="24"/>
          <w:lang w:val="zh-CN"/>
        </w:rPr>
        <w:t>章中的“价格扣除”。</w:t>
      </w:r>
    </w:p>
    <w:p w14:paraId="1830BC65">
      <w:pPr>
        <w:pStyle w:val="2"/>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98" w:name="_Toc122527533"/>
      <w:bookmarkStart w:id="299" w:name="_Toc117244357"/>
      <w:bookmarkStart w:id="300" w:name="_Toc117244472"/>
      <w:r>
        <w:rPr>
          <w:rFonts w:hint="eastAsia" w:ascii="宋体" w:hAnsi="宋体" w:eastAsia="宋体" w:cs="Times New Roman"/>
          <w:bCs w:val="0"/>
          <w:color w:val="auto"/>
          <w:sz w:val="28"/>
          <w:szCs w:val="28"/>
          <w:lang w:val="zh-CN"/>
        </w:rPr>
        <w:t>其  它</w:t>
      </w:r>
      <w:bookmarkEnd w:id="298"/>
      <w:bookmarkEnd w:id="299"/>
      <w:bookmarkEnd w:id="300"/>
    </w:p>
    <w:p w14:paraId="34295F9E">
      <w:pPr>
        <w:pStyle w:val="45"/>
        <w:numPr>
          <w:ilvl w:val="0"/>
          <w:numId w:val="9"/>
        </w:numPr>
        <w:spacing w:line="440" w:lineRule="exact"/>
        <w:ind w:left="284" w:hanging="284" w:firstLineChars="0"/>
        <w:rPr>
          <w:b/>
          <w:color w:val="auto"/>
          <w:szCs w:val="24"/>
          <w:lang w:val="zh-CN"/>
        </w:rPr>
      </w:pPr>
      <w:bookmarkStart w:id="301" w:name="_Toc102057682"/>
      <w:bookmarkStart w:id="302" w:name="_Toc102114883"/>
      <w:bookmarkStart w:id="303" w:name="_Toc102115985"/>
      <w:bookmarkStart w:id="304" w:name="_Toc102119816"/>
      <w:bookmarkStart w:id="305" w:name="_Toc102116115"/>
      <w:bookmarkStart w:id="306" w:name="_Toc102056182"/>
      <w:r>
        <w:rPr>
          <w:rFonts w:hint="eastAsia"/>
          <w:b/>
          <w:color w:val="auto"/>
          <w:szCs w:val="24"/>
          <w:lang w:val="zh-CN"/>
        </w:rPr>
        <w:t>重大违法记录</w:t>
      </w:r>
      <w:bookmarkEnd w:id="301"/>
      <w:bookmarkEnd w:id="302"/>
      <w:bookmarkEnd w:id="303"/>
      <w:bookmarkEnd w:id="304"/>
      <w:bookmarkEnd w:id="305"/>
      <w:bookmarkEnd w:id="306"/>
    </w:p>
    <w:p w14:paraId="5B96615E">
      <w:pPr>
        <w:pStyle w:val="45"/>
        <w:numPr>
          <w:ilvl w:val="0"/>
          <w:numId w:val="39"/>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14:paraId="6308DCA8">
      <w:pPr>
        <w:pStyle w:val="45"/>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2F0ED39C">
      <w:pPr>
        <w:pStyle w:val="45"/>
        <w:numPr>
          <w:ilvl w:val="0"/>
          <w:numId w:val="39"/>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14:paraId="43208E2D">
      <w:pPr>
        <w:pStyle w:val="45"/>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14:paraId="742B203C">
      <w:pPr>
        <w:pStyle w:val="45"/>
        <w:numPr>
          <w:ilvl w:val="0"/>
          <w:numId w:val="9"/>
        </w:numPr>
        <w:spacing w:line="440" w:lineRule="exact"/>
        <w:ind w:left="284" w:hanging="284" w:firstLineChars="0"/>
        <w:rPr>
          <w:b/>
          <w:color w:val="auto"/>
          <w:szCs w:val="24"/>
          <w:lang w:val="zh-CN"/>
        </w:rPr>
      </w:pPr>
      <w:r>
        <w:rPr>
          <w:rFonts w:hint="eastAsia"/>
          <w:b/>
          <w:color w:val="auto"/>
          <w:szCs w:val="24"/>
          <w:lang w:val="zh-CN"/>
        </w:rPr>
        <w:t>适用法律</w:t>
      </w:r>
    </w:p>
    <w:p w14:paraId="3FBBF8E3">
      <w:pPr>
        <w:pStyle w:val="45"/>
        <w:numPr>
          <w:ilvl w:val="0"/>
          <w:numId w:val="40"/>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本项目竞争性</w:t>
      </w:r>
      <w:r>
        <w:rPr>
          <w:rFonts w:hint="eastAsia" w:cs="Helvetica"/>
          <w:color w:val="auto"/>
          <w:szCs w:val="24"/>
          <w:lang w:val="zh-CN"/>
        </w:rPr>
        <w:t>磋商</w:t>
      </w:r>
      <w:r>
        <w:rPr>
          <w:rFonts w:hint="eastAsia"/>
          <w:color w:val="auto"/>
          <w:szCs w:val="24"/>
          <w:lang w:val="zh-CN"/>
        </w:rPr>
        <w:t>活动适用《中华人民共和国政府采购法》、《中华人民共和国政府采购法实施条例》、《政府采购非招标采购方式管理办法》及相关法律法规。</w:t>
      </w:r>
    </w:p>
    <w:p w14:paraId="119B8996">
      <w:pPr>
        <w:pStyle w:val="45"/>
        <w:numPr>
          <w:ilvl w:val="0"/>
          <w:numId w:val="40"/>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14:paraId="34700FFB">
      <w:pPr>
        <w:pStyle w:val="45"/>
        <w:numPr>
          <w:ilvl w:val="0"/>
          <w:numId w:val="9"/>
        </w:numPr>
        <w:spacing w:line="440" w:lineRule="exact"/>
        <w:ind w:left="284" w:hanging="284" w:firstLineChars="0"/>
        <w:rPr>
          <w:b/>
          <w:color w:val="auto"/>
          <w:szCs w:val="24"/>
          <w:lang w:val="zh-CN"/>
        </w:rPr>
      </w:pPr>
      <w:r>
        <w:rPr>
          <w:rFonts w:hint="eastAsia"/>
          <w:b/>
          <w:color w:val="auto"/>
          <w:szCs w:val="24"/>
          <w:lang w:val="zh-CN"/>
        </w:rPr>
        <w:t>解释权</w:t>
      </w:r>
    </w:p>
    <w:p w14:paraId="0443191F">
      <w:pPr>
        <w:pStyle w:val="11"/>
        <w:spacing w:line="360" w:lineRule="auto"/>
        <w:ind w:firstLine="480" w:firstLineChars="200"/>
        <w:rPr>
          <w:color w:val="auto"/>
          <w:lang w:val="zh-CN"/>
        </w:rPr>
        <w:sectPr>
          <w:pgSz w:w="11906" w:h="16838"/>
          <w:pgMar w:top="1134" w:right="1191" w:bottom="1134" w:left="1191" w:header="851" w:footer="992" w:gutter="0"/>
          <w:cols w:space="425" w:num="1"/>
          <w:docGrid w:type="lines" w:linePitch="312" w:charSpace="0"/>
        </w:sectPr>
      </w:pPr>
      <w:r>
        <w:rPr>
          <w:rFonts w:hint="eastAsia"/>
          <w:color w:val="auto"/>
          <w:lang w:val="zh-CN"/>
        </w:rPr>
        <w:t>竞争性磋商文件解释权归集中采购机构和采购人所有。</w:t>
      </w:r>
    </w:p>
    <w:p w14:paraId="22108B1C">
      <w:pPr>
        <w:pStyle w:val="3"/>
        <w:numPr>
          <w:ilvl w:val="0"/>
          <w:numId w:val="1"/>
        </w:numPr>
        <w:tabs>
          <w:tab w:val="left" w:pos="1276"/>
        </w:tabs>
        <w:wordWrap w:val="0"/>
        <w:spacing w:before="120" w:after="120" w:line="360" w:lineRule="auto"/>
        <w:ind w:left="723" w:hanging="723" w:hangingChars="200"/>
        <w:jc w:val="center"/>
        <w:rPr>
          <w:rFonts w:hint="eastAsia" w:ascii="宋体" w:hAnsi="宋体" w:eastAsia="宋体"/>
          <w:color w:val="auto"/>
          <w:sz w:val="36"/>
          <w:szCs w:val="36"/>
        </w:rPr>
      </w:pPr>
      <w:bookmarkStart w:id="307" w:name="_Toc102116174"/>
      <w:bookmarkStart w:id="308" w:name="_Toc102056240"/>
      <w:bookmarkStart w:id="309" w:name="_Toc102057740"/>
      <w:bookmarkStart w:id="310" w:name="_Toc102119875"/>
      <w:bookmarkStart w:id="311" w:name="_Toc511894516"/>
      <w:bookmarkStart w:id="312" w:name="_Toc102114942"/>
      <w:bookmarkStart w:id="313" w:name="_Toc102116044"/>
      <w:bookmarkStart w:id="314" w:name="_Toc117244362"/>
      <w:bookmarkStart w:id="315" w:name="_Toc117244477"/>
      <w:r>
        <w:rPr>
          <w:rFonts w:hint="eastAsia" w:ascii="宋体" w:hAnsi="宋体" w:eastAsia="宋体"/>
          <w:color w:val="auto"/>
          <w:sz w:val="36"/>
          <w:szCs w:val="36"/>
        </w:rPr>
        <w:t>服务技术标准及要求</w:t>
      </w:r>
    </w:p>
    <w:p w14:paraId="5D5B2EE2">
      <w:pPr>
        <w:rPr>
          <w:color w:val="auto"/>
          <w:lang w:val="zh-CN"/>
        </w:rPr>
      </w:pPr>
    </w:p>
    <w:p w14:paraId="4F354FE0">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rPr>
      </w:pPr>
      <w:bookmarkStart w:id="316" w:name="_Toc103617832"/>
      <w:r>
        <w:rPr>
          <w:rFonts w:hint="eastAsia" w:cs="宋体"/>
          <w:bCs/>
          <w:color w:val="auto"/>
          <w:szCs w:val="24"/>
        </w:rPr>
        <w:t>本文中标“★”的要求和条款为实质性要求，应满足或优于</w:t>
      </w:r>
      <w:r>
        <w:rPr>
          <w:rFonts w:hint="eastAsia" w:cs="宋体"/>
          <w:b/>
          <w:color w:val="auto"/>
          <w:szCs w:val="24"/>
        </w:rPr>
        <w:t>，如有不满足的则作无效投标处理。</w:t>
      </w:r>
    </w:p>
    <w:p w14:paraId="5CC3C6A5">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rPr>
      </w:pPr>
      <w:r>
        <w:rPr>
          <w:rStyle w:val="67"/>
          <w:rFonts w:hint="eastAsia" w:asciiTheme="minorEastAsia" w:hAnsiTheme="minorEastAsia" w:eastAsiaTheme="minorEastAsia" w:cstheme="minorEastAsia"/>
          <w:b/>
          <w:bCs/>
          <w:color w:val="auto"/>
          <w:sz w:val="24"/>
          <w:szCs w:val="24"/>
        </w:rPr>
        <w:t>一、项目概况</w:t>
      </w:r>
      <w:bookmarkEnd w:id="316"/>
    </w:p>
    <w:p w14:paraId="5CFD2C89">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1、项目名称：随县</w:t>
      </w:r>
      <w:r>
        <w:rPr>
          <w:rStyle w:val="67"/>
          <w:rFonts w:hint="eastAsia" w:asciiTheme="minorEastAsia" w:hAnsiTheme="minorEastAsia" w:eastAsiaTheme="minorEastAsia" w:cstheme="minorEastAsia"/>
          <w:color w:val="auto"/>
          <w:sz w:val="24"/>
          <w:szCs w:val="24"/>
          <w:lang w:eastAsia="zh-CN"/>
        </w:rPr>
        <w:t>人民医院</w:t>
      </w:r>
      <w:r>
        <w:rPr>
          <w:rStyle w:val="67"/>
          <w:rFonts w:hint="eastAsia" w:asciiTheme="minorEastAsia" w:hAnsiTheme="minorEastAsia" w:eastAsiaTheme="minorEastAsia" w:cstheme="minorEastAsia"/>
          <w:color w:val="auto"/>
          <w:sz w:val="24"/>
          <w:szCs w:val="24"/>
          <w:lang w:val="en-US" w:eastAsia="zh-CN"/>
        </w:rPr>
        <w:t>安全保卫、秩序维护、保洁服务、其他服务；会议与活动服务保障、抢险救援、废旧物品的转运工作等。</w:t>
      </w:r>
    </w:p>
    <w:p w14:paraId="2B9E5AFE">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2、服务期：</w:t>
      </w:r>
      <w:r>
        <w:rPr>
          <w:rFonts w:hint="eastAsia" w:asciiTheme="minorEastAsia" w:hAnsiTheme="minorEastAsia" w:eastAsiaTheme="minorEastAsia" w:cstheme="minorEastAsia"/>
          <w:color w:val="auto"/>
          <w:sz w:val="24"/>
          <w:szCs w:val="24"/>
        </w:rPr>
        <w:t>采用1+2模式，即自签订合同之日起计算，根据服务质量按月考核，服务期满1年后，采购人可视情况与成交单位签订下一年度的服务合同，续签年限最多不超过2年</w:t>
      </w:r>
    </w:p>
    <w:p w14:paraId="49C0D86D">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3、最高限价：</w:t>
      </w:r>
      <w:r>
        <w:rPr>
          <w:rStyle w:val="67"/>
          <w:rFonts w:hint="eastAsia" w:asciiTheme="minorEastAsia" w:hAnsiTheme="minorEastAsia" w:eastAsiaTheme="minorEastAsia" w:cstheme="minorEastAsia"/>
          <w:color w:val="auto"/>
          <w:sz w:val="24"/>
          <w:szCs w:val="24"/>
          <w:u w:val="single"/>
          <w:lang w:val="en-US" w:eastAsia="zh-CN"/>
        </w:rPr>
        <w:t xml:space="preserve"> 178.7088 </w:t>
      </w:r>
      <w:r>
        <w:rPr>
          <w:rFonts w:hint="eastAsia" w:asciiTheme="minorEastAsia" w:hAnsiTheme="minorEastAsia" w:eastAsiaTheme="minorEastAsia" w:cstheme="minorEastAsia"/>
          <w:color w:val="auto"/>
          <w:sz w:val="24"/>
          <w:szCs w:val="24"/>
        </w:rPr>
        <w:t>万元（三年，每年</w:t>
      </w:r>
      <w:r>
        <w:rPr>
          <w:rFonts w:hint="eastAsia" w:asciiTheme="minorEastAsia" w:hAnsiTheme="minorEastAsia" w:eastAsiaTheme="minorEastAsia" w:cstheme="minorEastAsia"/>
          <w:color w:val="auto"/>
          <w:sz w:val="24"/>
          <w:szCs w:val="24"/>
          <w:u w:val="single"/>
          <w:lang w:val="en-US" w:eastAsia="zh-CN"/>
        </w:rPr>
        <w:t xml:space="preserve"> 59.5696 </w:t>
      </w:r>
      <w:r>
        <w:rPr>
          <w:rFonts w:hint="eastAsia" w:asciiTheme="minorEastAsia" w:hAnsiTheme="minorEastAsia" w:eastAsiaTheme="minorEastAsia" w:cstheme="minorEastAsia"/>
          <w:color w:val="auto"/>
          <w:sz w:val="24"/>
          <w:szCs w:val="24"/>
        </w:rPr>
        <w:t>万元）</w:t>
      </w:r>
    </w:p>
    <w:p w14:paraId="087E417F">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4、质量目标及验收要求：合格并满足采购人要求</w:t>
      </w:r>
    </w:p>
    <w:p w14:paraId="1B75B30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5、采购项目类别：服务类</w:t>
      </w:r>
    </w:p>
    <w:p w14:paraId="32553BC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二、 随县人民医院保洁、保安范围</w:t>
      </w:r>
    </w:p>
    <w:p w14:paraId="17CA0BB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1.保洁服务范围 </w:t>
      </w:r>
    </w:p>
    <w:p w14:paraId="57CE5755">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（1）公共区域的保洁服务；</w:t>
      </w:r>
      <w:r>
        <w:rPr>
          <w:rStyle w:val="67"/>
          <w:rFonts w:hint="eastAsia" w:asciiTheme="minorEastAsia" w:hAnsiTheme="minorEastAsia" w:eastAsiaTheme="minorEastAsia" w:cstheme="minorEastAsia"/>
          <w:color w:val="auto"/>
          <w:sz w:val="24"/>
          <w:szCs w:val="24"/>
          <w:highlight w:val="none"/>
        </w:rPr>
        <w:t>东面以</w:t>
      </w:r>
      <w:r>
        <w:rPr>
          <w:rStyle w:val="67"/>
          <w:rFonts w:hint="eastAsia" w:asciiTheme="minorEastAsia" w:hAnsiTheme="minorEastAsia" w:eastAsiaTheme="minorEastAsia" w:cstheme="minorEastAsia"/>
          <w:color w:val="auto"/>
          <w:sz w:val="24"/>
          <w:szCs w:val="24"/>
          <w:highlight w:val="none"/>
          <w:lang w:eastAsia="zh-CN"/>
        </w:rPr>
        <w:t>东</w:t>
      </w:r>
      <w:r>
        <w:rPr>
          <w:rStyle w:val="67"/>
          <w:rFonts w:hint="eastAsia" w:asciiTheme="minorEastAsia" w:hAnsiTheme="minorEastAsia" w:eastAsiaTheme="minorEastAsia" w:cstheme="minorEastAsia"/>
          <w:color w:val="auto"/>
          <w:sz w:val="24"/>
          <w:szCs w:val="24"/>
          <w:highlight w:val="none"/>
        </w:rPr>
        <w:t>停车场（含）为界，南面以</w:t>
      </w:r>
      <w:r>
        <w:rPr>
          <w:rStyle w:val="67"/>
          <w:rFonts w:hint="eastAsia" w:asciiTheme="minorEastAsia" w:hAnsiTheme="minorEastAsia" w:eastAsiaTheme="minorEastAsia" w:cstheme="minorEastAsia"/>
          <w:color w:val="auto"/>
          <w:sz w:val="24"/>
          <w:szCs w:val="24"/>
          <w:highlight w:val="none"/>
          <w:lang w:eastAsia="zh-CN"/>
        </w:rPr>
        <w:t>医院围墙</w:t>
      </w:r>
      <w:r>
        <w:rPr>
          <w:rStyle w:val="67"/>
          <w:rFonts w:hint="eastAsia" w:asciiTheme="minorEastAsia" w:hAnsiTheme="minorEastAsia" w:eastAsiaTheme="minorEastAsia" w:cstheme="minorEastAsia"/>
          <w:color w:val="auto"/>
          <w:sz w:val="24"/>
          <w:szCs w:val="24"/>
          <w:highlight w:val="none"/>
        </w:rPr>
        <w:t>为界，西</w:t>
      </w:r>
      <w:r>
        <w:rPr>
          <w:rStyle w:val="67"/>
          <w:rFonts w:hint="eastAsia" w:asciiTheme="minorEastAsia" w:hAnsiTheme="minorEastAsia" w:eastAsiaTheme="minorEastAsia" w:cstheme="minorEastAsia"/>
          <w:color w:val="auto"/>
          <w:sz w:val="24"/>
          <w:szCs w:val="24"/>
          <w:highlight w:val="none"/>
          <w:lang w:eastAsia="zh-CN"/>
        </w:rPr>
        <w:t>面与星旗村围墙</w:t>
      </w:r>
      <w:r>
        <w:rPr>
          <w:rStyle w:val="67"/>
          <w:rFonts w:hint="eastAsia" w:asciiTheme="minorEastAsia" w:hAnsiTheme="minorEastAsia" w:eastAsiaTheme="minorEastAsia" w:cstheme="minorEastAsia"/>
          <w:color w:val="auto"/>
          <w:sz w:val="24"/>
          <w:szCs w:val="24"/>
          <w:highlight w:val="none"/>
        </w:rPr>
        <w:t>为界</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rPr>
        <w:t>北面以</w:t>
      </w:r>
      <w:r>
        <w:rPr>
          <w:rStyle w:val="67"/>
          <w:rFonts w:hint="eastAsia" w:asciiTheme="minorEastAsia" w:hAnsiTheme="minorEastAsia" w:eastAsiaTheme="minorEastAsia" w:cstheme="minorEastAsia"/>
          <w:color w:val="auto"/>
          <w:sz w:val="24"/>
          <w:szCs w:val="24"/>
          <w:highlight w:val="none"/>
          <w:lang w:eastAsia="zh-CN"/>
        </w:rPr>
        <w:t>幸福大道</w:t>
      </w:r>
      <w:r>
        <w:rPr>
          <w:rStyle w:val="67"/>
          <w:rFonts w:hint="eastAsia" w:asciiTheme="minorEastAsia" w:hAnsiTheme="minorEastAsia" w:eastAsiaTheme="minorEastAsia" w:cstheme="minorEastAsia"/>
          <w:color w:val="auto"/>
          <w:sz w:val="24"/>
          <w:szCs w:val="24"/>
          <w:highlight w:val="none"/>
        </w:rPr>
        <w:t>为界。</w:t>
      </w: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2855529D">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(2)院区内的地面、楼道、扶手、房顶、内墙、电梯厅、门窗、灯具、标识牌、病房、床、柜、面盆、便池、马桶、水池等</w:t>
      </w:r>
    </w:p>
    <w:p w14:paraId="6042DEC1">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（3）病房、办公区域保洁的服务；</w:t>
      </w:r>
      <w:r>
        <w:rPr>
          <w:rStyle w:val="67"/>
          <w:rFonts w:hint="eastAsia" w:asciiTheme="minorEastAsia" w:hAnsiTheme="minorEastAsia" w:eastAsiaTheme="minorEastAsia" w:cstheme="minorEastAsia"/>
          <w:color w:val="auto"/>
          <w:sz w:val="24"/>
          <w:szCs w:val="24"/>
          <w:highlight w:val="none"/>
          <w:lang w:eastAsia="zh-CN"/>
        </w:rPr>
        <w:t>门诊楼、医技楼、住院部、感染楼、敬业楼的</w:t>
      </w:r>
      <w:r>
        <w:rPr>
          <w:rStyle w:val="67"/>
          <w:rFonts w:hint="eastAsia" w:asciiTheme="minorEastAsia" w:hAnsiTheme="minorEastAsia" w:eastAsiaTheme="minorEastAsia" w:cstheme="minorEastAsia"/>
          <w:color w:val="auto"/>
          <w:sz w:val="24"/>
          <w:szCs w:val="24"/>
          <w:highlight w:val="none"/>
        </w:rPr>
        <w:t>公共走道、</w:t>
      </w:r>
      <w:r>
        <w:rPr>
          <w:rStyle w:val="67"/>
          <w:rFonts w:hint="eastAsia" w:asciiTheme="minorEastAsia" w:hAnsiTheme="minorEastAsia" w:eastAsiaTheme="minorEastAsia" w:cstheme="minorEastAsia"/>
          <w:color w:val="auto"/>
          <w:sz w:val="24"/>
          <w:szCs w:val="24"/>
          <w:highlight w:val="none"/>
          <w:lang w:eastAsia="zh-CN"/>
        </w:rPr>
        <w:t>病房、</w:t>
      </w:r>
      <w:r>
        <w:rPr>
          <w:rStyle w:val="67"/>
          <w:rFonts w:hint="eastAsia" w:asciiTheme="minorEastAsia" w:hAnsiTheme="minorEastAsia" w:eastAsiaTheme="minorEastAsia" w:cstheme="minorEastAsia"/>
          <w:color w:val="auto"/>
          <w:sz w:val="24"/>
          <w:szCs w:val="24"/>
          <w:highlight w:val="none"/>
        </w:rPr>
        <w:t>卫生间、楼梯、电梯、墙面、天花板、灯具、雨</w:t>
      </w:r>
      <w:r>
        <w:rPr>
          <w:rStyle w:val="67"/>
          <w:rFonts w:hint="eastAsia" w:asciiTheme="minorEastAsia" w:hAnsiTheme="minorEastAsia" w:eastAsiaTheme="minorEastAsia" w:cstheme="minorEastAsia"/>
          <w:color w:val="auto"/>
          <w:sz w:val="24"/>
          <w:szCs w:val="24"/>
          <w:highlight w:val="none"/>
          <w:lang w:eastAsia="zh-CN"/>
        </w:rPr>
        <w:t>眉</w:t>
      </w:r>
      <w:r>
        <w:rPr>
          <w:rStyle w:val="67"/>
          <w:rFonts w:hint="eastAsia" w:asciiTheme="minorEastAsia" w:hAnsiTheme="minorEastAsia" w:eastAsiaTheme="minorEastAsia" w:cstheme="minorEastAsia"/>
          <w:color w:val="auto"/>
          <w:sz w:val="24"/>
          <w:szCs w:val="24"/>
          <w:highlight w:val="none"/>
        </w:rPr>
        <w:t>、公共窗户窗台、玻璃、楼梯扶手</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rPr>
        <w:t>金属护栏</w:t>
      </w:r>
      <w:r>
        <w:rPr>
          <w:rStyle w:val="67"/>
          <w:rFonts w:hint="eastAsia" w:asciiTheme="minorEastAsia" w:hAnsiTheme="minorEastAsia" w:eastAsiaTheme="minorEastAsia" w:cstheme="minorEastAsia"/>
          <w:color w:val="auto"/>
          <w:sz w:val="24"/>
          <w:szCs w:val="24"/>
          <w:highlight w:val="none"/>
          <w:lang w:eastAsia="zh-CN"/>
        </w:rPr>
        <w:t>及</w:t>
      </w:r>
      <w:r>
        <w:rPr>
          <w:rStyle w:val="67"/>
          <w:rFonts w:hint="eastAsia" w:asciiTheme="minorEastAsia" w:hAnsiTheme="minorEastAsia" w:eastAsiaTheme="minorEastAsia" w:cstheme="minorEastAsia"/>
          <w:color w:val="auto"/>
          <w:sz w:val="24"/>
          <w:szCs w:val="24"/>
          <w:highlight w:val="none"/>
        </w:rPr>
        <w:t>所有道路场地、停车场</w:t>
      </w:r>
      <w:r>
        <w:rPr>
          <w:rStyle w:val="67"/>
          <w:rFonts w:hint="eastAsia" w:asciiTheme="minorEastAsia" w:hAnsiTheme="minorEastAsia" w:eastAsiaTheme="minorEastAsia" w:cstheme="minorEastAsia"/>
          <w:color w:val="auto"/>
          <w:sz w:val="24"/>
          <w:szCs w:val="24"/>
          <w:highlight w:val="none"/>
          <w:lang w:eastAsia="zh-CN"/>
        </w:rPr>
        <w:t>、绿化带、</w:t>
      </w:r>
      <w:r>
        <w:rPr>
          <w:rStyle w:val="67"/>
          <w:rFonts w:hint="eastAsia" w:asciiTheme="minorEastAsia" w:hAnsiTheme="minorEastAsia" w:eastAsiaTheme="minorEastAsia" w:cstheme="minorEastAsia"/>
          <w:color w:val="auto"/>
          <w:sz w:val="24"/>
          <w:szCs w:val="24"/>
          <w:highlight w:val="none"/>
        </w:rPr>
        <w:t>广场</w:t>
      </w:r>
      <w:r>
        <w:rPr>
          <w:rStyle w:val="67"/>
          <w:rFonts w:hint="eastAsia" w:asciiTheme="minorEastAsia" w:hAnsiTheme="minorEastAsia" w:eastAsiaTheme="minorEastAsia" w:cstheme="minorEastAsia"/>
          <w:color w:val="auto"/>
          <w:sz w:val="24"/>
          <w:szCs w:val="24"/>
          <w:highlight w:val="none"/>
          <w:lang w:eastAsia="zh-CN"/>
        </w:rPr>
        <w:t>的保洁</w:t>
      </w:r>
      <w:r>
        <w:rPr>
          <w:rStyle w:val="67"/>
          <w:rFonts w:hint="eastAsia" w:asciiTheme="minorEastAsia" w:hAnsiTheme="minorEastAsia" w:eastAsiaTheme="minorEastAsia" w:cstheme="minorEastAsia"/>
          <w:color w:val="auto"/>
          <w:sz w:val="24"/>
          <w:szCs w:val="24"/>
          <w:highlight w:val="none"/>
          <w:lang w:val="en-US" w:eastAsia="zh-CN"/>
        </w:rPr>
        <w:t>及</w:t>
      </w:r>
      <w:r>
        <w:rPr>
          <w:rStyle w:val="67"/>
          <w:rFonts w:hint="eastAsia" w:asciiTheme="minorEastAsia" w:hAnsiTheme="minorEastAsia" w:eastAsiaTheme="minorEastAsia" w:cstheme="minorEastAsia"/>
          <w:color w:val="auto"/>
          <w:sz w:val="24"/>
          <w:szCs w:val="24"/>
          <w:highlight w:val="none"/>
          <w:lang w:eastAsia="zh-CN"/>
        </w:rPr>
        <w:t>院方</w:t>
      </w:r>
      <w:r>
        <w:rPr>
          <w:rStyle w:val="67"/>
          <w:rFonts w:hint="eastAsia" w:asciiTheme="minorEastAsia" w:hAnsiTheme="minorEastAsia" w:eastAsiaTheme="minorEastAsia" w:cstheme="minorEastAsia"/>
          <w:color w:val="auto"/>
          <w:sz w:val="24"/>
          <w:szCs w:val="24"/>
          <w:highlight w:val="none"/>
        </w:rPr>
        <w:t>临时安排的清洁卫生等工作。</w:t>
      </w: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0FE119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（4）病区、门诊公共卫生间保洁服务； </w:t>
      </w:r>
    </w:p>
    <w:p w14:paraId="221F35D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（5）诊室的保洁服务； </w:t>
      </w:r>
    </w:p>
    <w:p w14:paraId="6DBFDEB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（6）外围道路的环境卫生保洁服务； </w:t>
      </w:r>
    </w:p>
    <w:p w14:paraId="68E04A7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（7）垃圾的分类处理。负责科室的生活垃圾袋和医疗垃圾袋的更换，以及垃圾分类隔 </w:t>
      </w:r>
    </w:p>
    <w:p w14:paraId="27FF453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离收集，避免二次污染，保持垃圾中转卫生、整洁，做到无污水、无臭味，并负责督促垃圾外运； </w:t>
      </w:r>
    </w:p>
    <w:p w14:paraId="2282BE3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（8）对影响环境卫生的意外情况（暴风暴雨暴雪等异常天气、突发火灾事故、楼层内 </w:t>
      </w:r>
    </w:p>
    <w:p w14:paraId="09671DB1">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发生水管爆裂、雨水污水井道管网、化粪池堵塞,污水外溢）制定应急处理措施,提供及时有效的服务。</w:t>
      </w:r>
    </w:p>
    <w:p w14:paraId="1874D97B">
      <w:pPr>
        <w:keepNext w:val="0"/>
        <w:keepLines w:val="0"/>
        <w:widowControl/>
        <w:numPr>
          <w:ilvl w:val="0"/>
          <w:numId w:val="41"/>
        </w:numPr>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lang w:val="en-US" w:eastAsia="zh-CN" w:bidi="ar"/>
        </w:rPr>
        <w:t>院区日常生活垃圾、废物及在诊疗、护理活动中产生的具有直接或间接感染性、毒性以及其他危害性的废物医疗垃圾的分类、收集和转运。具体包括：A、感染性废物；B、病理性废物；C、损伤性废物；D、药物性废物；E、可回收利用的废物。</w:t>
      </w: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3568542D">
      <w:pPr>
        <w:keepNext w:val="0"/>
        <w:keepLines w:val="0"/>
        <w:widowControl/>
        <w:numPr>
          <w:ilvl w:val="0"/>
          <w:numId w:val="41"/>
        </w:numPr>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院区内医疗废弃物回收、转运服务</w:t>
      </w:r>
    </w:p>
    <w:p w14:paraId="2702D38B">
      <w:pPr>
        <w:keepNext w:val="0"/>
        <w:keepLines w:val="0"/>
        <w:widowControl/>
        <w:numPr>
          <w:ilvl w:val="0"/>
          <w:numId w:val="41"/>
        </w:numPr>
        <w:suppressLineNumbers w:val="0"/>
        <w:spacing w:line="360" w:lineRule="auto"/>
        <w:ind w:left="0" w:leftChars="0"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中标方承担院区消毒物品转运工作，按照指定时间将消毒物品转运至指定地点，并做好转运物品的接收移交工作。（无需消杀资质） </w:t>
      </w:r>
    </w:p>
    <w:p w14:paraId="71D21D1A">
      <w:pPr>
        <w:keepNext w:val="0"/>
        <w:keepLines w:val="0"/>
        <w:widowControl/>
        <w:numPr>
          <w:ilvl w:val="0"/>
          <w:numId w:val="0"/>
        </w:numPr>
        <w:suppressLineNumbers w:val="0"/>
        <w:spacing w:line="360" w:lineRule="auto"/>
        <w:ind w:leftChars="200"/>
        <w:jc w:val="left"/>
        <w:rPr>
          <w:rFonts w:hint="eastAsia" w:asciiTheme="minorEastAsia" w:hAnsiTheme="minorEastAsia" w:eastAsiaTheme="minorEastAsia" w:cstheme="minorEastAsia"/>
          <w:color w:val="auto"/>
          <w:kern w:val="0"/>
          <w:sz w:val="24"/>
          <w:szCs w:val="24"/>
          <w:lang w:val="en-US" w:eastAsia="zh-CN" w:bidi="ar"/>
        </w:rPr>
      </w:pPr>
    </w:p>
    <w:p w14:paraId="6B0C2699">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2、保安服务范围</w:t>
      </w:r>
    </w:p>
    <w:p w14:paraId="037699A4">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安全保卫、监控中心值守服务范围包括：院区内的安全通道、门诊、病区、护士站、行政楼、停存放贵重设备等医院所有公共区域的安全巡视保卫工作；秩序维护；监控中心值守服务以及应急抢险救援工作等。</w:t>
      </w:r>
    </w:p>
    <w:p w14:paraId="0354BA0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（2）医院的门卫管理、 </w:t>
      </w:r>
    </w:p>
    <w:p w14:paraId="4ECE3C8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（3）医院 24 小时日常秩序维护管理（门禁安全、院内巡逻以及紧急情况下的安 </w:t>
      </w:r>
    </w:p>
    <w:p w14:paraId="365F67B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全保障工作）。 </w:t>
      </w:r>
    </w:p>
    <w:p w14:paraId="722FB51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（4）医院地面车辆的引导、停放管理。 </w:t>
      </w:r>
    </w:p>
    <w:p w14:paraId="43847E0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bidi="ar"/>
        </w:rPr>
        <w:t>（5）院内职工非机动车的停放管理。</w:t>
      </w:r>
    </w:p>
    <w:p w14:paraId="4C0998C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（6）配合医院实行无陪伴服务探视管理。 </w:t>
      </w:r>
    </w:p>
    <w:p w14:paraId="1E39FAD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（7）医院区域内的禁烟工作，达到无烟医院标准。 </w:t>
      </w:r>
    </w:p>
    <w:p w14:paraId="1FB8FEF5">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（8）消防设备设施巡检，消防培训演练等。 </w:t>
      </w:r>
    </w:p>
    <w:p w14:paraId="0224110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（9）医院监控中心值守服务。 </w:t>
      </w:r>
    </w:p>
    <w:p w14:paraId="3868EE4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（10）院内物品的搬运以及应急抢险救援工作等。 </w:t>
      </w:r>
    </w:p>
    <w:p w14:paraId="2C0EED88">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（11）院区17部电梯扶手电梯的日常巡视。 </w:t>
      </w:r>
    </w:p>
    <w:p w14:paraId="0EC0928D">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（12）</w:t>
      </w:r>
      <w:r>
        <w:rPr>
          <w:rStyle w:val="67"/>
          <w:rFonts w:hint="eastAsia" w:asciiTheme="minorEastAsia" w:hAnsiTheme="minorEastAsia" w:eastAsiaTheme="minorEastAsia" w:cstheme="minorEastAsia"/>
          <w:color w:val="auto"/>
          <w:sz w:val="24"/>
          <w:szCs w:val="24"/>
          <w:highlight w:val="none"/>
          <w:lang w:val="en-US" w:eastAsia="zh-CN"/>
        </w:rPr>
        <w:t>院区的车辆停放、安全巡逻、秩序维护、消防应急等保安工作。</w:t>
      </w:r>
    </w:p>
    <w:p w14:paraId="02425428">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yellow"/>
          <w:lang w:val="en-US" w:eastAsia="zh-CN" w:bidi="ar"/>
        </w:rPr>
      </w:pPr>
    </w:p>
    <w:p w14:paraId="398F0613">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三、随县人民医院保洁、保安要求</w:t>
      </w:r>
    </w:p>
    <w:p w14:paraId="5C0A7BC8">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（一）保洁要求</w:t>
      </w:r>
    </w:p>
    <w:p w14:paraId="177683B0">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1.保洁服务 </w:t>
      </w:r>
    </w:p>
    <w:p w14:paraId="7F420C9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（1）公共区域保洁要求 </w:t>
      </w:r>
    </w:p>
    <w:p w14:paraId="4CC3F0A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--地面：无废杂物、纸屑、无污迹、干净； </w:t>
      </w:r>
    </w:p>
    <w:p w14:paraId="1F14F49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--墙面：踢脚线、消防排烟口、警铃、安全指示灯、各种标识牌表面干净，无灰尘、 </w:t>
      </w:r>
    </w:p>
    <w:p w14:paraId="68A9D010">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水迹、污迹、斑点； </w:t>
      </w:r>
    </w:p>
    <w:p w14:paraId="590874D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--天花板：无污渍、无蜘蛛网、无灰尘； </w:t>
      </w:r>
    </w:p>
    <w:p w14:paraId="6C48420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--电梯间：墙面、地面、门框、电梯指示牌表面干净，无油迹、灰尘、斑点； </w:t>
      </w:r>
    </w:p>
    <w:p w14:paraId="19AE341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--垃圾桶：外表干净，无积垢、无异味； </w:t>
      </w:r>
    </w:p>
    <w:p w14:paraId="2659A578">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--门窗、玻璃（门窗、玻璃、窗帘、窗台）：明净、光洁，无积尘、污迹、斑点；</w:t>
      </w:r>
    </w:p>
    <w:p w14:paraId="357CE6D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--各种设施外表（如护士站前台、灯箱、消防栓箱、楼层分布牌灯）：表面干净，无 </w:t>
      </w:r>
    </w:p>
    <w:p w14:paraId="585965C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积尘、污迹、斑点。 </w:t>
      </w:r>
    </w:p>
    <w:p w14:paraId="06AF1F9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--楼梯扶手、栏杆光洁、无积尘，玻璃无污迹，无垃圾，无杂物； </w:t>
      </w:r>
    </w:p>
    <w:p w14:paraId="0A9B3A0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--楼梯走道、墙上各种设施（应急灯、水管、出入指示牌，凸物等）：无积尘、污迹、 </w:t>
      </w:r>
    </w:p>
    <w:p w14:paraId="62E4D91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脏杂物； </w:t>
      </w:r>
    </w:p>
    <w:p w14:paraId="2076B06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--电梯内卫生（墙、地面、门、天花板）：外表干净，无污迹、积尘，无脏污物。 </w:t>
      </w:r>
    </w:p>
    <w:p w14:paraId="1794ACC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（2）病房保洁要求 </w:t>
      </w:r>
    </w:p>
    <w:p w14:paraId="7A2DB4A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--地面：无废杂物、纸屑、无污迹、干净； </w:t>
      </w:r>
    </w:p>
    <w:p w14:paraId="4A542F84">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--墙面：踢脚线、消防排烟口、警铃、安全指示灯、各种标识牌表面干净，无灰尘、 </w:t>
      </w:r>
    </w:p>
    <w:p w14:paraId="1B1ECC2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水迹、污迹、斑点； </w:t>
      </w:r>
    </w:p>
    <w:p w14:paraId="6C2CA6E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--天花板：无污渍、无蜘蛛网、无灰尘； </w:t>
      </w:r>
    </w:p>
    <w:p w14:paraId="69E3C22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--垃圾桶：外表干净，无积垢、无异味； </w:t>
      </w:r>
    </w:p>
    <w:p w14:paraId="1DBAA01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--玻璃窗（玻璃、窗框、窗帘、窗台）：明净、光洁，无积尘、污迹、斑点； </w:t>
      </w:r>
    </w:p>
    <w:p w14:paraId="496A8BC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--各种设施外表表面干净，无积尘、污迹、斑点。 </w:t>
      </w:r>
    </w:p>
    <w:p w14:paraId="78BB15D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（3）卫生间保洁要求 </w:t>
      </w:r>
    </w:p>
    <w:p w14:paraId="7D798C45">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--大、小便池：内外光洁，无污垢、积尘，适当地方放卫生球，喷空气清新剂； </w:t>
      </w:r>
    </w:p>
    <w:p w14:paraId="1F19F8C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--洗手盆、镜台、镜面：内外光洁，无污垢、斑点、积水、积尘； </w:t>
      </w:r>
    </w:p>
    <w:p w14:paraId="06DE50E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--地面、墙面：光洁、无污迹，无杂物、脏物，无积水、积尘，无蜘蛛网； </w:t>
      </w:r>
    </w:p>
    <w:p w14:paraId="1E28851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--厕纸篓、垃圾篓：无沉积物、无臭味，外表干净。 </w:t>
      </w:r>
    </w:p>
    <w:p w14:paraId="268B318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（4）诊室保洁要求 </w:t>
      </w:r>
    </w:p>
    <w:p w14:paraId="4825B38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--保持室内的窗、窗台、窗框干净、整洁； </w:t>
      </w:r>
    </w:p>
    <w:p w14:paraId="4C39B0E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--保持室内墙面、天花板整洁、完好，无污渍、无浮尘、无蜘蛛网； </w:t>
      </w:r>
    </w:p>
    <w:p w14:paraId="4E9A4A2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--保持地面整洁、完好，无垃圾、无污渍； </w:t>
      </w:r>
    </w:p>
    <w:p w14:paraId="51931725">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--保持室内各种器具光洁、无灰尘，放置整齐； </w:t>
      </w:r>
    </w:p>
    <w:p w14:paraId="5304332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--保持室内各种灯具整洁、完好； </w:t>
      </w:r>
    </w:p>
    <w:p w14:paraId="5647D29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--保持室内空调出风口干净、整洁，无积尘、无霉斑； </w:t>
      </w:r>
    </w:p>
    <w:p w14:paraId="586537D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--室内各种艺术装饰挂件放端正、整洁； </w:t>
      </w:r>
    </w:p>
    <w:p w14:paraId="2343EBB5">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--定时开窗通风或喷洒空气清新剂，保持室内的空气清新。 </w:t>
      </w:r>
    </w:p>
    <w:p w14:paraId="0A12E1C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（5）外围道路的环境卫生保洁要求 </w:t>
      </w:r>
    </w:p>
    <w:p w14:paraId="00F8C40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--外围地面和道路：地面、路面整洁、干净，无垃圾、沙土、烟头、废纸、油迹，无 </w:t>
      </w:r>
    </w:p>
    <w:p w14:paraId="4394EC8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污物，无积水、青苔；</w:t>
      </w:r>
    </w:p>
    <w:p w14:paraId="3416CC1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--执行政府门前“三包”规定，做到门前无垃圾、废纸； </w:t>
      </w:r>
    </w:p>
    <w:p w14:paraId="65B1865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--露天停车场：保持地面无垃圾、废纸、无积水； </w:t>
      </w:r>
    </w:p>
    <w:p w14:paraId="3F348C4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--空调进出风消毒，保持明沟、暗沟、垃圾存放处、地下室、窖井及各类机房清洁卫生； </w:t>
      </w:r>
    </w:p>
    <w:p w14:paraId="463ECBF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--绿化带、花草盆：无垃圾、无杂物，花卉摆放美观。 </w:t>
      </w:r>
    </w:p>
    <w:p w14:paraId="1701A83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（6）垃圾的分类处理要求 </w:t>
      </w:r>
    </w:p>
    <w:p w14:paraId="23ED18B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--负责科室的生活垃圾袋和医疗垃圾袋的更换； </w:t>
      </w:r>
    </w:p>
    <w:p w14:paraId="7B1526E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--做好生活垃圾和医疗垃圾分类隔离收集； </w:t>
      </w:r>
    </w:p>
    <w:p w14:paraId="2A486A7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--负责医疗垃圾、生活垃圾暂存间的清洗、消毒，-避免二次污染，保持垃圾中转卫生、 </w:t>
      </w:r>
    </w:p>
    <w:p w14:paraId="6F784E5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整洁，做到无污水、无臭味； </w:t>
      </w:r>
    </w:p>
    <w:p w14:paraId="2DC0386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--负责生活垃圾的转运和督促医疗垃圾的外运。</w:t>
      </w:r>
    </w:p>
    <w:p w14:paraId="43268E11">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（7）重大节日及大型活动，负责及时组织全面卫生物业保洁</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rPr>
        <w:t>做好其他与环境清洁有关的事项</w:t>
      </w:r>
      <w:r>
        <w:rPr>
          <w:rStyle w:val="67"/>
          <w:rFonts w:hint="eastAsia" w:asciiTheme="minorEastAsia" w:hAnsiTheme="minorEastAsia" w:eastAsiaTheme="minorEastAsia" w:cstheme="minorEastAsia"/>
          <w:color w:val="auto"/>
          <w:sz w:val="24"/>
          <w:szCs w:val="24"/>
          <w:highlight w:val="none"/>
          <w:lang w:eastAsia="zh-CN"/>
        </w:rPr>
        <w:t>。</w:t>
      </w:r>
    </w:p>
    <w:p w14:paraId="5BE76790">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（8）</w:t>
      </w:r>
      <w:r>
        <w:rPr>
          <w:rStyle w:val="67"/>
          <w:rFonts w:hint="eastAsia" w:asciiTheme="minorEastAsia" w:hAnsiTheme="minorEastAsia" w:eastAsiaTheme="minorEastAsia" w:cstheme="minorEastAsia"/>
          <w:color w:val="auto"/>
          <w:sz w:val="24"/>
          <w:szCs w:val="24"/>
          <w:highlight w:val="none"/>
          <w:lang w:eastAsia="zh-CN"/>
        </w:rPr>
        <w:t>定期</w:t>
      </w:r>
      <w:r>
        <w:rPr>
          <w:rStyle w:val="67"/>
          <w:rFonts w:hint="eastAsia" w:asciiTheme="minorEastAsia" w:hAnsiTheme="minorEastAsia" w:eastAsiaTheme="minorEastAsia" w:cstheme="minorEastAsia"/>
          <w:color w:val="auto"/>
          <w:sz w:val="24"/>
          <w:szCs w:val="24"/>
          <w:highlight w:val="none"/>
        </w:rPr>
        <w:t>对公共</w:t>
      </w:r>
      <w:r>
        <w:rPr>
          <w:rStyle w:val="67"/>
          <w:rFonts w:hint="eastAsia" w:asciiTheme="minorEastAsia" w:hAnsiTheme="minorEastAsia" w:eastAsiaTheme="minorEastAsia" w:cstheme="minorEastAsia"/>
          <w:color w:val="auto"/>
          <w:sz w:val="24"/>
          <w:szCs w:val="24"/>
          <w:highlight w:val="none"/>
          <w:lang w:eastAsia="zh-CN"/>
        </w:rPr>
        <w:t>区域</w:t>
      </w:r>
      <w:r>
        <w:rPr>
          <w:rStyle w:val="67"/>
          <w:rFonts w:hint="eastAsia" w:asciiTheme="minorEastAsia" w:hAnsiTheme="minorEastAsia" w:eastAsiaTheme="minorEastAsia" w:cstheme="minorEastAsia"/>
          <w:color w:val="auto"/>
          <w:sz w:val="24"/>
          <w:szCs w:val="24"/>
          <w:highlight w:val="none"/>
        </w:rPr>
        <w:t>进行消毒</w:t>
      </w:r>
      <w:r>
        <w:rPr>
          <w:rStyle w:val="67"/>
          <w:rFonts w:hint="eastAsia" w:asciiTheme="minorEastAsia" w:hAnsiTheme="minorEastAsia" w:eastAsiaTheme="minorEastAsia" w:cstheme="minorEastAsia"/>
          <w:color w:val="auto"/>
          <w:sz w:val="24"/>
          <w:szCs w:val="24"/>
          <w:highlight w:val="none"/>
          <w:lang w:eastAsia="zh-CN"/>
        </w:rPr>
        <w:t>。</w:t>
      </w:r>
    </w:p>
    <w:p w14:paraId="43F1C091">
      <w:pPr>
        <w:tabs>
          <w:tab w:val="left" w:pos="180"/>
          <w:tab w:val="left" w:pos="1620"/>
        </w:tabs>
        <w:snapToGrid w:val="0"/>
        <w:spacing w:line="360" w:lineRule="auto"/>
        <w:ind w:firstLine="480" w:firstLineChars="200"/>
        <w:rPr>
          <w:rFonts w:hint="eastAsia" w:asciiTheme="minorEastAsia" w:hAnsiTheme="minorEastAsia" w:eastAsiaTheme="minorEastAsia" w:cstheme="minorEastAsia"/>
          <w:b/>
          <w:bCs/>
          <w:color w:val="auto"/>
          <w:kern w:val="0"/>
          <w:sz w:val="24"/>
          <w:szCs w:val="24"/>
          <w:highlight w:val="none"/>
          <w:lang w:val="en-US" w:eastAsia="zh-CN" w:bidi="ar"/>
        </w:rPr>
      </w:pPr>
      <w:r>
        <w:rPr>
          <w:rStyle w:val="67"/>
          <w:rFonts w:hint="eastAsia" w:asciiTheme="minorEastAsia" w:hAnsiTheme="minorEastAsia" w:eastAsiaTheme="minorEastAsia" w:cstheme="minorEastAsia"/>
          <w:color w:val="auto"/>
          <w:sz w:val="24"/>
          <w:szCs w:val="24"/>
          <w:highlight w:val="none"/>
        </w:rPr>
        <w:t>（9）甲方交办的其他工作。</w:t>
      </w:r>
    </w:p>
    <w:p w14:paraId="3CF9475C">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rPr>
      </w:pPr>
    </w:p>
    <w:p w14:paraId="3F295C9D">
      <w:pPr>
        <w:numPr>
          <w:ilvl w:val="0"/>
          <w:numId w:val="42"/>
        </w:numPr>
        <w:tabs>
          <w:tab w:val="left" w:pos="180"/>
          <w:tab w:val="left" w:pos="1620"/>
        </w:tabs>
        <w:snapToGrid w:val="0"/>
        <w:spacing w:line="360" w:lineRule="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工作标准 </w:t>
      </w:r>
    </w:p>
    <w:p w14:paraId="6370AEB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
        </w:rPr>
        <w:t>1．地面：经常巡视，先清扫再湿拖后干拖，经常保持清洁，及时清除垃圾、杂物。</w:t>
      </w:r>
      <w:r>
        <w:rPr>
          <w:rFonts w:hint="eastAsia" w:asciiTheme="minorEastAsia" w:hAnsiTheme="minorEastAsia" w:eastAsiaTheme="minorEastAsia" w:cstheme="minorEastAsia"/>
          <w:color w:val="auto"/>
          <w:kern w:val="0"/>
          <w:sz w:val="24"/>
          <w:szCs w:val="24"/>
          <w:highlight w:val="none"/>
          <w:lang w:val="en-US" w:eastAsia="zh-CN" w:bidi="ar"/>
        </w:rPr>
        <w:t>清洁垃圾桶、烟灰桶、烟盅及表面。</w:t>
      </w:r>
      <w:r>
        <w:rPr>
          <w:rFonts w:hint="eastAsia" w:asciiTheme="minorEastAsia" w:hAnsiTheme="minorEastAsia" w:eastAsiaTheme="minorEastAsia" w:cstheme="minorEastAsia"/>
          <w:color w:val="auto"/>
          <w:kern w:val="0"/>
          <w:sz w:val="24"/>
          <w:szCs w:val="24"/>
          <w:lang w:val="en-US" w:eastAsia="zh-CN" w:bidi="ar"/>
        </w:rPr>
        <w:t>办公室、病房每日拖地二次，走廊拖地 3 次(上午 2 次，下午 1 次)，走廊每周用洗衣粉刷洗一次，做到地面无积水、无垃圾、无污垢、无死角。大堂和通道地面用静电吸尘剂的尘推推抹。</w:t>
      </w:r>
    </w:p>
    <w:p w14:paraId="4888D09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2．室内玻璃、墙壁、门窗及其它固定配置物应每月一次擦拭，经常巡视并抹净大堂玻璃手印、污渍（2米以下）、保持无灰尘、无污迹。</w:t>
      </w:r>
    </w:p>
    <w:p w14:paraId="63F87F1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3．杂用间：物品放置整齐有序；地面干净、无污迹、无积水；门窗无污垢：污物桶及时倾倒，垃圾袋内废弃物不得超过 2/3，桶外清洁、无垃圾。 </w:t>
      </w:r>
    </w:p>
    <w:p w14:paraId="328F97B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4．开水间随时进行清理。保持地面干净、无积水、无污迹，门框无灰尘、无污迹；  </w:t>
      </w:r>
    </w:p>
    <w:p w14:paraId="6230682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
        </w:rPr>
        <w:t>5．公共区域卫生：电梯厅、走廊通、走火梯、楼梯、天台等地面随时进行清理；门窗、灯、开关、玻璃、消防箱及箱内、线井、管井房、走火梯、护栏、电梯门、按钮、大堂飘蓬、大堂顶部等要求无灰尘、无杂物、地面无垃圾。 大堂高位玻璃（2米以下）每月至少清洗一次。</w:t>
      </w:r>
    </w:p>
    <w:p w14:paraId="18C1035D">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（1）走廊标牌及各类指示牌、告示牌、花木及其固定配置物每日进行擦拭，保持清洁整齐， 无灰尘、无污迹、无杂物； </w:t>
      </w:r>
    </w:p>
    <w:p w14:paraId="5401386B">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（2）楼梯扶手及立柱、电梯内壁、按钮、门及门槽、指示牌每日用抹布擦拭，保持无积尘、无污垢； 电梯内壁不锈钢涂保护剂；</w:t>
      </w:r>
    </w:p>
    <w:p w14:paraId="3DB35802">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（3）每日清垃圾 2 次(上午 1 次，下午 1 次) ，经常保持垃圾桶及垃圾桶周围的清洁卫生， 即：垃圾通道无堆积垃圾、杂物。保持垃圾通道通畅， 各种物品放置整齐有序。 </w:t>
      </w:r>
    </w:p>
    <w:p w14:paraId="129F85E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6．病房：设备带、病床每日抹尘一次。床头柜每日消毒一次（一桌一巾）。 </w:t>
      </w:r>
    </w:p>
    <w:p w14:paraId="174E1B1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7．卫生间每日彻底打扫一次，随时保持清洁。洁具做到无尿碱、无污迹、无异味、无 </w:t>
      </w:r>
    </w:p>
    <w:p w14:paraId="58457B53">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积水；镜面无水痕；门窗无污垢。每日用消毒液拖洗洗手盆、云台表面、地面，每周彻底消毒一次。 </w:t>
      </w:r>
    </w:p>
    <w:p w14:paraId="399FC414">
      <w:pPr>
        <w:keepNext w:val="0"/>
        <w:keepLines w:val="0"/>
        <w:widowControl/>
        <w:numPr>
          <w:ilvl w:val="0"/>
          <w:numId w:val="43"/>
        </w:numPr>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墙身抹尘，天花板、通风口无灰尘、无污垢，灯具、饰物无积尘。每月清洁一次。 </w:t>
      </w:r>
    </w:p>
    <w:p w14:paraId="07DD63EE">
      <w:pPr>
        <w:keepNext w:val="0"/>
        <w:keepLines w:val="0"/>
        <w:widowControl/>
        <w:numPr>
          <w:ilvl w:val="0"/>
          <w:numId w:val="43"/>
        </w:numPr>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会议室及其他及配置功能房：会议或开庭前全面清洁，会议或开庭后的清洁，墙身、地脚线清洁。</w:t>
      </w:r>
    </w:p>
    <w:p w14:paraId="6140633A">
      <w:pPr>
        <w:keepNext w:val="0"/>
        <w:keepLines w:val="0"/>
        <w:widowControl/>
        <w:numPr>
          <w:ilvl w:val="0"/>
          <w:numId w:val="43"/>
        </w:numPr>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医疗垃圾和生活垃圾：医疗垃圾袋和生活垃圾袋，每日二次更换和医疗垃圾、生活垃圾每日二次的收集清运。</w:t>
      </w:r>
    </w:p>
    <w:p w14:paraId="773EDF98">
      <w:pPr>
        <w:tabs>
          <w:tab w:val="left" w:pos="180"/>
          <w:tab w:val="left" w:pos="1620"/>
        </w:tabs>
        <w:snapToGrid w:val="0"/>
        <w:spacing w:line="360" w:lineRule="auto"/>
        <w:rPr>
          <w:rStyle w:val="67"/>
          <w:rFonts w:hint="eastAsia" w:asciiTheme="minorEastAsia" w:hAnsiTheme="minorEastAsia" w:eastAsiaTheme="minorEastAsia" w:cstheme="minorEastAsia"/>
          <w:color w:val="auto"/>
          <w:sz w:val="24"/>
          <w:szCs w:val="24"/>
          <w:highlight w:val="yellow"/>
        </w:rPr>
      </w:pPr>
    </w:p>
    <w:p w14:paraId="69852ACE">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highlight w:val="none"/>
        </w:rPr>
      </w:pPr>
      <w:r>
        <w:rPr>
          <w:rStyle w:val="67"/>
          <w:rFonts w:hint="eastAsia" w:asciiTheme="minorEastAsia" w:hAnsiTheme="minorEastAsia" w:eastAsiaTheme="minorEastAsia" w:cstheme="minorEastAsia"/>
          <w:b/>
          <w:bCs/>
          <w:color w:val="auto"/>
          <w:sz w:val="24"/>
          <w:szCs w:val="24"/>
          <w:highlight w:val="none"/>
          <w:lang w:val="en-US" w:eastAsia="zh-CN"/>
        </w:rPr>
        <w:t>3、</w:t>
      </w:r>
      <w:r>
        <w:rPr>
          <w:rStyle w:val="67"/>
          <w:rFonts w:hint="eastAsia" w:asciiTheme="minorEastAsia" w:hAnsiTheme="minorEastAsia" w:eastAsiaTheme="minorEastAsia" w:cstheme="minorEastAsia"/>
          <w:b/>
          <w:bCs/>
          <w:color w:val="auto"/>
          <w:sz w:val="24"/>
          <w:szCs w:val="24"/>
          <w:highlight w:val="none"/>
        </w:rPr>
        <w:t>保洁人员上岗要求</w:t>
      </w:r>
    </w:p>
    <w:p w14:paraId="0865731D">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w:t>
      </w:r>
      <w:r>
        <w:rPr>
          <w:rStyle w:val="67"/>
          <w:rFonts w:hint="eastAsia" w:asciiTheme="minorEastAsia" w:hAnsiTheme="minorEastAsia" w:eastAsiaTheme="minorEastAsia" w:cstheme="minorEastAsia"/>
          <w:color w:val="auto"/>
          <w:sz w:val="24"/>
          <w:szCs w:val="24"/>
          <w:highlight w:val="none"/>
        </w:rPr>
        <w:t>所有从业人员要求年龄在</w:t>
      </w:r>
      <w:r>
        <w:rPr>
          <w:rStyle w:val="67"/>
          <w:rFonts w:hint="eastAsia" w:asciiTheme="minorEastAsia" w:hAnsiTheme="minorEastAsia" w:eastAsiaTheme="minorEastAsia" w:cstheme="minorEastAsia"/>
          <w:color w:val="auto"/>
          <w:sz w:val="24"/>
          <w:szCs w:val="24"/>
          <w:highlight w:val="none"/>
          <w:lang w:val="en-US" w:eastAsia="zh-CN"/>
        </w:rPr>
        <w:t>58</w:t>
      </w:r>
      <w:r>
        <w:rPr>
          <w:rStyle w:val="67"/>
          <w:rFonts w:hint="eastAsia" w:asciiTheme="minorEastAsia" w:hAnsiTheme="minorEastAsia" w:eastAsiaTheme="minorEastAsia" w:cstheme="minorEastAsia"/>
          <w:color w:val="auto"/>
          <w:sz w:val="24"/>
          <w:szCs w:val="24"/>
          <w:highlight w:val="none"/>
        </w:rPr>
        <w:t>岁及以下，身体健康，吃苦耐劳、保洁</w:t>
      </w:r>
      <w:r>
        <w:rPr>
          <w:rStyle w:val="67"/>
          <w:rFonts w:hint="eastAsia" w:asciiTheme="minorEastAsia" w:hAnsiTheme="minorEastAsia" w:eastAsiaTheme="minorEastAsia" w:cstheme="minorEastAsia"/>
          <w:color w:val="auto"/>
          <w:sz w:val="24"/>
          <w:szCs w:val="24"/>
          <w:highlight w:val="none"/>
          <w:lang w:eastAsia="zh-CN"/>
        </w:rPr>
        <w:t>员</w:t>
      </w:r>
      <w:r>
        <w:rPr>
          <w:rStyle w:val="67"/>
          <w:rFonts w:hint="eastAsia" w:asciiTheme="minorEastAsia" w:hAnsiTheme="minorEastAsia" w:eastAsiaTheme="minorEastAsia" w:cstheme="minorEastAsia"/>
          <w:color w:val="auto"/>
          <w:sz w:val="24"/>
          <w:szCs w:val="24"/>
          <w:highlight w:val="none"/>
        </w:rPr>
        <w:t>需提供体检证明</w:t>
      </w:r>
      <w:r>
        <w:rPr>
          <w:rStyle w:val="67"/>
          <w:rFonts w:hint="eastAsia" w:asciiTheme="minorEastAsia" w:hAnsiTheme="minorEastAsia" w:eastAsiaTheme="minorEastAsia" w:cstheme="minorEastAsia"/>
          <w:color w:val="auto"/>
          <w:sz w:val="24"/>
          <w:szCs w:val="24"/>
          <w:highlight w:val="none"/>
          <w:lang w:eastAsia="zh-CN"/>
        </w:rPr>
        <w:t>。</w:t>
      </w:r>
    </w:p>
    <w:p w14:paraId="4811DB64">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w:t>
      </w:r>
      <w:r>
        <w:rPr>
          <w:rStyle w:val="67"/>
          <w:rFonts w:hint="eastAsia" w:asciiTheme="minorEastAsia" w:hAnsiTheme="minorEastAsia" w:eastAsiaTheme="minorEastAsia" w:cstheme="minorEastAsia"/>
          <w:color w:val="auto"/>
          <w:sz w:val="24"/>
          <w:szCs w:val="24"/>
          <w:highlight w:val="none"/>
        </w:rPr>
        <w:t>遵纪守法</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rPr>
        <w:t>有责任心，工作态度认真</w:t>
      </w:r>
      <w:r>
        <w:rPr>
          <w:rStyle w:val="67"/>
          <w:rFonts w:hint="eastAsia" w:asciiTheme="minorEastAsia" w:hAnsiTheme="minorEastAsia" w:eastAsiaTheme="minorEastAsia" w:cstheme="minorEastAsia"/>
          <w:color w:val="auto"/>
          <w:sz w:val="24"/>
          <w:szCs w:val="24"/>
          <w:highlight w:val="none"/>
          <w:lang w:eastAsia="zh-CN"/>
        </w:rPr>
        <w:t>。</w:t>
      </w:r>
    </w:p>
    <w:p w14:paraId="603D403D">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w:t>
      </w:r>
      <w:r>
        <w:rPr>
          <w:rStyle w:val="67"/>
          <w:rFonts w:hint="eastAsia" w:asciiTheme="minorEastAsia" w:hAnsiTheme="minorEastAsia" w:eastAsiaTheme="minorEastAsia" w:cstheme="minorEastAsia"/>
          <w:color w:val="auto"/>
          <w:sz w:val="24"/>
          <w:szCs w:val="24"/>
          <w:highlight w:val="none"/>
        </w:rPr>
        <w:t>从业人员需经过严格的岗前培训，做到准时到岗，规范着装，佩证上岗，讲文明、有礼貌，服从甲方管理，听从工作安排</w:t>
      </w:r>
      <w:r>
        <w:rPr>
          <w:rStyle w:val="67"/>
          <w:rFonts w:hint="eastAsia" w:asciiTheme="minorEastAsia" w:hAnsiTheme="minorEastAsia" w:eastAsiaTheme="minorEastAsia" w:cstheme="minorEastAsia"/>
          <w:color w:val="auto"/>
          <w:sz w:val="24"/>
          <w:szCs w:val="24"/>
          <w:highlight w:val="none"/>
          <w:lang w:eastAsia="zh-CN"/>
        </w:rPr>
        <w:t>。</w:t>
      </w:r>
    </w:p>
    <w:p w14:paraId="1DE70B16">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w:t>
      </w:r>
      <w:r>
        <w:rPr>
          <w:rStyle w:val="67"/>
          <w:rFonts w:hint="eastAsia" w:asciiTheme="minorEastAsia" w:hAnsiTheme="minorEastAsia" w:eastAsiaTheme="minorEastAsia" w:cstheme="minorEastAsia"/>
          <w:color w:val="auto"/>
          <w:sz w:val="24"/>
          <w:szCs w:val="24"/>
          <w:highlight w:val="none"/>
        </w:rPr>
        <w:t>投标人需制定完整的工作流程，并有相应的考核制度</w:t>
      </w:r>
      <w:r>
        <w:rPr>
          <w:rStyle w:val="67"/>
          <w:rFonts w:hint="eastAsia" w:asciiTheme="minorEastAsia" w:hAnsiTheme="minorEastAsia" w:eastAsiaTheme="minorEastAsia" w:cstheme="minorEastAsia"/>
          <w:color w:val="auto"/>
          <w:sz w:val="24"/>
          <w:szCs w:val="24"/>
          <w:highlight w:val="none"/>
          <w:lang w:eastAsia="zh-CN"/>
        </w:rPr>
        <w:t>。</w:t>
      </w:r>
    </w:p>
    <w:p w14:paraId="1BAAA77F">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highlight w:val="none"/>
        </w:rPr>
      </w:pPr>
      <w:r>
        <w:rPr>
          <w:rStyle w:val="67"/>
          <w:rFonts w:hint="eastAsia" w:asciiTheme="minorEastAsia" w:hAnsiTheme="minorEastAsia" w:eastAsiaTheme="minorEastAsia" w:cstheme="minorEastAsia"/>
          <w:b/>
          <w:bCs/>
          <w:color w:val="auto"/>
          <w:sz w:val="24"/>
          <w:szCs w:val="24"/>
          <w:highlight w:val="none"/>
          <w:lang w:val="en-US" w:eastAsia="zh-CN"/>
        </w:rPr>
        <w:t>4、</w:t>
      </w:r>
      <w:r>
        <w:rPr>
          <w:rStyle w:val="67"/>
          <w:rFonts w:hint="eastAsia" w:asciiTheme="minorEastAsia" w:hAnsiTheme="minorEastAsia" w:eastAsiaTheme="minorEastAsia" w:cstheme="minorEastAsia"/>
          <w:b/>
          <w:bCs/>
          <w:color w:val="auto"/>
          <w:sz w:val="24"/>
          <w:szCs w:val="24"/>
          <w:highlight w:val="none"/>
        </w:rPr>
        <w:t>保洁其他要求</w:t>
      </w:r>
    </w:p>
    <w:p w14:paraId="39CC660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所需</w:t>
      </w:r>
      <w:r>
        <w:rPr>
          <w:rStyle w:val="67"/>
          <w:rFonts w:hint="eastAsia" w:asciiTheme="minorEastAsia" w:hAnsiTheme="minorEastAsia" w:eastAsiaTheme="minorEastAsia" w:cstheme="minorEastAsia"/>
          <w:color w:val="auto"/>
          <w:sz w:val="24"/>
          <w:szCs w:val="24"/>
          <w:highlight w:val="none"/>
        </w:rPr>
        <w:t>保洁工具、保洁用品、服装费</w:t>
      </w:r>
      <w:r>
        <w:rPr>
          <w:rFonts w:hint="eastAsia" w:asciiTheme="minorEastAsia" w:hAnsiTheme="minorEastAsia" w:eastAsiaTheme="minorEastAsia" w:cstheme="minorEastAsia"/>
          <w:color w:val="auto"/>
          <w:kern w:val="0"/>
          <w:sz w:val="24"/>
          <w:szCs w:val="24"/>
          <w:highlight w:val="none"/>
          <w:lang w:val="en-US" w:eastAsia="zh-CN" w:bidi="ar"/>
        </w:rPr>
        <w:t xml:space="preserve">及清洁剂、清洁设备、清洁工具由中标人提供，包括保洁卫生所需各种清洁剂、光亮剂、所有类型规格的生活垃圾袋、芳香球、空气清新剂、消毒剂、纸篓、茶水间的塑料桶等保洁用品。 </w:t>
      </w:r>
    </w:p>
    <w:p w14:paraId="1F32005D">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yellow"/>
          <w:lang w:val="en-US" w:eastAsia="zh-CN" w:bidi="ar"/>
        </w:rPr>
      </w:pPr>
    </w:p>
    <w:p w14:paraId="13BEDED9">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（二）保安要求</w:t>
      </w:r>
    </w:p>
    <w:p w14:paraId="2AC02AFB">
      <w:pPr>
        <w:tabs>
          <w:tab w:val="left" w:pos="180"/>
          <w:tab w:val="left" w:pos="1620"/>
        </w:tabs>
        <w:snapToGrid w:val="0"/>
        <w:spacing w:line="360" w:lineRule="auto"/>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b/>
          <w:bCs/>
          <w:color w:val="auto"/>
          <w:sz w:val="24"/>
          <w:szCs w:val="24"/>
          <w:highlight w:val="none"/>
          <w:lang w:val="en-US" w:eastAsia="zh-CN"/>
        </w:rPr>
        <w:t>1、</w:t>
      </w:r>
      <w:r>
        <w:rPr>
          <w:rStyle w:val="67"/>
          <w:rFonts w:hint="eastAsia" w:asciiTheme="minorEastAsia" w:hAnsiTheme="minorEastAsia" w:eastAsiaTheme="minorEastAsia" w:cstheme="minorEastAsia"/>
          <w:b/>
          <w:bCs/>
          <w:color w:val="auto"/>
          <w:sz w:val="24"/>
          <w:szCs w:val="24"/>
          <w:highlight w:val="none"/>
        </w:rPr>
        <w:t>人员要求：</w:t>
      </w:r>
    </w:p>
    <w:p w14:paraId="12692024">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rPr>
        <w:t>（1）安保人员要求：男，</w:t>
      </w:r>
      <w:r>
        <w:rPr>
          <w:rStyle w:val="67"/>
          <w:rFonts w:hint="eastAsia" w:asciiTheme="minorEastAsia" w:hAnsiTheme="minorEastAsia" w:eastAsiaTheme="minorEastAsia" w:cstheme="minorEastAsia"/>
          <w:color w:val="auto"/>
          <w:sz w:val="24"/>
          <w:szCs w:val="24"/>
          <w:highlight w:val="none"/>
          <w:lang w:val="en-US" w:eastAsia="zh-CN"/>
        </w:rPr>
        <w:t>18周岁以上，58</w:t>
      </w:r>
      <w:r>
        <w:rPr>
          <w:rStyle w:val="67"/>
          <w:rFonts w:hint="eastAsia" w:asciiTheme="minorEastAsia" w:hAnsiTheme="minorEastAsia" w:eastAsiaTheme="minorEastAsia" w:cstheme="minorEastAsia"/>
          <w:color w:val="auto"/>
          <w:sz w:val="24"/>
          <w:szCs w:val="24"/>
          <w:highlight w:val="none"/>
        </w:rPr>
        <w:t xml:space="preserve">周岁以下, </w:t>
      </w:r>
      <w:r>
        <w:rPr>
          <w:rStyle w:val="67"/>
          <w:rFonts w:hint="eastAsia" w:asciiTheme="minorEastAsia" w:hAnsiTheme="minorEastAsia" w:eastAsiaTheme="minorEastAsia" w:cstheme="minorEastAsia"/>
          <w:color w:val="auto"/>
          <w:sz w:val="24"/>
          <w:szCs w:val="24"/>
          <w:highlight w:val="none"/>
          <w:lang w:eastAsia="zh-CN"/>
        </w:rPr>
        <w:t>初中</w:t>
      </w:r>
      <w:r>
        <w:rPr>
          <w:rStyle w:val="67"/>
          <w:rFonts w:hint="eastAsia" w:asciiTheme="minorEastAsia" w:hAnsiTheme="minorEastAsia" w:eastAsiaTheme="minorEastAsia" w:cstheme="minorEastAsia"/>
          <w:color w:val="auto"/>
          <w:sz w:val="24"/>
          <w:szCs w:val="24"/>
          <w:highlight w:val="none"/>
        </w:rPr>
        <w:t>以上文化程度</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lang w:val="en-US" w:eastAsia="zh-CN"/>
        </w:rPr>
        <w:t>退伍军人优先）</w:t>
      </w:r>
      <w:r>
        <w:rPr>
          <w:rStyle w:val="67"/>
          <w:rFonts w:hint="eastAsia" w:asciiTheme="minorEastAsia" w:hAnsiTheme="minorEastAsia" w:eastAsiaTheme="minorEastAsia" w:cstheme="minorEastAsia"/>
          <w:color w:val="auto"/>
          <w:sz w:val="24"/>
          <w:szCs w:val="24"/>
          <w:highlight w:val="none"/>
        </w:rPr>
        <w:t>；</w:t>
      </w:r>
    </w:p>
    <w:p w14:paraId="479BB962">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rPr>
        <w:t>（2）安保人员必须做到仪表端正、精神饱满、着装规范、举止文明。整齐穿戴统一制式、颜色和标志的工作服，上岗期间禁止抽烟喝酒；</w:t>
      </w:r>
    </w:p>
    <w:p w14:paraId="648B2996">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rPr>
        <w:t>（3）安保人员具备基本法律知识及与保安相关的政策、规定，具备一定语言和文字表达能力，具备使用基本消防设备、通讯器材、技术防范设施设备、器械的技能；</w:t>
      </w:r>
    </w:p>
    <w:p w14:paraId="08E959A4">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highlight w:val="none"/>
          <w:lang w:val="en-US" w:eastAsia="zh-CN"/>
        </w:rPr>
      </w:pPr>
      <w:r>
        <w:rPr>
          <w:rStyle w:val="67"/>
          <w:rFonts w:hint="eastAsia" w:asciiTheme="minorEastAsia" w:hAnsiTheme="minorEastAsia" w:eastAsiaTheme="minorEastAsia" w:cstheme="minorEastAsia"/>
          <w:b/>
          <w:bCs/>
          <w:color w:val="auto"/>
          <w:sz w:val="24"/>
          <w:szCs w:val="24"/>
          <w:highlight w:val="none"/>
          <w:lang w:val="en-US" w:eastAsia="zh-CN"/>
        </w:rPr>
        <w:t>2、岗位要求</w:t>
      </w:r>
    </w:p>
    <w:p w14:paraId="5927F8C6">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lang w:val="en-US" w:eastAsia="zh-CN"/>
        </w:rPr>
        <w:t xml:space="preserve"> </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1</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eastAsia="zh-CN"/>
        </w:rPr>
        <w:t>负责指引车辆到制定地点有序停放，院区道路严禁停车，保障道路通畅，不得堵塞消防通道进出口。</w:t>
      </w:r>
    </w:p>
    <w:p w14:paraId="4E6C20B5">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2</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eastAsia="zh-CN"/>
        </w:rPr>
        <w:t>负责每天对院区进行不少与</w:t>
      </w:r>
      <w:r>
        <w:rPr>
          <w:rStyle w:val="67"/>
          <w:rFonts w:hint="eastAsia" w:asciiTheme="minorEastAsia" w:hAnsiTheme="minorEastAsia" w:eastAsiaTheme="minorEastAsia" w:cstheme="minorEastAsia"/>
          <w:color w:val="auto"/>
          <w:sz w:val="24"/>
          <w:szCs w:val="24"/>
          <w:highlight w:val="none"/>
          <w:lang w:val="en-US" w:eastAsia="zh-CN"/>
        </w:rPr>
        <w:t>4次的安全巡查</w:t>
      </w:r>
      <w:r>
        <w:rPr>
          <w:rStyle w:val="67"/>
          <w:rFonts w:hint="eastAsia" w:asciiTheme="minorEastAsia" w:hAnsiTheme="minorEastAsia" w:eastAsiaTheme="minorEastAsia" w:cstheme="minorEastAsia"/>
          <w:color w:val="auto"/>
          <w:sz w:val="24"/>
          <w:szCs w:val="24"/>
          <w:highlight w:val="none"/>
          <w:lang w:eastAsia="zh-CN"/>
        </w:rPr>
        <w:t>，巡逻须仔细认真，发现安全隐患及时报告，并做好相关台账。</w:t>
      </w:r>
    </w:p>
    <w:p w14:paraId="41D9368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3</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eastAsia="zh-CN"/>
        </w:rPr>
        <w:t>着装整齐，服务态度端正，树立良好的服务形象。</w:t>
      </w:r>
    </w:p>
    <w:p w14:paraId="7F740D79">
      <w:pPr>
        <w:tabs>
          <w:tab w:val="left" w:pos="625"/>
        </w:tabs>
        <w:bidi w:val="0"/>
        <w:spacing w:line="360" w:lineRule="auto"/>
        <w:ind w:firstLine="480"/>
        <w:jc w:val="left"/>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4</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eastAsia="zh-CN"/>
        </w:rPr>
        <w:t>负责医院消防安全工作，发现消防安全隐患或火情及时处理，并立即上报院</w:t>
      </w:r>
    </w:p>
    <w:p w14:paraId="5B1073F3">
      <w:pPr>
        <w:tabs>
          <w:tab w:val="left" w:pos="625"/>
        </w:tabs>
        <w:bidi w:val="0"/>
        <w:spacing w:line="360" w:lineRule="auto"/>
        <w:jc w:val="left"/>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lang w:val="en-US" w:eastAsia="zh-CN"/>
        </w:rPr>
        <w:t>方领导。</w:t>
      </w:r>
    </w:p>
    <w:p w14:paraId="18F11D28">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5</w:t>
      </w:r>
      <w:r>
        <w:rPr>
          <w:rStyle w:val="67"/>
          <w:rFonts w:hint="eastAsia" w:asciiTheme="minorEastAsia" w:hAnsiTheme="minorEastAsia" w:eastAsiaTheme="minorEastAsia" w:cstheme="minorEastAsia"/>
          <w:color w:val="auto"/>
          <w:sz w:val="24"/>
          <w:szCs w:val="24"/>
          <w:highlight w:val="none"/>
        </w:rPr>
        <w:t>）负责对公共性安全事件</w:t>
      </w: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rPr>
        <w:t>巡查中发现的突发性安全隐患进行紧急处理，并及时上报</w:t>
      </w:r>
      <w:r>
        <w:rPr>
          <w:rStyle w:val="67"/>
          <w:rFonts w:hint="eastAsia" w:asciiTheme="minorEastAsia" w:hAnsiTheme="minorEastAsia" w:eastAsiaTheme="minorEastAsia" w:cstheme="minorEastAsia"/>
          <w:color w:val="auto"/>
          <w:sz w:val="24"/>
          <w:szCs w:val="24"/>
          <w:highlight w:val="none"/>
          <w:lang w:eastAsia="zh-CN"/>
        </w:rPr>
        <w:t>。</w:t>
      </w:r>
    </w:p>
    <w:p w14:paraId="51119D2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6</w:t>
      </w:r>
      <w:r>
        <w:rPr>
          <w:rStyle w:val="67"/>
          <w:rFonts w:hint="eastAsia" w:asciiTheme="minorEastAsia" w:hAnsiTheme="minorEastAsia" w:eastAsiaTheme="minorEastAsia" w:cstheme="minorEastAsia"/>
          <w:color w:val="auto"/>
          <w:sz w:val="24"/>
          <w:szCs w:val="24"/>
          <w:highlight w:val="none"/>
        </w:rPr>
        <w:t>）严格服从</w:t>
      </w:r>
      <w:r>
        <w:rPr>
          <w:rStyle w:val="67"/>
          <w:rFonts w:hint="eastAsia" w:asciiTheme="minorEastAsia" w:hAnsiTheme="minorEastAsia" w:eastAsiaTheme="minorEastAsia" w:cstheme="minorEastAsia"/>
          <w:color w:val="auto"/>
          <w:sz w:val="24"/>
          <w:szCs w:val="24"/>
          <w:highlight w:val="none"/>
          <w:lang w:eastAsia="zh-CN"/>
        </w:rPr>
        <w:t>院方的</w:t>
      </w:r>
      <w:r>
        <w:rPr>
          <w:rStyle w:val="67"/>
          <w:rFonts w:hint="eastAsia" w:asciiTheme="minorEastAsia" w:hAnsiTheme="minorEastAsia" w:eastAsiaTheme="minorEastAsia" w:cstheme="minorEastAsia"/>
          <w:color w:val="auto"/>
          <w:sz w:val="24"/>
          <w:szCs w:val="24"/>
          <w:highlight w:val="none"/>
        </w:rPr>
        <w:t>工作安排及调遣，在接到通知后</w:t>
      </w:r>
      <w:r>
        <w:rPr>
          <w:rStyle w:val="67"/>
          <w:rFonts w:hint="eastAsia" w:asciiTheme="minorEastAsia" w:hAnsiTheme="minorEastAsia" w:eastAsiaTheme="minorEastAsia" w:cstheme="minorEastAsia"/>
          <w:color w:val="auto"/>
          <w:sz w:val="24"/>
          <w:szCs w:val="24"/>
          <w:highlight w:val="none"/>
          <w:lang w:eastAsia="zh-CN"/>
        </w:rPr>
        <w:t>迅速</w:t>
      </w:r>
      <w:r>
        <w:rPr>
          <w:rStyle w:val="67"/>
          <w:rFonts w:hint="eastAsia" w:asciiTheme="minorEastAsia" w:hAnsiTheme="minorEastAsia" w:eastAsiaTheme="minorEastAsia" w:cstheme="minorEastAsia"/>
          <w:color w:val="auto"/>
          <w:sz w:val="24"/>
          <w:szCs w:val="24"/>
          <w:highlight w:val="none"/>
        </w:rPr>
        <w:t>到位</w:t>
      </w:r>
      <w:r>
        <w:rPr>
          <w:rStyle w:val="67"/>
          <w:rFonts w:hint="eastAsia" w:asciiTheme="minorEastAsia" w:hAnsiTheme="minorEastAsia" w:eastAsiaTheme="minorEastAsia" w:cstheme="minorEastAsia"/>
          <w:color w:val="auto"/>
          <w:sz w:val="24"/>
          <w:szCs w:val="24"/>
          <w:highlight w:val="none"/>
          <w:lang w:eastAsia="zh-CN"/>
        </w:rPr>
        <w:t>。</w:t>
      </w:r>
    </w:p>
    <w:p w14:paraId="21CC2835">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eastAsia="zh-CN"/>
        </w:rPr>
      </w:pP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val="en-US" w:eastAsia="zh-CN"/>
        </w:rPr>
        <w:t>7</w:t>
      </w:r>
      <w:r>
        <w:rPr>
          <w:rStyle w:val="67"/>
          <w:rFonts w:hint="eastAsia" w:asciiTheme="minorEastAsia" w:hAnsiTheme="minorEastAsia" w:eastAsiaTheme="minorEastAsia" w:cstheme="minorEastAsia"/>
          <w:color w:val="auto"/>
          <w:sz w:val="24"/>
          <w:szCs w:val="24"/>
          <w:highlight w:val="none"/>
        </w:rPr>
        <w:t>）</w:t>
      </w:r>
      <w:r>
        <w:rPr>
          <w:rStyle w:val="67"/>
          <w:rFonts w:hint="eastAsia" w:asciiTheme="minorEastAsia" w:hAnsiTheme="minorEastAsia" w:eastAsiaTheme="minorEastAsia" w:cstheme="minorEastAsia"/>
          <w:color w:val="auto"/>
          <w:sz w:val="24"/>
          <w:szCs w:val="24"/>
          <w:highlight w:val="none"/>
          <w:lang w:eastAsia="zh-CN"/>
        </w:rPr>
        <w:t>认真做好各类台账。</w:t>
      </w:r>
    </w:p>
    <w:p w14:paraId="58E4E659">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lang w:val="en-US" w:eastAsia="zh-CN"/>
        </w:rPr>
      </w:pPr>
      <w:r>
        <w:rPr>
          <w:rStyle w:val="67"/>
          <w:rFonts w:hint="eastAsia" w:asciiTheme="minorEastAsia" w:hAnsiTheme="minorEastAsia" w:eastAsiaTheme="minorEastAsia" w:cstheme="minorEastAsia"/>
          <w:color w:val="auto"/>
          <w:sz w:val="24"/>
          <w:szCs w:val="24"/>
          <w:highlight w:val="none"/>
          <w:lang w:eastAsia="zh-CN"/>
        </w:rPr>
        <w:t>（</w:t>
      </w:r>
      <w:r>
        <w:rPr>
          <w:rStyle w:val="67"/>
          <w:rFonts w:hint="eastAsia" w:asciiTheme="minorEastAsia" w:hAnsiTheme="minorEastAsia" w:eastAsiaTheme="minorEastAsia" w:cstheme="minorEastAsia"/>
          <w:color w:val="auto"/>
          <w:sz w:val="24"/>
          <w:szCs w:val="24"/>
          <w:highlight w:val="none"/>
          <w:lang w:val="en-US" w:eastAsia="zh-CN"/>
        </w:rPr>
        <w:t>8）</w:t>
      </w:r>
      <w:r>
        <w:rPr>
          <w:rStyle w:val="67"/>
          <w:rFonts w:hint="eastAsia" w:asciiTheme="minorEastAsia" w:hAnsiTheme="minorEastAsia" w:eastAsiaTheme="minorEastAsia" w:cstheme="minorEastAsia"/>
          <w:color w:val="auto"/>
          <w:sz w:val="24"/>
          <w:szCs w:val="24"/>
          <w:highlight w:val="none"/>
        </w:rPr>
        <w:t>完成</w:t>
      </w:r>
      <w:r>
        <w:rPr>
          <w:rStyle w:val="67"/>
          <w:rFonts w:hint="eastAsia" w:asciiTheme="minorEastAsia" w:hAnsiTheme="minorEastAsia" w:eastAsiaTheme="minorEastAsia" w:cstheme="minorEastAsia"/>
          <w:color w:val="auto"/>
          <w:sz w:val="24"/>
          <w:szCs w:val="24"/>
          <w:highlight w:val="none"/>
          <w:lang w:eastAsia="zh-CN"/>
        </w:rPr>
        <w:t>上级</w:t>
      </w:r>
      <w:r>
        <w:rPr>
          <w:rStyle w:val="67"/>
          <w:rFonts w:hint="eastAsia" w:asciiTheme="minorEastAsia" w:hAnsiTheme="minorEastAsia" w:eastAsiaTheme="minorEastAsia" w:cstheme="minorEastAsia"/>
          <w:color w:val="auto"/>
          <w:sz w:val="24"/>
          <w:szCs w:val="24"/>
          <w:highlight w:val="none"/>
        </w:rPr>
        <w:t>交办的其他工作</w:t>
      </w:r>
    </w:p>
    <w:p w14:paraId="57F8C8B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（9）出入口的管理要求 </w:t>
      </w:r>
    </w:p>
    <w:p w14:paraId="75EB52A9">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--严格落实违规物品的管理工作； </w:t>
      </w:r>
    </w:p>
    <w:p w14:paraId="57149175">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--杜绝商贩围堵出入口，保证出入口畅通无阻； </w:t>
      </w:r>
    </w:p>
    <w:p w14:paraId="20D8EA90">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--车辆进出院区均有记录； </w:t>
      </w:r>
    </w:p>
    <w:p w14:paraId="53016D6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--严格执行门诊、病区进入通道人员检查管理要求； </w:t>
      </w:r>
    </w:p>
    <w:p w14:paraId="1626193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--严格岗位交接班程序； </w:t>
      </w:r>
    </w:p>
    <w:p w14:paraId="074FE45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--大件物品出入严格检查并作好记录。 </w:t>
      </w:r>
    </w:p>
    <w:p w14:paraId="3895E30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（10）停车场的管理要求 </w:t>
      </w:r>
    </w:p>
    <w:p w14:paraId="4454E51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--及时指引泊进入车辆，有序停放； </w:t>
      </w:r>
    </w:p>
    <w:p w14:paraId="7C1C2BD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--停车场值守安保人员不定时对场内所有车辆巡查； </w:t>
      </w:r>
    </w:p>
    <w:p w14:paraId="27B1E1C9">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--车场内无商贩或闲杂人员逗留； </w:t>
      </w:r>
    </w:p>
    <w:p w14:paraId="7D97822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--车道内无物品堆放，保持交通畅通；  </w:t>
      </w:r>
    </w:p>
    <w:p w14:paraId="0A825D4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（11）治安管理工作要求 </w:t>
      </w:r>
    </w:p>
    <w:p w14:paraId="3E6B6F35">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--建立治安防治措施，制定安全防范重点部位和巡逻线路； </w:t>
      </w:r>
    </w:p>
    <w:p w14:paraId="2CDD8E2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--重点部位的 24 小时值守，排查商贩、推销和可疑人员的进入； </w:t>
      </w:r>
    </w:p>
    <w:p w14:paraId="34B2D19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--各岗位人员尽忠职守，无脱岗现象； </w:t>
      </w:r>
    </w:p>
    <w:p w14:paraId="718C56E2">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--巡逻岗排查治安、安全隐患； </w:t>
      </w:r>
    </w:p>
    <w:p w14:paraId="7777687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--指定重点巡查范围，制定巡查路线； </w:t>
      </w:r>
    </w:p>
    <w:p w14:paraId="6E53B9A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--排查治安隐患，闲杂人员处理及时率 100%； </w:t>
      </w:r>
    </w:p>
    <w:p w14:paraId="29EB7F82">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--检查重点部位设施设备完好性，门锁完好无撬痕； </w:t>
      </w:r>
    </w:p>
    <w:p w14:paraId="56A1161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--每晚 20：30 对住院病房探视家属例行清场，保证患者休息和安全； </w:t>
      </w:r>
    </w:p>
    <w:p w14:paraId="004F87C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（12）突发事件的处置工作要求 </w:t>
      </w:r>
    </w:p>
    <w:p w14:paraId="4E3EA42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--突发事件发生时管理员能保证 10 分钟内到达现场；</w:t>
      </w:r>
    </w:p>
    <w:p w14:paraId="38047D93">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--安保人员具备各项突发事件的处理能力； </w:t>
      </w:r>
    </w:p>
    <w:p w14:paraId="31AE3CA9">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--及时向上级领导报告突发事件的发生和处理进展； </w:t>
      </w:r>
    </w:p>
    <w:p w14:paraId="3A288AC9">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--处理完毕后按规定上报《突发事件总结报告》。</w:t>
      </w:r>
    </w:p>
    <w:p w14:paraId="0148293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（13）消防管理服务 </w:t>
      </w:r>
    </w:p>
    <w:p w14:paraId="18650B2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在医院消防部门的领导下，组建医院义务消防队伍，保障医院消防安全通道畅通，开 </w:t>
      </w:r>
    </w:p>
    <w:p w14:paraId="455D847E">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展消防设施设备的每日安全巡视，做好完成各项消防台账和检查记录。 </w:t>
      </w:r>
    </w:p>
    <w:p w14:paraId="0C71F13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13.1消防管理工作要求 </w:t>
      </w:r>
    </w:p>
    <w:p w14:paraId="72FDF74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--建立消防管理制度、消防设备管理档案； </w:t>
      </w:r>
    </w:p>
    <w:p w14:paraId="53A81FE5">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--建立日常消防巡检规程； </w:t>
      </w:r>
    </w:p>
    <w:p w14:paraId="7BC19A8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--建立消防知识培训规程； </w:t>
      </w:r>
    </w:p>
    <w:p w14:paraId="2FBEB3F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--建立消防/监控中心工作规程； </w:t>
      </w:r>
    </w:p>
    <w:p w14:paraId="4922846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--协助院方做好消防隐患的预防工作； </w:t>
      </w:r>
    </w:p>
    <w:p w14:paraId="1B821912">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--每日检查消火栓、灭火器是否完好、完整，随时可以使用； </w:t>
      </w:r>
    </w:p>
    <w:p w14:paraId="2FA024F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--每日检查消防设备、消防通道是否畅通无阻、无圈占； </w:t>
      </w:r>
    </w:p>
    <w:p w14:paraId="11542EE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--每周检查消防指示照明、疏散标识是否完好、完整，可以使用； </w:t>
      </w:r>
    </w:p>
    <w:p w14:paraId="1DE6EF1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--每月检查消防大型设备是否完好； </w:t>
      </w:r>
    </w:p>
    <w:p w14:paraId="2DD3A46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--及时处理消防安全隐患，并详细记录处理过程和结果； </w:t>
      </w:r>
    </w:p>
    <w:p w14:paraId="0FE98CA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--重大节日前消防安全检查工作； </w:t>
      </w:r>
    </w:p>
    <w:p w14:paraId="23B6E3E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--能随时启动突发火灾应急疏散预案； </w:t>
      </w:r>
    </w:p>
    <w:p w14:paraId="07DFFFC4">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13.2消防知识的宣传和培训工作； </w:t>
      </w:r>
    </w:p>
    <w:p w14:paraId="5C5C1D3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--新员工入职前的消防知识培训； </w:t>
      </w:r>
    </w:p>
    <w:p w14:paraId="53A76693">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--员工每年不少于 2 次消防知识培训； </w:t>
      </w:r>
    </w:p>
    <w:p w14:paraId="761094E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--专职人员每年不少于 4 次消防知识培训； </w:t>
      </w:r>
    </w:p>
    <w:p w14:paraId="0D176CF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--每年不少于一次消防演习； </w:t>
      </w:r>
    </w:p>
    <w:p w14:paraId="23386FCB">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--病员及医院职工的定期消防知识宣传。</w:t>
      </w:r>
      <w:r>
        <w:rPr>
          <w:rFonts w:hint="eastAsia" w:asciiTheme="minorEastAsia" w:hAnsiTheme="minorEastAsia" w:eastAsiaTheme="minorEastAsia" w:cstheme="minorEastAsia"/>
          <w:b/>
          <w:bCs/>
          <w:color w:val="auto"/>
          <w:kern w:val="0"/>
          <w:sz w:val="24"/>
          <w:szCs w:val="24"/>
          <w:highlight w:val="none"/>
          <w:lang w:val="en-US" w:eastAsia="zh-CN" w:bidi="ar"/>
        </w:rPr>
        <w:t xml:space="preserve"> </w:t>
      </w:r>
    </w:p>
    <w:p w14:paraId="401C6901">
      <w:pPr>
        <w:pStyle w:val="2"/>
        <w:rPr>
          <w:rFonts w:hint="eastAsia"/>
          <w:color w:val="auto"/>
          <w:lang w:val="en-US" w:eastAsia="zh-CN"/>
        </w:rPr>
      </w:pPr>
    </w:p>
    <w:p w14:paraId="0E10BE9D">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（三）服务标准</w:t>
      </w:r>
    </w:p>
    <w:p w14:paraId="3D8AAD8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1.按要求做好各病区的医疗秩序维持，如：电梯排队秩序维持和对各病区进行安全巡 </w:t>
      </w:r>
    </w:p>
    <w:p w14:paraId="123FB8C3">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查。 </w:t>
      </w:r>
    </w:p>
    <w:p w14:paraId="444477F5">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2.做好对各病区安全巡视管理白天上午下午各 2 次，夜间 4 次巡视每次 2 小时。防范 闲杂人员进入大楼，并对可疑人员进行劝离。 </w:t>
      </w:r>
    </w:p>
    <w:p w14:paraId="4BF6382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3.认真落实安全防火、防盗、防爆、防破坏等防范措施；发现执勤区域内的安全隐患， </w:t>
      </w:r>
    </w:p>
    <w:p w14:paraId="6117FA29">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财务损坏及时报告医院有关部门并协助处置。 </w:t>
      </w:r>
    </w:p>
    <w:p w14:paraId="18B6075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4.对各区域发现的情况和处理结果进行记录，并向医院有关部门进行报告。 </w:t>
      </w:r>
    </w:p>
    <w:p w14:paraId="472E760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5.发生群体性事件，干扰、破坏院内正常工作秩序时，能及时采取安全应急有效措施进行处理，并将情况报告医院上级部门，并协助做好疏导工作，维护好秩序。 </w:t>
      </w:r>
    </w:p>
    <w:p w14:paraId="2D0A22E4">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6.维持车辆进出秩序，指挥机动车辆停靠，制止非机动车辆进入院内，保护停车场设 </w:t>
      </w:r>
    </w:p>
    <w:p w14:paraId="0E8B8B85">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施设备。 </w:t>
      </w:r>
    </w:p>
    <w:p w14:paraId="63946A39">
      <w:pPr>
        <w:keepNext w:val="0"/>
        <w:keepLines w:val="0"/>
        <w:widowControl/>
        <w:numPr>
          <w:ilvl w:val="0"/>
          <w:numId w:val="0"/>
        </w:numPr>
        <w:suppressLineNumbers w:val="0"/>
        <w:spacing w:line="360" w:lineRule="auto"/>
        <w:ind w:leftChars="0"/>
        <w:jc w:val="left"/>
        <w:rPr>
          <w:rFonts w:hint="eastAsia" w:asciiTheme="minorEastAsia" w:hAnsiTheme="minorEastAsia" w:eastAsiaTheme="minorEastAsia" w:cstheme="minorEastAsia"/>
          <w:b/>
          <w:bCs/>
          <w:color w:val="auto"/>
          <w:kern w:val="0"/>
          <w:sz w:val="24"/>
          <w:szCs w:val="24"/>
          <w:highlight w:val="cyan"/>
          <w:lang w:val="en-US" w:eastAsia="zh-CN" w:bidi="ar"/>
        </w:rPr>
      </w:pPr>
    </w:p>
    <w:p w14:paraId="2CD839DD">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（四）</w:t>
      </w:r>
      <w:r>
        <w:rPr>
          <w:rStyle w:val="67"/>
          <w:rFonts w:hint="eastAsia" w:asciiTheme="minorEastAsia" w:hAnsiTheme="minorEastAsia" w:eastAsiaTheme="minorEastAsia" w:cstheme="minorEastAsia"/>
          <w:b/>
          <w:bCs/>
          <w:color w:val="auto"/>
          <w:sz w:val="24"/>
          <w:szCs w:val="24"/>
          <w:highlight w:val="none"/>
        </w:rPr>
        <w:t>保安人员上岗要求</w:t>
      </w:r>
    </w:p>
    <w:p w14:paraId="4995AB76">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rPr>
        <w:t>保安人员持证上岗，上岗前必须经过培训。年龄控制在</w:t>
      </w:r>
      <w:r>
        <w:rPr>
          <w:rStyle w:val="67"/>
          <w:rFonts w:hint="eastAsia" w:asciiTheme="minorEastAsia" w:hAnsiTheme="minorEastAsia" w:eastAsiaTheme="minorEastAsia" w:cstheme="minorEastAsia"/>
          <w:color w:val="auto"/>
          <w:sz w:val="24"/>
          <w:szCs w:val="24"/>
          <w:highlight w:val="none"/>
          <w:lang w:val="en-US" w:eastAsia="zh-CN"/>
        </w:rPr>
        <w:t>18周岁以上，58</w:t>
      </w:r>
      <w:r>
        <w:rPr>
          <w:rStyle w:val="67"/>
          <w:rFonts w:hint="eastAsia" w:asciiTheme="minorEastAsia" w:hAnsiTheme="minorEastAsia" w:eastAsiaTheme="minorEastAsia" w:cstheme="minorEastAsia"/>
          <w:color w:val="auto"/>
          <w:sz w:val="24"/>
          <w:szCs w:val="24"/>
          <w:highlight w:val="none"/>
        </w:rPr>
        <w:t>岁以下，身高1.</w:t>
      </w:r>
      <w:r>
        <w:rPr>
          <w:rStyle w:val="67"/>
          <w:rFonts w:hint="eastAsia" w:asciiTheme="minorEastAsia" w:hAnsiTheme="minorEastAsia" w:eastAsiaTheme="minorEastAsia" w:cstheme="minorEastAsia"/>
          <w:color w:val="auto"/>
          <w:sz w:val="24"/>
          <w:szCs w:val="24"/>
          <w:highlight w:val="none"/>
          <w:lang w:val="en-US" w:eastAsia="zh-CN"/>
        </w:rPr>
        <w:t>6</w:t>
      </w:r>
      <w:r>
        <w:rPr>
          <w:rStyle w:val="67"/>
          <w:rFonts w:hint="eastAsia" w:asciiTheme="minorEastAsia" w:hAnsiTheme="minorEastAsia" w:eastAsiaTheme="minorEastAsia" w:cstheme="minorEastAsia"/>
          <w:color w:val="auto"/>
          <w:sz w:val="24"/>
          <w:szCs w:val="24"/>
          <w:highlight w:val="none"/>
        </w:rPr>
        <w:t>米以上，统一着装、思想进步、身体健康；养老保险、人身意外伤害保险等由中标方承担。</w:t>
      </w:r>
    </w:p>
    <w:p w14:paraId="5FADD0CC">
      <w:pPr>
        <w:tabs>
          <w:tab w:val="left" w:pos="180"/>
          <w:tab w:val="left" w:pos="1620"/>
        </w:tabs>
        <w:snapToGrid w:val="0"/>
        <w:spacing w:line="360" w:lineRule="auto"/>
        <w:rPr>
          <w:rStyle w:val="67"/>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（五）</w:t>
      </w:r>
      <w:r>
        <w:rPr>
          <w:rStyle w:val="67"/>
          <w:rFonts w:hint="eastAsia" w:asciiTheme="minorEastAsia" w:hAnsiTheme="minorEastAsia" w:eastAsiaTheme="minorEastAsia" w:cstheme="minorEastAsia"/>
          <w:b/>
          <w:bCs/>
          <w:color w:val="auto"/>
          <w:sz w:val="24"/>
          <w:szCs w:val="24"/>
          <w:highlight w:val="none"/>
        </w:rPr>
        <w:t>保安其他要求</w:t>
      </w:r>
    </w:p>
    <w:p w14:paraId="4D80CCEB">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Style w:val="67"/>
          <w:rFonts w:hint="eastAsia" w:asciiTheme="minorEastAsia" w:hAnsiTheme="minorEastAsia" w:eastAsiaTheme="minorEastAsia" w:cstheme="minorEastAsia"/>
          <w:color w:val="auto"/>
          <w:sz w:val="24"/>
          <w:szCs w:val="24"/>
          <w:highlight w:val="none"/>
        </w:rPr>
        <w:t>所有安保工具、用品、服装费用由中标单位承担。</w:t>
      </w:r>
    </w:p>
    <w:p w14:paraId="3242232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p>
    <w:p w14:paraId="61BBB05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四、派遣人员服务范围及要求 </w:t>
      </w:r>
    </w:p>
    <w:p w14:paraId="3321CCF8">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派遣人员根据医院各管理部门相关工作要求做好相应服务工作，并接受采购人的考核。</w:t>
      </w:r>
    </w:p>
    <w:p w14:paraId="7DC8AB9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（1）服务人数 </w:t>
      </w:r>
    </w:p>
    <w:p w14:paraId="14DCF018">
      <w:pPr>
        <w:keepNext w:val="0"/>
        <w:keepLines w:val="0"/>
        <w:widowControl/>
        <w:suppressLineNumbers w:val="0"/>
        <w:spacing w:line="240" w:lineRule="auto"/>
        <w:ind w:firstLine="720" w:firstLineChars="3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本项目的服务人数总计不低于 22人。</w:t>
      </w:r>
    </w:p>
    <w:p w14:paraId="6090F5C9">
      <w:pPr>
        <w:keepNext w:val="0"/>
        <w:keepLines w:val="0"/>
        <w:widowControl/>
        <w:suppressLineNumbers w:val="0"/>
        <w:spacing w:line="240" w:lineRule="auto"/>
        <w:ind w:firstLine="723" w:firstLineChars="3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w:t>
      </w:r>
    </w:p>
    <w:p w14:paraId="6DC2D1FA">
      <w:pPr>
        <w:keepNext w:val="0"/>
        <w:keepLines w:val="0"/>
        <w:widowControl/>
        <w:suppressLineNumbers w:val="0"/>
        <w:spacing w:line="24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p>
    <w:p w14:paraId="762D7EAC">
      <w:pPr>
        <w:pStyle w:val="3"/>
        <w:numPr>
          <w:ilvl w:val="0"/>
          <w:numId w:val="0"/>
        </w:numPr>
        <w:tabs>
          <w:tab w:val="left" w:pos="434"/>
        </w:tabs>
        <w:spacing w:before="1" w:after="0" w:line="240" w:lineRule="auto"/>
        <w:ind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商务要求</w:t>
      </w:r>
    </w:p>
    <w:p w14:paraId="40B2E441">
      <w:pPr>
        <w:numPr>
          <w:ilvl w:val="0"/>
          <w:numId w:val="0"/>
        </w:numPr>
        <w:rPr>
          <w:rFonts w:hint="eastAsia" w:asciiTheme="minorEastAsia" w:hAnsiTheme="minorEastAsia" w:eastAsiaTheme="minorEastAsia" w:cstheme="minorEastAsia"/>
          <w:color w:val="auto"/>
          <w:sz w:val="24"/>
          <w:szCs w:val="24"/>
          <w:highlight w:val="none"/>
        </w:rPr>
      </w:pPr>
    </w:p>
    <w:p w14:paraId="0C173744">
      <w:pPr>
        <w:pStyle w:val="45"/>
        <w:numPr>
          <w:ilvl w:val="0"/>
          <w:numId w:val="0"/>
        </w:numPr>
        <w:tabs>
          <w:tab w:val="left" w:pos="1074"/>
        </w:tabs>
        <w:spacing w:before="1" w:after="0" w:line="240" w:lineRule="auto"/>
        <w:ind w:right="0" w:rightChars="0" w:firstLine="528"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4.2.1</w:t>
      </w:r>
      <w:r>
        <w:rPr>
          <w:rFonts w:hint="eastAsia" w:asciiTheme="minorEastAsia" w:hAnsiTheme="minorEastAsia" w:eastAsiaTheme="minorEastAsia" w:cstheme="minorEastAsia"/>
          <w:color w:val="auto"/>
          <w:spacing w:val="12"/>
          <w:sz w:val="24"/>
          <w:szCs w:val="24"/>
          <w:highlight w:val="none"/>
        </w:rPr>
        <w:t>、项目预算明细表</w:t>
      </w:r>
    </w:p>
    <w:tbl>
      <w:tblPr>
        <w:tblStyle w:val="31"/>
        <w:tblW w:w="982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673"/>
        <w:gridCol w:w="3411"/>
        <w:gridCol w:w="240"/>
        <w:gridCol w:w="4273"/>
      </w:tblGrid>
      <w:tr w14:paraId="6F2F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824" w:type="dxa"/>
            <w:gridSpan w:val="5"/>
          </w:tcPr>
          <w:p w14:paraId="69CFE79D">
            <w:pPr>
              <w:pStyle w:val="68"/>
              <w:spacing w:before="137" w:line="360" w:lineRule="auto"/>
              <w:ind w:left="3837" w:right="3837"/>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项目预算明细表</w:t>
            </w:r>
          </w:p>
        </w:tc>
      </w:tr>
      <w:tr w14:paraId="5D19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24" w:type="dxa"/>
            <w:gridSpan w:val="5"/>
          </w:tcPr>
          <w:p w14:paraId="39BD1918">
            <w:pPr>
              <w:pStyle w:val="68"/>
              <w:spacing w:before="79" w:line="360" w:lineRule="auto"/>
              <w:ind w:left="11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项目人员预算</w:t>
            </w:r>
          </w:p>
        </w:tc>
      </w:tr>
      <w:tr w14:paraId="3B15F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27" w:type="dxa"/>
          </w:tcPr>
          <w:p w14:paraId="4985BBA9">
            <w:pPr>
              <w:pStyle w:val="68"/>
              <w:spacing w:before="100" w:line="360" w:lineRule="auto"/>
              <w:ind w:left="38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区域</w:t>
            </w:r>
          </w:p>
        </w:tc>
        <w:tc>
          <w:tcPr>
            <w:tcW w:w="673" w:type="dxa"/>
          </w:tcPr>
          <w:p w14:paraId="63300742">
            <w:pPr>
              <w:pStyle w:val="68"/>
              <w:spacing w:before="100" w:line="360" w:lineRule="auto"/>
              <w:ind w:left="96" w:right="85"/>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411" w:type="dxa"/>
          </w:tcPr>
          <w:p w14:paraId="54359B6C">
            <w:pPr>
              <w:pStyle w:val="68"/>
              <w:spacing w:before="100" w:line="360" w:lineRule="auto"/>
              <w:ind w:left="73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240" w:type="dxa"/>
          </w:tcPr>
          <w:p w14:paraId="516086D8">
            <w:pPr>
              <w:pStyle w:val="68"/>
              <w:spacing w:before="100" w:line="360" w:lineRule="auto"/>
              <w:ind w:left="305" w:right="299"/>
              <w:jc w:val="center"/>
              <w:rPr>
                <w:rFonts w:hint="eastAsia" w:asciiTheme="minorEastAsia" w:hAnsiTheme="minorEastAsia" w:eastAsiaTheme="minorEastAsia" w:cstheme="minorEastAsia"/>
                <w:b/>
                <w:color w:val="auto"/>
                <w:sz w:val="24"/>
                <w:szCs w:val="24"/>
                <w:highlight w:val="none"/>
              </w:rPr>
            </w:pPr>
          </w:p>
        </w:tc>
        <w:tc>
          <w:tcPr>
            <w:tcW w:w="4273" w:type="dxa"/>
          </w:tcPr>
          <w:p w14:paraId="713BEE23">
            <w:pPr>
              <w:pStyle w:val="68"/>
              <w:spacing w:before="100" w:line="360" w:lineRule="auto"/>
              <w:ind w:left="315" w:right="30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最高限价（单价：元/月）</w:t>
            </w:r>
          </w:p>
        </w:tc>
      </w:tr>
      <w:tr w14:paraId="4A14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7" w:type="dxa"/>
            <w:vMerge w:val="restart"/>
          </w:tcPr>
          <w:p w14:paraId="7B64481E">
            <w:pPr>
              <w:pStyle w:val="68"/>
              <w:spacing w:line="360" w:lineRule="auto"/>
              <w:rPr>
                <w:rFonts w:hint="eastAsia" w:asciiTheme="minorEastAsia" w:hAnsiTheme="minorEastAsia" w:eastAsiaTheme="minorEastAsia" w:cstheme="minorEastAsia"/>
                <w:color w:val="auto"/>
                <w:sz w:val="24"/>
                <w:szCs w:val="24"/>
                <w:highlight w:val="none"/>
              </w:rPr>
            </w:pPr>
          </w:p>
          <w:p w14:paraId="48A35B04">
            <w:pPr>
              <w:pStyle w:val="68"/>
              <w:spacing w:line="360" w:lineRule="auto"/>
              <w:rPr>
                <w:rFonts w:hint="eastAsia" w:asciiTheme="minorEastAsia" w:hAnsiTheme="minorEastAsia" w:eastAsiaTheme="minorEastAsia" w:cstheme="minorEastAsia"/>
                <w:color w:val="auto"/>
                <w:sz w:val="24"/>
                <w:szCs w:val="24"/>
                <w:highlight w:val="none"/>
              </w:rPr>
            </w:pPr>
          </w:p>
          <w:p w14:paraId="48206C50">
            <w:pPr>
              <w:pStyle w:val="68"/>
              <w:spacing w:line="360" w:lineRule="auto"/>
              <w:rPr>
                <w:rFonts w:hint="eastAsia" w:asciiTheme="minorEastAsia" w:hAnsiTheme="minorEastAsia" w:eastAsiaTheme="minorEastAsia" w:cstheme="minorEastAsia"/>
                <w:color w:val="auto"/>
                <w:sz w:val="24"/>
                <w:szCs w:val="24"/>
                <w:highlight w:val="none"/>
              </w:rPr>
            </w:pPr>
          </w:p>
          <w:p w14:paraId="6F26DDE6">
            <w:pPr>
              <w:pStyle w:val="68"/>
              <w:spacing w:before="1" w:line="360" w:lineRule="auto"/>
              <w:ind w:left="14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随县人民医院</w:t>
            </w:r>
          </w:p>
        </w:tc>
        <w:tc>
          <w:tcPr>
            <w:tcW w:w="673" w:type="dxa"/>
          </w:tcPr>
          <w:p w14:paraId="3D09CD0C">
            <w:pPr>
              <w:pStyle w:val="68"/>
              <w:spacing w:before="82" w:line="360" w:lineRule="auto"/>
              <w:ind w:left="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411" w:type="dxa"/>
          </w:tcPr>
          <w:p w14:paraId="477B81B0">
            <w:pPr>
              <w:pStyle w:val="68"/>
              <w:spacing w:before="82"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w:t>
            </w:r>
          </w:p>
        </w:tc>
        <w:tc>
          <w:tcPr>
            <w:tcW w:w="240" w:type="dxa"/>
          </w:tcPr>
          <w:p w14:paraId="2F806CE3">
            <w:pPr>
              <w:pStyle w:val="68"/>
              <w:spacing w:before="82" w:line="360" w:lineRule="auto"/>
              <w:ind w:left="305" w:right="298"/>
              <w:jc w:val="center"/>
              <w:rPr>
                <w:rFonts w:hint="eastAsia" w:asciiTheme="minorEastAsia" w:hAnsiTheme="minorEastAsia" w:eastAsiaTheme="minorEastAsia" w:cstheme="minorEastAsia"/>
                <w:color w:val="auto"/>
                <w:sz w:val="24"/>
                <w:szCs w:val="24"/>
                <w:highlight w:val="none"/>
                <w:lang w:val="en-US" w:eastAsia="zh-CN"/>
              </w:rPr>
            </w:pPr>
          </w:p>
        </w:tc>
        <w:tc>
          <w:tcPr>
            <w:tcW w:w="4273" w:type="dxa"/>
          </w:tcPr>
          <w:p w14:paraId="7C55FA3A">
            <w:pPr>
              <w:pStyle w:val="68"/>
              <w:spacing w:before="82" w:line="360" w:lineRule="auto"/>
              <w:ind w:left="314" w:right="30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1900</w:t>
            </w:r>
          </w:p>
        </w:tc>
      </w:tr>
      <w:tr w14:paraId="2820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27" w:type="dxa"/>
            <w:vMerge w:val="continue"/>
            <w:tcBorders>
              <w:top w:val="nil"/>
            </w:tcBorders>
          </w:tcPr>
          <w:p w14:paraId="26BAE8F6">
            <w:pPr>
              <w:spacing w:line="360" w:lineRule="auto"/>
              <w:rPr>
                <w:rFonts w:hint="eastAsia" w:asciiTheme="minorEastAsia" w:hAnsiTheme="minorEastAsia" w:eastAsiaTheme="minorEastAsia" w:cstheme="minorEastAsia"/>
                <w:color w:val="auto"/>
                <w:sz w:val="24"/>
                <w:szCs w:val="24"/>
                <w:highlight w:val="none"/>
              </w:rPr>
            </w:pPr>
          </w:p>
        </w:tc>
        <w:tc>
          <w:tcPr>
            <w:tcW w:w="673" w:type="dxa"/>
          </w:tcPr>
          <w:p w14:paraId="02302047">
            <w:pPr>
              <w:pStyle w:val="68"/>
              <w:spacing w:before="79" w:line="360" w:lineRule="auto"/>
              <w:ind w:left="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411" w:type="dxa"/>
          </w:tcPr>
          <w:p w14:paraId="02695259">
            <w:pPr>
              <w:pStyle w:val="68"/>
              <w:spacing w:before="79"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生活垃圾清收</w:t>
            </w:r>
          </w:p>
        </w:tc>
        <w:tc>
          <w:tcPr>
            <w:tcW w:w="240" w:type="dxa"/>
          </w:tcPr>
          <w:p w14:paraId="68BFA008">
            <w:pPr>
              <w:pStyle w:val="68"/>
              <w:spacing w:before="79" w:line="360" w:lineRule="auto"/>
              <w:ind w:left="8"/>
              <w:jc w:val="center"/>
              <w:rPr>
                <w:rFonts w:hint="eastAsia" w:asciiTheme="minorEastAsia" w:hAnsiTheme="minorEastAsia" w:eastAsiaTheme="minorEastAsia" w:cstheme="minorEastAsia"/>
                <w:color w:val="auto"/>
                <w:sz w:val="24"/>
                <w:szCs w:val="24"/>
                <w:highlight w:val="none"/>
                <w:lang w:val="en-US" w:eastAsia="zh-CN"/>
              </w:rPr>
            </w:pPr>
          </w:p>
        </w:tc>
        <w:tc>
          <w:tcPr>
            <w:tcW w:w="4273" w:type="dxa"/>
          </w:tcPr>
          <w:p w14:paraId="5B83EDBD">
            <w:pPr>
              <w:pStyle w:val="68"/>
              <w:spacing w:before="79" w:line="360" w:lineRule="auto"/>
              <w:ind w:left="314" w:right="30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1900</w:t>
            </w:r>
          </w:p>
        </w:tc>
      </w:tr>
      <w:tr w14:paraId="6CDF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27" w:type="dxa"/>
            <w:vMerge w:val="continue"/>
            <w:tcBorders>
              <w:top w:val="nil"/>
            </w:tcBorders>
          </w:tcPr>
          <w:p w14:paraId="4688E79F">
            <w:pPr>
              <w:spacing w:line="360" w:lineRule="auto"/>
              <w:rPr>
                <w:rFonts w:hint="eastAsia" w:asciiTheme="minorEastAsia" w:hAnsiTheme="minorEastAsia" w:eastAsiaTheme="minorEastAsia" w:cstheme="minorEastAsia"/>
                <w:color w:val="auto"/>
                <w:sz w:val="24"/>
                <w:szCs w:val="24"/>
                <w:highlight w:val="none"/>
              </w:rPr>
            </w:pPr>
          </w:p>
        </w:tc>
        <w:tc>
          <w:tcPr>
            <w:tcW w:w="673" w:type="dxa"/>
          </w:tcPr>
          <w:p w14:paraId="49147A72">
            <w:pPr>
              <w:pStyle w:val="68"/>
              <w:spacing w:before="79" w:line="360" w:lineRule="auto"/>
              <w:ind w:left="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411" w:type="dxa"/>
          </w:tcPr>
          <w:p w14:paraId="7DC3BA56">
            <w:pPr>
              <w:pStyle w:val="68"/>
              <w:spacing w:before="79"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医疗废弃物清收</w:t>
            </w:r>
          </w:p>
        </w:tc>
        <w:tc>
          <w:tcPr>
            <w:tcW w:w="240" w:type="dxa"/>
          </w:tcPr>
          <w:p w14:paraId="7286E152">
            <w:pPr>
              <w:pStyle w:val="68"/>
              <w:spacing w:before="79" w:line="360" w:lineRule="auto"/>
              <w:ind w:left="8"/>
              <w:jc w:val="center"/>
              <w:rPr>
                <w:rFonts w:hint="eastAsia" w:asciiTheme="minorEastAsia" w:hAnsiTheme="minorEastAsia" w:eastAsiaTheme="minorEastAsia" w:cstheme="minorEastAsia"/>
                <w:color w:val="auto"/>
                <w:sz w:val="24"/>
                <w:szCs w:val="24"/>
                <w:highlight w:val="none"/>
                <w:lang w:val="en-US" w:eastAsia="zh-CN"/>
              </w:rPr>
            </w:pPr>
          </w:p>
        </w:tc>
        <w:tc>
          <w:tcPr>
            <w:tcW w:w="4273" w:type="dxa"/>
          </w:tcPr>
          <w:p w14:paraId="4FBBA503">
            <w:pPr>
              <w:pStyle w:val="68"/>
              <w:spacing w:before="79" w:line="360" w:lineRule="auto"/>
              <w:ind w:left="314" w:right="30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1900</w:t>
            </w:r>
          </w:p>
        </w:tc>
      </w:tr>
      <w:tr w14:paraId="4C8F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27" w:type="dxa"/>
            <w:vMerge w:val="continue"/>
            <w:tcBorders>
              <w:top w:val="nil"/>
            </w:tcBorders>
          </w:tcPr>
          <w:p w14:paraId="336AD08B">
            <w:pPr>
              <w:spacing w:line="360" w:lineRule="auto"/>
              <w:rPr>
                <w:rFonts w:hint="eastAsia" w:asciiTheme="minorEastAsia" w:hAnsiTheme="minorEastAsia" w:eastAsiaTheme="minorEastAsia" w:cstheme="minorEastAsia"/>
                <w:color w:val="auto"/>
                <w:sz w:val="24"/>
                <w:szCs w:val="24"/>
                <w:highlight w:val="none"/>
              </w:rPr>
            </w:pPr>
          </w:p>
        </w:tc>
        <w:tc>
          <w:tcPr>
            <w:tcW w:w="673" w:type="dxa"/>
          </w:tcPr>
          <w:p w14:paraId="4C5BEC0B">
            <w:pPr>
              <w:pStyle w:val="68"/>
              <w:spacing w:before="79" w:line="360" w:lineRule="auto"/>
              <w:ind w:left="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411" w:type="dxa"/>
          </w:tcPr>
          <w:p w14:paraId="1DBDE6FB">
            <w:pPr>
              <w:pStyle w:val="68"/>
              <w:spacing w:before="79" w:line="360" w:lineRule="auto"/>
              <w:ind w:left="10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保安员</w:t>
            </w:r>
            <w:r>
              <w:rPr>
                <w:rFonts w:hint="eastAsia" w:asciiTheme="minorEastAsia" w:hAnsiTheme="minorEastAsia" w:eastAsiaTheme="minorEastAsia" w:cstheme="minorEastAsia"/>
                <w:color w:val="auto"/>
                <w:sz w:val="24"/>
                <w:szCs w:val="24"/>
                <w:highlight w:val="none"/>
                <w:lang w:val="en-US" w:eastAsia="zh-CN"/>
              </w:rPr>
              <w:t>队长</w:t>
            </w:r>
          </w:p>
        </w:tc>
        <w:tc>
          <w:tcPr>
            <w:tcW w:w="240" w:type="dxa"/>
          </w:tcPr>
          <w:p w14:paraId="70C01289">
            <w:pPr>
              <w:pStyle w:val="68"/>
              <w:spacing w:before="79" w:line="360" w:lineRule="auto"/>
              <w:ind w:left="8"/>
              <w:jc w:val="center"/>
              <w:rPr>
                <w:rFonts w:hint="eastAsia" w:asciiTheme="minorEastAsia" w:hAnsiTheme="minorEastAsia" w:eastAsiaTheme="minorEastAsia" w:cstheme="minorEastAsia"/>
                <w:color w:val="auto"/>
                <w:sz w:val="24"/>
                <w:szCs w:val="24"/>
                <w:highlight w:val="none"/>
                <w:lang w:val="en-US" w:eastAsia="zh-CN"/>
              </w:rPr>
            </w:pPr>
          </w:p>
        </w:tc>
        <w:tc>
          <w:tcPr>
            <w:tcW w:w="4273" w:type="dxa"/>
          </w:tcPr>
          <w:p w14:paraId="44FEF15D">
            <w:pPr>
              <w:pStyle w:val="68"/>
              <w:spacing w:before="79" w:line="360" w:lineRule="auto"/>
              <w:ind w:left="314" w:right="30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2800</w:t>
            </w:r>
          </w:p>
        </w:tc>
      </w:tr>
      <w:tr w14:paraId="48C58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27" w:type="dxa"/>
            <w:vMerge w:val="continue"/>
            <w:tcBorders>
              <w:top w:val="nil"/>
            </w:tcBorders>
          </w:tcPr>
          <w:p w14:paraId="1DC47F7F">
            <w:pPr>
              <w:spacing w:line="360" w:lineRule="auto"/>
              <w:rPr>
                <w:rFonts w:hint="eastAsia" w:asciiTheme="minorEastAsia" w:hAnsiTheme="minorEastAsia" w:eastAsiaTheme="minorEastAsia" w:cstheme="minorEastAsia"/>
                <w:color w:val="auto"/>
                <w:sz w:val="24"/>
                <w:szCs w:val="24"/>
                <w:highlight w:val="none"/>
              </w:rPr>
            </w:pPr>
          </w:p>
        </w:tc>
        <w:tc>
          <w:tcPr>
            <w:tcW w:w="673" w:type="dxa"/>
            <w:vAlign w:val="top"/>
          </w:tcPr>
          <w:p w14:paraId="71BEC6D0">
            <w:pPr>
              <w:pStyle w:val="68"/>
              <w:spacing w:before="79" w:line="360" w:lineRule="auto"/>
              <w:ind w:left="7" w:leftChars="0"/>
              <w:jc w:val="center"/>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5</w:t>
            </w:r>
          </w:p>
        </w:tc>
        <w:tc>
          <w:tcPr>
            <w:tcW w:w="3411" w:type="dxa"/>
            <w:vAlign w:val="top"/>
          </w:tcPr>
          <w:p w14:paraId="3BA367A0">
            <w:pPr>
              <w:pStyle w:val="68"/>
              <w:spacing w:before="79" w:line="360" w:lineRule="auto"/>
              <w:ind w:left="107" w:leftChars="0"/>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保安员</w:t>
            </w:r>
          </w:p>
        </w:tc>
        <w:tc>
          <w:tcPr>
            <w:tcW w:w="240" w:type="dxa"/>
            <w:vAlign w:val="top"/>
          </w:tcPr>
          <w:p w14:paraId="6126DCEF">
            <w:pPr>
              <w:pStyle w:val="68"/>
              <w:spacing w:before="79" w:line="360" w:lineRule="auto"/>
              <w:ind w:left="305" w:leftChars="0" w:right="298" w:rightChars="0"/>
              <w:jc w:val="center"/>
              <w:rPr>
                <w:rFonts w:hint="eastAsia" w:asciiTheme="minorEastAsia" w:hAnsiTheme="minorEastAsia" w:eastAsiaTheme="minorEastAsia" w:cstheme="minorEastAsia"/>
                <w:color w:val="auto"/>
                <w:kern w:val="0"/>
                <w:sz w:val="24"/>
                <w:szCs w:val="24"/>
                <w:highlight w:val="none"/>
                <w:lang w:val="en-US" w:eastAsia="zh-CN" w:bidi="ar-SA"/>
              </w:rPr>
            </w:pPr>
          </w:p>
        </w:tc>
        <w:tc>
          <w:tcPr>
            <w:tcW w:w="4273" w:type="dxa"/>
            <w:vAlign w:val="top"/>
          </w:tcPr>
          <w:p w14:paraId="50623CAF">
            <w:pPr>
              <w:pStyle w:val="68"/>
              <w:spacing w:before="79" w:line="360" w:lineRule="auto"/>
              <w:ind w:left="314" w:leftChars="0" w:right="302" w:rightChars="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2300</w:t>
            </w:r>
          </w:p>
        </w:tc>
      </w:tr>
      <w:tr w14:paraId="31CB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824" w:type="dxa"/>
            <w:gridSpan w:val="5"/>
          </w:tcPr>
          <w:p w14:paraId="461B91F2">
            <w:pPr>
              <w:keepNext w:val="0"/>
              <w:keepLines w:val="0"/>
              <w:widowControl/>
              <w:suppressLineNumbers w:val="0"/>
              <w:spacing w:line="360" w:lineRule="auto"/>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注：本表中项目人员预算中各岗位人数为预估数量，投标人应严格按照以上人员数量进行报价，不得擅自对人员数量进行调整。合同履行过程中采购人可根据项目实际需求对各岗位人数进行调整。 </w:t>
            </w:r>
          </w:p>
        </w:tc>
      </w:tr>
    </w:tbl>
    <w:p w14:paraId="6C30F7C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p>
    <w:p w14:paraId="07539A3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4.2.2、人员年龄结构比例：58 岁以下 50 岁以上不超过 50%，50 岁以下不低于 50% </w:t>
      </w:r>
    </w:p>
    <w:p w14:paraId="2863BE2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（其中 30 岁以下 10%） </w:t>
      </w:r>
    </w:p>
    <w:p w14:paraId="0A7B0A1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4.2.3、付款方式：每月物业委托管理费按照实际服务人数及对应工种/岗位的单价据实结算，</w:t>
      </w:r>
      <w:r>
        <w:rPr>
          <w:rStyle w:val="67"/>
          <w:rFonts w:hint="eastAsia" w:asciiTheme="minorEastAsia" w:hAnsiTheme="minorEastAsia" w:eastAsiaTheme="minorEastAsia" w:cstheme="minorEastAsia"/>
          <w:color w:val="auto"/>
          <w:sz w:val="24"/>
          <w:szCs w:val="24"/>
          <w:highlight w:val="none"/>
        </w:rPr>
        <w:t>甲乙双方在服务合同中约定。</w:t>
      </w:r>
      <w:r>
        <w:rPr>
          <w:rFonts w:hint="eastAsia" w:asciiTheme="minorEastAsia" w:hAnsiTheme="minorEastAsia" w:eastAsiaTheme="minorEastAsia" w:cstheme="minorEastAsia"/>
          <w:color w:val="auto"/>
          <w:kern w:val="0"/>
          <w:sz w:val="24"/>
          <w:szCs w:val="24"/>
          <w:highlight w:val="none"/>
          <w:lang w:val="en-US" w:eastAsia="zh-CN" w:bidi="ar"/>
        </w:rPr>
        <w:t xml:space="preserve">有关部门办理结算手续，甲方以转帐支票或网银方式付款。本项目实际付款金额不得超过最高限价。 </w:t>
      </w:r>
    </w:p>
    <w:p w14:paraId="21326FC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4.2.4、售后服务：医院按照招标文件及物业服务合同约定对供应商进行考核。 </w:t>
      </w:r>
    </w:p>
    <w:p w14:paraId="551F361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4.2.5、★保险：严格按照国家规定给所有的员工缴纳各种社会保险（包括养老/医 </w:t>
      </w:r>
    </w:p>
    <w:p w14:paraId="330D45B9">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疗/工伤/生育险/失业保险等相关法律用工规定），需提供盖章的《承诺函》，否则将 </w:t>
      </w:r>
    </w:p>
    <w:p w14:paraId="48C2E36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作为废标处理。（已达退休年龄的不需要缴纳各种社会保险）</w:t>
      </w:r>
      <w:r>
        <w:rPr>
          <w:rFonts w:hint="eastAsia" w:asciiTheme="minorEastAsia" w:hAnsiTheme="minorEastAsia" w:eastAsiaTheme="minorEastAsia" w:cstheme="minorEastAsia"/>
          <w:b/>
          <w:bCs/>
          <w:color w:val="auto"/>
          <w:kern w:val="0"/>
          <w:sz w:val="24"/>
          <w:szCs w:val="24"/>
          <w:highlight w:val="none"/>
          <w:lang w:val="en-US" w:eastAsia="zh-CN" w:bidi="ar"/>
        </w:rPr>
        <w:t xml:space="preserve"> </w:t>
      </w:r>
    </w:p>
    <w:p w14:paraId="2810F11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4.2.6、考核方法：1.甲方不定期、不定次数、不定区域随时检查乙方服务工作，并 </w:t>
      </w:r>
    </w:p>
    <w:p w14:paraId="033D9E5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做好登记；2.甲、乙双方每月进行一次全面检查，双方主管参加；3.物业服务项目检 </w:t>
      </w:r>
    </w:p>
    <w:p w14:paraId="0A39227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查实行百分制，检查后填写“物业工作月度考核表”（附件 1）；4.“检查评分表” </w:t>
      </w:r>
    </w:p>
    <w:p w14:paraId="288FE28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经双方主管签字后作为考核物业管理服务质量的依据；5.甲方对乙方工作中出现的质 </w:t>
      </w:r>
    </w:p>
    <w:p w14:paraId="3FE5D7E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量问题，按区域类别检查，检查后填写考核表，月综合评分在 90 分以上（含 90 分） </w:t>
      </w:r>
    </w:p>
    <w:p w14:paraId="4369031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为合格，合格则甲方支付全额物业委托管理费；若月综合评分低于 90 分为不合格，不 </w:t>
      </w:r>
    </w:p>
    <w:p w14:paraId="31CA37E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满 90 分，每降低 1 分，扣物业委托管理费的 0.5%，若各项目月综合评分连续 3 个月低于 80 分，则甲方有权提前终止合同； </w:t>
      </w:r>
    </w:p>
    <w:p w14:paraId="67A1A0C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4.2.7、其他商务要求： </w:t>
      </w:r>
    </w:p>
    <w:p w14:paraId="3124A006">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1.公用水电费用、医用垃圾的外运费处理和生活垃圾的外运处理费用由采购 </w:t>
      </w:r>
    </w:p>
    <w:p w14:paraId="1513F1E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人承担。 </w:t>
      </w:r>
    </w:p>
    <w:p w14:paraId="039285FC">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2.采购人提供中标人管理办公室、仓库、调度中心等用房。 </w:t>
      </w:r>
    </w:p>
    <w:p w14:paraId="7D9CC73E">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3.中标人必须配置项目相关人员的装备（包括对讲机及维修工具等）及其所 </w:t>
      </w:r>
    </w:p>
    <w:p w14:paraId="61D9F5C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需设备。 </w:t>
      </w:r>
    </w:p>
    <w:p w14:paraId="5B24F6F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4.中标人提供必要办公设备和耗材；中标人的各岗位员工要统一服装，并由 </w:t>
      </w:r>
    </w:p>
    <w:p w14:paraId="5AD5407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中标人负责其员工工服配备和洗涤。 </w:t>
      </w:r>
    </w:p>
    <w:p w14:paraId="60722D68">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5.中标人有岗前培训机构，服务人员100%经过岗前培训（含特殊工种的上 </w:t>
      </w:r>
    </w:p>
    <w:p w14:paraId="7B23467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岗证培训）合格才上岗。</w:t>
      </w:r>
    </w:p>
    <w:p w14:paraId="0A644EA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6.中标人须自行解决后勤管理服务时所需的日常工具和劳保用品,并能根据 </w:t>
      </w:r>
    </w:p>
    <w:p w14:paraId="79D99BD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医院的行业形象要求及规范,保证文明工作。 </w:t>
      </w:r>
    </w:p>
    <w:p w14:paraId="24D7F3D1">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7.中标人须严格按照标准化的操作程序/完善的培训体系和质量控制体系完 </w:t>
      </w:r>
    </w:p>
    <w:p w14:paraId="564B0BA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成本项目，以保证整个后勤系统安全/高效/有序和有计划地运转。 </w:t>
      </w:r>
    </w:p>
    <w:p w14:paraId="45E1D22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8.中标人必须严格执行医院内感染的相关规定，做好环境和感染消毒工作， </w:t>
      </w:r>
    </w:p>
    <w:p w14:paraId="3691796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接受医院院感部门的检查和指导。 </w:t>
      </w:r>
    </w:p>
    <w:p w14:paraId="144F5A79">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9.中标人必须严格按照疫情防控管理要求，无条件执行采购人的相应工作安排， </w:t>
      </w:r>
    </w:p>
    <w:p w14:paraId="633F225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不另行收费，所派人员必须满足疫情防控上岗要求，所需检查费用由中标人承担。 </w:t>
      </w:r>
    </w:p>
    <w:p w14:paraId="5740C4B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10.中标人有责任配合医院接受上级领导部门的监督/检查，提供必须的资料。 </w:t>
      </w:r>
    </w:p>
    <w:p w14:paraId="4D57603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11.中标人自行负责其招聘员工的一切工资/福利；如发生工伤/疾病乃至死亡的一切责任及费用由中标人全部负责；中标人应严格遵守国家有关的法律/法规及行业标准。 </w:t>
      </w:r>
    </w:p>
    <w:p w14:paraId="000CC9D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12.全部服务人员的工作时间应严格按国家有关法律/法规要求的标准执行，因工作原因产生的加班（含节假日加班）应严格按国家有关法律/法规要求的标准给付员工加班薪资，相关费用由中标人承担。 </w:t>
      </w:r>
    </w:p>
    <w:p w14:paraId="4563FFCE">
      <w:pPr>
        <w:spacing w:line="360" w:lineRule="auto"/>
        <w:ind w:firstLine="241" w:firstLineChars="1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附件 1</w:t>
      </w:r>
    </w:p>
    <w:tbl>
      <w:tblPr>
        <w:tblStyle w:val="31"/>
        <w:tblW w:w="0" w:type="auto"/>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4981"/>
        <w:gridCol w:w="960"/>
        <w:gridCol w:w="961"/>
        <w:gridCol w:w="1426"/>
      </w:tblGrid>
      <w:tr w14:paraId="0EAA5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502" w:type="dxa"/>
            <w:gridSpan w:val="5"/>
            <w:vAlign w:val="center"/>
          </w:tcPr>
          <w:p w14:paraId="6EA84EF2">
            <w:pPr>
              <w:pStyle w:val="68"/>
              <w:spacing w:line="360" w:lineRule="auto"/>
              <w:ind w:left="3645" w:right="363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物业工作月度考核表</w:t>
            </w:r>
          </w:p>
        </w:tc>
      </w:tr>
      <w:tr w14:paraId="429FF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174" w:type="dxa"/>
          </w:tcPr>
          <w:p w14:paraId="23A04A96">
            <w:pPr>
              <w:pStyle w:val="68"/>
              <w:spacing w:before="8" w:line="360" w:lineRule="auto"/>
              <w:rPr>
                <w:rFonts w:hint="eastAsia" w:asciiTheme="minorEastAsia" w:hAnsiTheme="minorEastAsia" w:eastAsiaTheme="minorEastAsia" w:cstheme="minorEastAsia"/>
                <w:b/>
                <w:color w:val="auto"/>
                <w:sz w:val="24"/>
                <w:szCs w:val="24"/>
                <w:highlight w:val="none"/>
              </w:rPr>
            </w:pPr>
          </w:p>
          <w:p w14:paraId="115D503A">
            <w:pPr>
              <w:pStyle w:val="68"/>
              <w:spacing w:before="1" w:line="360" w:lineRule="auto"/>
              <w:ind w:left="468" w:right="213" w:hanging="24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考核项目</w:t>
            </w:r>
          </w:p>
        </w:tc>
        <w:tc>
          <w:tcPr>
            <w:tcW w:w="4981" w:type="dxa"/>
          </w:tcPr>
          <w:p w14:paraId="70A8C601">
            <w:pPr>
              <w:pStyle w:val="68"/>
              <w:spacing w:line="360" w:lineRule="auto"/>
              <w:rPr>
                <w:rFonts w:hint="eastAsia" w:asciiTheme="minorEastAsia" w:hAnsiTheme="minorEastAsia" w:eastAsiaTheme="minorEastAsia" w:cstheme="minorEastAsia"/>
                <w:b/>
                <w:color w:val="auto"/>
                <w:sz w:val="24"/>
                <w:szCs w:val="24"/>
                <w:highlight w:val="none"/>
              </w:rPr>
            </w:pPr>
          </w:p>
          <w:p w14:paraId="5BCC00DA">
            <w:pPr>
              <w:pStyle w:val="68"/>
              <w:spacing w:before="165" w:line="360" w:lineRule="auto"/>
              <w:ind w:left="164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考核及评分标准</w:t>
            </w:r>
          </w:p>
        </w:tc>
        <w:tc>
          <w:tcPr>
            <w:tcW w:w="960" w:type="dxa"/>
          </w:tcPr>
          <w:p w14:paraId="2410F611">
            <w:pPr>
              <w:pStyle w:val="68"/>
              <w:spacing w:line="360" w:lineRule="auto"/>
              <w:rPr>
                <w:rFonts w:hint="eastAsia" w:asciiTheme="minorEastAsia" w:hAnsiTheme="minorEastAsia" w:eastAsiaTheme="minorEastAsia" w:cstheme="minorEastAsia"/>
                <w:b/>
                <w:color w:val="auto"/>
                <w:sz w:val="24"/>
                <w:szCs w:val="24"/>
                <w:highlight w:val="none"/>
              </w:rPr>
            </w:pPr>
          </w:p>
          <w:p w14:paraId="4B42F5D7">
            <w:pPr>
              <w:pStyle w:val="68"/>
              <w:spacing w:before="165" w:line="360" w:lineRule="auto"/>
              <w:ind w:left="96" w:right="9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应得分</w:t>
            </w:r>
          </w:p>
        </w:tc>
        <w:tc>
          <w:tcPr>
            <w:tcW w:w="961" w:type="dxa"/>
          </w:tcPr>
          <w:p w14:paraId="396B4B57">
            <w:pPr>
              <w:pStyle w:val="68"/>
              <w:spacing w:line="360" w:lineRule="auto"/>
              <w:ind w:left="11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扣分数</w:t>
            </w:r>
          </w:p>
          <w:p w14:paraId="258F1765">
            <w:pPr>
              <w:pStyle w:val="68"/>
              <w:spacing w:before="164" w:line="360" w:lineRule="auto"/>
              <w:ind w:left="237" w:right="22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（正数）</w:t>
            </w:r>
          </w:p>
        </w:tc>
        <w:tc>
          <w:tcPr>
            <w:tcW w:w="1426" w:type="dxa"/>
          </w:tcPr>
          <w:p w14:paraId="43B5B532">
            <w:pPr>
              <w:pStyle w:val="68"/>
              <w:spacing w:line="360" w:lineRule="auto"/>
              <w:ind w:left="106" w:right="9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扣分原因</w:t>
            </w:r>
          </w:p>
          <w:p w14:paraId="55576AC9">
            <w:pPr>
              <w:pStyle w:val="68"/>
              <w:spacing w:before="8" w:line="360" w:lineRule="auto"/>
              <w:ind w:left="109" w:right="9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（扣分需填写）</w:t>
            </w:r>
          </w:p>
        </w:tc>
      </w:tr>
      <w:tr w14:paraId="3552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1174" w:type="dxa"/>
            <w:vAlign w:val="center"/>
          </w:tcPr>
          <w:p w14:paraId="026BCAF8">
            <w:pPr>
              <w:pStyle w:val="68"/>
              <w:spacing w:before="75" w:line="360" w:lineRule="auto"/>
              <w:ind w:left="205" w:right="196"/>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室内保</w:t>
            </w:r>
          </w:p>
          <w:p w14:paraId="4BB78846">
            <w:pPr>
              <w:pStyle w:val="68"/>
              <w:spacing w:before="161" w:line="360" w:lineRule="auto"/>
              <w:ind w:left="1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w w:val="99"/>
                <w:sz w:val="24"/>
                <w:szCs w:val="24"/>
                <w:highlight w:val="none"/>
              </w:rPr>
              <w:t>洁</w:t>
            </w:r>
          </w:p>
        </w:tc>
        <w:tc>
          <w:tcPr>
            <w:tcW w:w="4981" w:type="dxa"/>
            <w:vAlign w:val="center"/>
          </w:tcPr>
          <w:p w14:paraId="282EEF9C">
            <w:pPr>
              <w:pStyle w:val="68"/>
              <w:spacing w:before="4" w:line="360" w:lineRule="auto"/>
              <w:jc w:val="center"/>
              <w:rPr>
                <w:rFonts w:hint="eastAsia" w:asciiTheme="minorEastAsia" w:hAnsiTheme="minorEastAsia" w:eastAsiaTheme="minorEastAsia" w:cstheme="minorEastAsia"/>
                <w:b/>
                <w:color w:val="auto"/>
                <w:sz w:val="24"/>
                <w:szCs w:val="24"/>
                <w:highlight w:val="none"/>
              </w:rPr>
            </w:pPr>
          </w:p>
          <w:p w14:paraId="7A878D45">
            <w:pPr>
              <w:pStyle w:val="68"/>
              <w:spacing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地面、门窗、桌面、水池、墙面、床、柜、开</w:t>
            </w:r>
          </w:p>
          <w:p w14:paraId="5C91FF2B">
            <w:pPr>
              <w:pStyle w:val="68"/>
              <w:spacing w:before="75"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水间、阳台、电梯、天花板等部位保持整洁，</w:t>
            </w:r>
          </w:p>
          <w:p w14:paraId="068C7088">
            <w:pPr>
              <w:pStyle w:val="68"/>
              <w:spacing w:before="161"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无垃圾、无污迹、无积水、无积尘、无乱堆乱</w:t>
            </w:r>
          </w:p>
          <w:p w14:paraId="7CFFEB7A">
            <w:pPr>
              <w:pStyle w:val="68"/>
              <w:spacing w:before="75"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放现象（每处 1 分）</w:t>
            </w:r>
          </w:p>
        </w:tc>
        <w:tc>
          <w:tcPr>
            <w:tcW w:w="960" w:type="dxa"/>
            <w:vAlign w:val="center"/>
          </w:tcPr>
          <w:p w14:paraId="530CF577">
            <w:pPr>
              <w:pStyle w:val="68"/>
              <w:spacing w:line="360" w:lineRule="auto"/>
              <w:jc w:val="center"/>
              <w:rPr>
                <w:rFonts w:hint="eastAsia" w:asciiTheme="minorEastAsia" w:hAnsiTheme="minorEastAsia" w:eastAsiaTheme="minorEastAsia" w:cstheme="minorEastAsia"/>
                <w:b/>
                <w:color w:val="auto"/>
                <w:sz w:val="24"/>
                <w:szCs w:val="24"/>
                <w:highlight w:val="none"/>
              </w:rPr>
            </w:pPr>
          </w:p>
          <w:p w14:paraId="1F72623B">
            <w:pPr>
              <w:pStyle w:val="68"/>
              <w:spacing w:before="1" w:line="360" w:lineRule="auto"/>
              <w:ind w:left="96"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61" w:type="dxa"/>
            <w:vMerge w:val="restart"/>
          </w:tcPr>
          <w:p w14:paraId="61C4F91D">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vMerge w:val="restart"/>
          </w:tcPr>
          <w:p w14:paraId="62C390AA">
            <w:pPr>
              <w:pStyle w:val="68"/>
              <w:spacing w:line="360" w:lineRule="auto"/>
              <w:rPr>
                <w:rFonts w:hint="eastAsia" w:asciiTheme="minorEastAsia" w:hAnsiTheme="minorEastAsia" w:eastAsiaTheme="minorEastAsia" w:cstheme="minorEastAsia"/>
                <w:color w:val="auto"/>
                <w:sz w:val="24"/>
                <w:szCs w:val="24"/>
                <w:highlight w:val="none"/>
              </w:rPr>
            </w:pPr>
          </w:p>
        </w:tc>
      </w:tr>
      <w:tr w14:paraId="612A9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1174" w:type="dxa"/>
            <w:vAlign w:val="center"/>
          </w:tcPr>
          <w:p w14:paraId="10B4FE16">
            <w:pPr>
              <w:pStyle w:val="68"/>
              <w:spacing w:before="75" w:line="360" w:lineRule="auto"/>
              <w:ind w:left="205" w:right="196"/>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外围保</w:t>
            </w:r>
          </w:p>
          <w:p w14:paraId="6896ED30">
            <w:pPr>
              <w:pStyle w:val="68"/>
              <w:spacing w:before="160" w:line="360" w:lineRule="auto"/>
              <w:ind w:left="1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w w:val="99"/>
                <w:sz w:val="24"/>
                <w:szCs w:val="24"/>
                <w:highlight w:val="none"/>
              </w:rPr>
              <w:t>洁</w:t>
            </w:r>
          </w:p>
        </w:tc>
        <w:tc>
          <w:tcPr>
            <w:tcW w:w="4981" w:type="dxa"/>
            <w:vAlign w:val="center"/>
          </w:tcPr>
          <w:p w14:paraId="623B3260">
            <w:pPr>
              <w:pStyle w:val="68"/>
              <w:spacing w:before="4" w:line="360" w:lineRule="auto"/>
              <w:jc w:val="center"/>
              <w:rPr>
                <w:rFonts w:hint="eastAsia" w:asciiTheme="minorEastAsia" w:hAnsiTheme="minorEastAsia" w:eastAsiaTheme="minorEastAsia" w:cstheme="minorEastAsia"/>
                <w:b/>
                <w:color w:val="auto"/>
                <w:sz w:val="24"/>
                <w:szCs w:val="24"/>
                <w:highlight w:val="none"/>
              </w:rPr>
            </w:pPr>
          </w:p>
          <w:p w14:paraId="35E8CBEC">
            <w:pPr>
              <w:pStyle w:val="68"/>
              <w:spacing w:line="360" w:lineRule="auto"/>
              <w:ind w:left="107" w:right="-29"/>
              <w:jc w:val="center"/>
              <w:rPr>
                <w:rFonts w:hint="eastAsia"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无暴露垃圾、卫生死角、乱搭乱建、乱贴乱画、</w:t>
            </w:r>
          </w:p>
          <w:p w14:paraId="5CAE9C84">
            <w:pPr>
              <w:pStyle w:val="68"/>
              <w:spacing w:before="75"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乱牵乱挂、乱停乱放；果皮箱、垃圾箱等环卫</w:t>
            </w:r>
          </w:p>
          <w:p w14:paraId="1464B236">
            <w:pPr>
              <w:pStyle w:val="68"/>
              <w:spacing w:before="160" w:line="360" w:lineRule="auto"/>
              <w:ind w:left="10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设施完善，垃圾容器密闭、清洁；室外各种物</w:t>
            </w:r>
          </w:p>
          <w:p w14:paraId="01496D09">
            <w:pPr>
              <w:pStyle w:val="68"/>
              <w:spacing w:before="75" w:line="360" w:lineRule="auto"/>
              <w:ind w:left="10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品放置整齐、无积尘；外环地面干净，无杂物（每处 1 分）</w:t>
            </w:r>
          </w:p>
        </w:tc>
        <w:tc>
          <w:tcPr>
            <w:tcW w:w="960" w:type="dxa"/>
            <w:vAlign w:val="center"/>
          </w:tcPr>
          <w:p w14:paraId="750C3C1D">
            <w:pPr>
              <w:pStyle w:val="68"/>
              <w:spacing w:before="2" w:line="360" w:lineRule="auto"/>
              <w:jc w:val="center"/>
              <w:rPr>
                <w:rFonts w:hint="eastAsia" w:asciiTheme="minorEastAsia" w:hAnsiTheme="minorEastAsia" w:eastAsiaTheme="minorEastAsia" w:cstheme="minorEastAsia"/>
                <w:b/>
                <w:color w:val="auto"/>
                <w:sz w:val="24"/>
                <w:szCs w:val="24"/>
                <w:highlight w:val="none"/>
              </w:rPr>
            </w:pPr>
          </w:p>
          <w:p w14:paraId="730AC020">
            <w:pPr>
              <w:pStyle w:val="68"/>
              <w:spacing w:before="1" w:line="360" w:lineRule="auto"/>
              <w:ind w:left="96"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61" w:type="dxa"/>
          </w:tcPr>
          <w:p w14:paraId="6993FD8F">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Pr>
          <w:p w14:paraId="1541CBC1">
            <w:pPr>
              <w:pStyle w:val="68"/>
              <w:spacing w:line="360" w:lineRule="auto"/>
              <w:rPr>
                <w:rFonts w:hint="eastAsia" w:asciiTheme="minorEastAsia" w:hAnsiTheme="minorEastAsia" w:eastAsiaTheme="minorEastAsia" w:cstheme="minorEastAsia"/>
                <w:color w:val="auto"/>
                <w:sz w:val="24"/>
                <w:szCs w:val="24"/>
                <w:highlight w:val="none"/>
              </w:rPr>
            </w:pPr>
          </w:p>
        </w:tc>
      </w:tr>
      <w:tr w14:paraId="0D0C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174" w:type="dxa"/>
            <w:vAlign w:val="center"/>
          </w:tcPr>
          <w:p w14:paraId="1639F9F6">
            <w:pPr>
              <w:pStyle w:val="68"/>
              <w:spacing w:before="85" w:line="360" w:lineRule="auto"/>
              <w:ind w:left="345" w:leftChars="0" w:right="213" w:rightChars="0" w:hanging="120" w:firstLineChars="0"/>
              <w:jc w:val="center"/>
              <w:rPr>
                <w:rFonts w:hint="eastAsia" w:asciiTheme="minorEastAsia" w:hAnsiTheme="minorEastAsia" w:eastAsiaTheme="minorEastAsia" w:cstheme="minorEastAsia"/>
                <w:b/>
                <w:color w:val="auto"/>
                <w:kern w:val="0"/>
                <w:sz w:val="24"/>
                <w:szCs w:val="24"/>
                <w:highlight w:val="none"/>
                <w:lang w:val="en-US" w:eastAsia="en-US" w:bidi="ar-SA"/>
              </w:rPr>
            </w:pPr>
            <w:r>
              <w:rPr>
                <w:rFonts w:hint="eastAsia" w:asciiTheme="minorEastAsia" w:hAnsiTheme="minorEastAsia" w:eastAsiaTheme="minorEastAsia" w:cstheme="minorEastAsia"/>
                <w:b/>
                <w:color w:val="auto"/>
                <w:sz w:val="24"/>
                <w:szCs w:val="24"/>
                <w:highlight w:val="none"/>
              </w:rPr>
              <w:t>卫生间保洁</w:t>
            </w:r>
          </w:p>
        </w:tc>
        <w:tc>
          <w:tcPr>
            <w:tcW w:w="4981" w:type="dxa"/>
            <w:vAlign w:val="center"/>
          </w:tcPr>
          <w:p w14:paraId="6443061C">
            <w:pPr>
              <w:pStyle w:val="68"/>
              <w:spacing w:before="85" w:line="360" w:lineRule="auto"/>
              <w:ind w:left="107" w:leftChars="0" w:right="41" w:rightChars="0"/>
              <w:jc w:val="center"/>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卫生间无污垢、无尿迹、无臭味、无积水、无蝇无蛆（每处 1 分）</w:t>
            </w:r>
          </w:p>
        </w:tc>
        <w:tc>
          <w:tcPr>
            <w:tcW w:w="960" w:type="dxa"/>
            <w:vAlign w:val="center"/>
          </w:tcPr>
          <w:p w14:paraId="5B97EEDA">
            <w:pPr>
              <w:pStyle w:val="68"/>
              <w:spacing w:before="162" w:line="360" w:lineRule="auto"/>
              <w:ind w:right="348" w:rightChars="0"/>
              <w:jc w:val="center"/>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10</w:t>
            </w:r>
          </w:p>
        </w:tc>
        <w:tc>
          <w:tcPr>
            <w:tcW w:w="961" w:type="dxa"/>
            <w:vAlign w:val="center"/>
          </w:tcPr>
          <w:p w14:paraId="0489F681">
            <w:pPr>
              <w:pStyle w:val="68"/>
              <w:spacing w:line="360" w:lineRule="auto"/>
              <w:jc w:val="center"/>
              <w:rPr>
                <w:rFonts w:hint="eastAsia" w:asciiTheme="minorEastAsia" w:hAnsiTheme="minorEastAsia" w:eastAsiaTheme="minorEastAsia" w:cstheme="minorEastAsia"/>
                <w:color w:val="auto"/>
                <w:kern w:val="0"/>
                <w:sz w:val="24"/>
                <w:szCs w:val="24"/>
                <w:highlight w:val="none"/>
                <w:lang w:val="en-US" w:eastAsia="en-US" w:bidi="ar-SA"/>
              </w:rPr>
            </w:pPr>
          </w:p>
        </w:tc>
        <w:tc>
          <w:tcPr>
            <w:tcW w:w="1426" w:type="dxa"/>
            <w:vAlign w:val="center"/>
          </w:tcPr>
          <w:p w14:paraId="000F9D19">
            <w:pPr>
              <w:pStyle w:val="68"/>
              <w:spacing w:line="360" w:lineRule="auto"/>
              <w:jc w:val="center"/>
              <w:rPr>
                <w:rFonts w:hint="eastAsia" w:asciiTheme="minorEastAsia" w:hAnsiTheme="minorEastAsia" w:eastAsiaTheme="minorEastAsia" w:cstheme="minorEastAsia"/>
                <w:color w:val="auto"/>
                <w:kern w:val="0"/>
                <w:sz w:val="24"/>
                <w:szCs w:val="24"/>
                <w:highlight w:val="none"/>
                <w:lang w:val="en-US" w:eastAsia="en-US" w:bidi="ar-SA"/>
              </w:rPr>
            </w:pPr>
          </w:p>
        </w:tc>
      </w:tr>
      <w:tr w14:paraId="59563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4" w:type="dxa"/>
            <w:vAlign w:val="center"/>
          </w:tcPr>
          <w:p w14:paraId="6DA16556">
            <w:pPr>
              <w:pStyle w:val="68"/>
              <w:spacing w:before="72" w:line="360" w:lineRule="auto"/>
              <w:ind w:left="468" w:leftChars="0" w:right="213" w:rightChars="0" w:hanging="243" w:firstLineChars="0"/>
              <w:jc w:val="center"/>
              <w:rPr>
                <w:rFonts w:hint="eastAsia" w:asciiTheme="minorEastAsia" w:hAnsiTheme="minorEastAsia" w:eastAsiaTheme="minorEastAsia" w:cstheme="minorEastAsia"/>
                <w:b/>
                <w:color w:val="auto"/>
                <w:kern w:val="0"/>
                <w:sz w:val="24"/>
                <w:szCs w:val="24"/>
                <w:highlight w:val="none"/>
                <w:lang w:val="en-US" w:eastAsia="en-US" w:bidi="ar-SA"/>
              </w:rPr>
            </w:pPr>
            <w:r>
              <w:rPr>
                <w:rFonts w:hint="eastAsia" w:asciiTheme="minorEastAsia" w:hAnsiTheme="minorEastAsia" w:eastAsiaTheme="minorEastAsia" w:cstheme="minorEastAsia"/>
                <w:b/>
                <w:color w:val="auto"/>
                <w:sz w:val="24"/>
                <w:szCs w:val="24"/>
                <w:highlight w:val="none"/>
              </w:rPr>
              <w:t>垃圾清理</w:t>
            </w:r>
          </w:p>
        </w:tc>
        <w:tc>
          <w:tcPr>
            <w:tcW w:w="4981" w:type="dxa"/>
            <w:vAlign w:val="center"/>
          </w:tcPr>
          <w:p w14:paraId="4866250F">
            <w:pPr>
              <w:pStyle w:val="68"/>
              <w:spacing w:before="72" w:line="360" w:lineRule="auto"/>
              <w:ind w:left="107" w:leftChars="0" w:right="47" w:rightChars="0"/>
              <w:jc w:val="center"/>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垃圾日产日清，无污迹，定期进行消杀（每处1 分）</w:t>
            </w:r>
          </w:p>
        </w:tc>
        <w:tc>
          <w:tcPr>
            <w:tcW w:w="960" w:type="dxa"/>
            <w:vAlign w:val="center"/>
          </w:tcPr>
          <w:p w14:paraId="1247E587">
            <w:pPr>
              <w:pStyle w:val="68"/>
              <w:spacing w:before="160" w:line="360" w:lineRule="auto"/>
              <w:ind w:right="348" w:rightChars="0"/>
              <w:jc w:val="center"/>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10</w:t>
            </w:r>
          </w:p>
        </w:tc>
        <w:tc>
          <w:tcPr>
            <w:tcW w:w="961" w:type="dxa"/>
            <w:vAlign w:val="center"/>
          </w:tcPr>
          <w:p w14:paraId="08990EF1">
            <w:pPr>
              <w:pStyle w:val="68"/>
              <w:spacing w:line="360" w:lineRule="auto"/>
              <w:jc w:val="center"/>
              <w:rPr>
                <w:rFonts w:hint="eastAsia" w:asciiTheme="minorEastAsia" w:hAnsiTheme="minorEastAsia" w:eastAsiaTheme="minorEastAsia" w:cstheme="minorEastAsia"/>
                <w:color w:val="auto"/>
                <w:kern w:val="0"/>
                <w:sz w:val="24"/>
                <w:szCs w:val="24"/>
                <w:highlight w:val="none"/>
                <w:lang w:val="en-US" w:eastAsia="en-US" w:bidi="ar-SA"/>
              </w:rPr>
            </w:pPr>
          </w:p>
        </w:tc>
        <w:tc>
          <w:tcPr>
            <w:tcW w:w="1426" w:type="dxa"/>
            <w:vAlign w:val="center"/>
          </w:tcPr>
          <w:p w14:paraId="139216D9">
            <w:pPr>
              <w:pStyle w:val="68"/>
              <w:spacing w:line="360" w:lineRule="auto"/>
              <w:jc w:val="center"/>
              <w:rPr>
                <w:rFonts w:hint="eastAsia" w:asciiTheme="minorEastAsia" w:hAnsiTheme="minorEastAsia" w:eastAsiaTheme="minorEastAsia" w:cstheme="minorEastAsia"/>
                <w:color w:val="auto"/>
                <w:kern w:val="0"/>
                <w:sz w:val="24"/>
                <w:szCs w:val="24"/>
                <w:highlight w:val="none"/>
                <w:lang w:val="en-US" w:eastAsia="en-US" w:bidi="ar-SA"/>
              </w:rPr>
            </w:pPr>
          </w:p>
        </w:tc>
      </w:tr>
      <w:tr w14:paraId="0D45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1174" w:type="dxa"/>
            <w:vAlign w:val="top"/>
          </w:tcPr>
          <w:p w14:paraId="1838F579">
            <w:pPr>
              <w:pStyle w:val="68"/>
              <w:spacing w:line="360" w:lineRule="auto"/>
              <w:rPr>
                <w:rFonts w:hint="eastAsia" w:asciiTheme="minorEastAsia" w:hAnsiTheme="minorEastAsia" w:eastAsiaTheme="minorEastAsia" w:cstheme="minorEastAsia"/>
                <w:b/>
                <w:color w:val="auto"/>
                <w:sz w:val="24"/>
                <w:szCs w:val="24"/>
                <w:highlight w:val="none"/>
              </w:rPr>
            </w:pPr>
          </w:p>
          <w:p w14:paraId="7272ED53">
            <w:pPr>
              <w:pStyle w:val="68"/>
              <w:spacing w:before="160" w:line="360" w:lineRule="auto"/>
              <w:ind w:left="225" w:leftChars="0" w:right="213" w:rightChars="0"/>
              <w:rPr>
                <w:rFonts w:hint="eastAsia" w:asciiTheme="minorEastAsia" w:hAnsiTheme="minorEastAsia" w:eastAsiaTheme="minorEastAsia" w:cstheme="minorEastAsia"/>
                <w:b/>
                <w:color w:val="auto"/>
                <w:kern w:val="0"/>
                <w:sz w:val="24"/>
                <w:szCs w:val="24"/>
                <w:highlight w:val="none"/>
                <w:lang w:val="en-US" w:eastAsia="en-US" w:bidi="ar-SA"/>
              </w:rPr>
            </w:pPr>
            <w:r>
              <w:rPr>
                <w:rFonts w:hint="eastAsia" w:asciiTheme="minorEastAsia" w:hAnsiTheme="minorEastAsia" w:eastAsiaTheme="minorEastAsia" w:cstheme="minorEastAsia"/>
                <w:b/>
                <w:color w:val="auto"/>
                <w:sz w:val="24"/>
                <w:szCs w:val="24"/>
                <w:highlight w:val="none"/>
              </w:rPr>
              <w:t>保洁操作规范</w:t>
            </w:r>
          </w:p>
        </w:tc>
        <w:tc>
          <w:tcPr>
            <w:tcW w:w="4981" w:type="dxa"/>
            <w:vAlign w:val="top"/>
          </w:tcPr>
          <w:p w14:paraId="11A44551">
            <w:pPr>
              <w:pStyle w:val="68"/>
              <w:spacing w:before="4" w:line="360" w:lineRule="auto"/>
              <w:rPr>
                <w:rFonts w:hint="eastAsia" w:asciiTheme="minorEastAsia" w:hAnsiTheme="minorEastAsia" w:eastAsiaTheme="minorEastAsia" w:cstheme="minorEastAsia"/>
                <w:b/>
                <w:color w:val="auto"/>
                <w:sz w:val="24"/>
                <w:szCs w:val="24"/>
                <w:highlight w:val="none"/>
              </w:rPr>
            </w:pPr>
          </w:p>
          <w:p w14:paraId="5574A6ED">
            <w:pPr>
              <w:pStyle w:val="68"/>
              <w:spacing w:line="360" w:lineRule="auto"/>
              <w:ind w:left="107" w:right="-2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服务主动、说话和气、着装规范</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 xml:space="preserve">每项 </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pacing w:val="-30"/>
                <w:sz w:val="24"/>
                <w:szCs w:val="24"/>
                <w:highlight w:val="none"/>
              </w:rPr>
              <w:t xml:space="preserve"> 分</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19"/>
                <w:sz w:val="24"/>
                <w:szCs w:val="24"/>
                <w:highlight w:val="none"/>
              </w:rPr>
              <w:t>拖布、扫帚定位存放、固定使用、标记醒目</w:t>
            </w:r>
            <w:r>
              <w:rPr>
                <w:rFonts w:hint="eastAsia" w:asciiTheme="minorEastAsia" w:hAnsiTheme="minorEastAsia" w:eastAsiaTheme="minorEastAsia" w:cstheme="minorEastAsia"/>
                <w:color w:val="auto"/>
                <w:sz w:val="24"/>
                <w:szCs w:val="24"/>
                <w:highlight w:val="none"/>
              </w:rPr>
              <w:t>（每</w:t>
            </w:r>
          </w:p>
          <w:p w14:paraId="279926A6">
            <w:pPr>
              <w:pStyle w:val="68"/>
              <w:spacing w:before="2" w:line="360" w:lineRule="auto"/>
              <w:ind w:left="107" w:leftChars="0"/>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项 2 分）；操作符合规程（5 分）</w:t>
            </w:r>
          </w:p>
        </w:tc>
        <w:tc>
          <w:tcPr>
            <w:tcW w:w="960" w:type="dxa"/>
            <w:vAlign w:val="top"/>
          </w:tcPr>
          <w:p w14:paraId="7CF0797B">
            <w:pPr>
              <w:pStyle w:val="68"/>
              <w:spacing w:line="360" w:lineRule="auto"/>
              <w:rPr>
                <w:rFonts w:hint="eastAsia" w:asciiTheme="minorEastAsia" w:hAnsiTheme="minorEastAsia" w:eastAsiaTheme="minorEastAsia" w:cstheme="minorEastAsia"/>
                <w:b/>
                <w:color w:val="auto"/>
                <w:sz w:val="24"/>
                <w:szCs w:val="24"/>
                <w:highlight w:val="none"/>
              </w:rPr>
            </w:pPr>
          </w:p>
          <w:p w14:paraId="0390CB2C">
            <w:pPr>
              <w:pStyle w:val="68"/>
              <w:spacing w:before="11" w:line="360" w:lineRule="auto"/>
              <w:rPr>
                <w:rFonts w:hint="eastAsia" w:asciiTheme="minorEastAsia" w:hAnsiTheme="minorEastAsia" w:eastAsiaTheme="minorEastAsia" w:cstheme="minorEastAsia"/>
                <w:b/>
                <w:color w:val="auto"/>
                <w:sz w:val="24"/>
                <w:szCs w:val="24"/>
                <w:highlight w:val="none"/>
              </w:rPr>
            </w:pPr>
          </w:p>
          <w:p w14:paraId="26B53EA1">
            <w:pPr>
              <w:pStyle w:val="68"/>
              <w:spacing w:line="360" w:lineRule="auto"/>
              <w:ind w:right="348" w:rightChars="0"/>
              <w:jc w:val="right"/>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10</w:t>
            </w:r>
          </w:p>
        </w:tc>
        <w:tc>
          <w:tcPr>
            <w:tcW w:w="961" w:type="dxa"/>
            <w:vAlign w:val="top"/>
          </w:tcPr>
          <w:p w14:paraId="63C0BC06">
            <w:pPr>
              <w:pStyle w:val="68"/>
              <w:spacing w:line="360" w:lineRule="auto"/>
              <w:rPr>
                <w:rFonts w:hint="eastAsia" w:asciiTheme="minorEastAsia" w:hAnsiTheme="minorEastAsia" w:eastAsiaTheme="minorEastAsia" w:cstheme="minorEastAsia"/>
                <w:color w:val="auto"/>
                <w:kern w:val="0"/>
                <w:sz w:val="24"/>
                <w:szCs w:val="24"/>
                <w:highlight w:val="none"/>
                <w:lang w:val="en-US" w:eastAsia="en-US" w:bidi="ar-SA"/>
              </w:rPr>
            </w:pPr>
          </w:p>
        </w:tc>
        <w:tc>
          <w:tcPr>
            <w:tcW w:w="1426" w:type="dxa"/>
            <w:vAlign w:val="top"/>
          </w:tcPr>
          <w:p w14:paraId="0C928F73">
            <w:pPr>
              <w:pStyle w:val="68"/>
              <w:spacing w:line="360" w:lineRule="auto"/>
              <w:rPr>
                <w:rFonts w:hint="eastAsia" w:asciiTheme="minorEastAsia" w:hAnsiTheme="minorEastAsia" w:eastAsiaTheme="minorEastAsia" w:cstheme="minorEastAsia"/>
                <w:color w:val="auto"/>
                <w:kern w:val="0"/>
                <w:sz w:val="24"/>
                <w:szCs w:val="24"/>
                <w:highlight w:val="none"/>
                <w:lang w:val="en-US" w:eastAsia="en-US" w:bidi="ar-SA"/>
              </w:rPr>
            </w:pPr>
          </w:p>
        </w:tc>
      </w:tr>
      <w:tr w14:paraId="7E0D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1174" w:type="dxa"/>
            <w:vAlign w:val="top"/>
          </w:tcPr>
          <w:p w14:paraId="3E9CC225">
            <w:pPr>
              <w:pStyle w:val="68"/>
              <w:spacing w:line="360" w:lineRule="auto"/>
              <w:rPr>
                <w:rFonts w:hint="eastAsia" w:asciiTheme="minorEastAsia" w:hAnsiTheme="minorEastAsia" w:eastAsiaTheme="minorEastAsia" w:cstheme="minorEastAsia"/>
                <w:b/>
                <w:color w:val="auto"/>
                <w:sz w:val="24"/>
                <w:szCs w:val="24"/>
                <w:highlight w:val="none"/>
              </w:rPr>
            </w:pPr>
          </w:p>
          <w:p w14:paraId="19EFEDE4">
            <w:pPr>
              <w:pStyle w:val="68"/>
              <w:spacing w:before="162" w:line="360" w:lineRule="auto"/>
              <w:ind w:left="225" w:leftChars="0" w:right="213" w:rightChars="0"/>
              <w:rPr>
                <w:rFonts w:hint="eastAsia" w:asciiTheme="minorEastAsia" w:hAnsiTheme="minorEastAsia" w:eastAsiaTheme="minorEastAsia" w:cstheme="minorEastAsia"/>
                <w:b/>
                <w:color w:val="auto"/>
                <w:kern w:val="0"/>
                <w:sz w:val="24"/>
                <w:szCs w:val="24"/>
                <w:highlight w:val="none"/>
                <w:lang w:val="en-US" w:eastAsia="en-US" w:bidi="ar-SA"/>
              </w:rPr>
            </w:pPr>
            <w:r>
              <w:rPr>
                <w:rFonts w:hint="eastAsia" w:asciiTheme="minorEastAsia" w:hAnsiTheme="minorEastAsia" w:eastAsiaTheme="minorEastAsia" w:cstheme="minorEastAsia"/>
                <w:b/>
                <w:color w:val="auto"/>
                <w:sz w:val="24"/>
                <w:szCs w:val="24"/>
                <w:highlight w:val="none"/>
              </w:rPr>
              <w:t>电梯服务规范</w:t>
            </w:r>
          </w:p>
        </w:tc>
        <w:tc>
          <w:tcPr>
            <w:tcW w:w="4981" w:type="dxa"/>
            <w:vAlign w:val="top"/>
          </w:tcPr>
          <w:p w14:paraId="7C5B9991">
            <w:pPr>
              <w:pStyle w:val="68"/>
              <w:spacing w:before="82" w:line="360" w:lineRule="auto"/>
              <w:ind w:left="107" w:leftChars="0" w:right="91" w:rightChars="0"/>
              <w:jc w:val="both"/>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3"/>
                <w:sz w:val="24"/>
                <w:szCs w:val="24"/>
                <w:highlight w:val="none"/>
              </w:rPr>
              <w:t>礼貌用语，热情服务，不与乘客发生争吵</w:t>
            </w:r>
            <w:r>
              <w:rPr>
                <w:rFonts w:hint="eastAsia" w:asciiTheme="minorEastAsia" w:hAnsiTheme="minorEastAsia" w:eastAsiaTheme="minorEastAsia" w:cstheme="minorEastAsia"/>
                <w:color w:val="auto"/>
                <w:spacing w:val="2"/>
                <w:sz w:val="24"/>
                <w:szCs w:val="24"/>
                <w:highlight w:val="none"/>
              </w:rPr>
              <w:t xml:space="preserve">（4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1"/>
                <w:sz w:val="24"/>
                <w:szCs w:val="24"/>
                <w:highlight w:val="none"/>
              </w:rPr>
              <w:t>站立式服务，站姿端正，不依靠电梯</w:t>
            </w:r>
            <w:r>
              <w:rPr>
                <w:rFonts w:hint="eastAsia" w:asciiTheme="minorEastAsia" w:hAnsiTheme="minorEastAsia" w:eastAsiaTheme="minorEastAsia" w:cstheme="minorEastAsia"/>
                <w:color w:val="auto"/>
                <w:sz w:val="24"/>
                <w:szCs w:val="24"/>
                <w:highlight w:val="none"/>
              </w:rPr>
              <w:t>（2 分）；按规定值守，无违规脱岗（4</w:t>
            </w:r>
            <w:r>
              <w:rPr>
                <w:rFonts w:hint="eastAsia" w:asciiTheme="minorEastAsia" w:hAnsiTheme="minorEastAsia" w:eastAsiaTheme="minorEastAsia" w:cstheme="minorEastAsia"/>
                <w:color w:val="auto"/>
                <w:spacing w:val="-30"/>
                <w:sz w:val="24"/>
                <w:szCs w:val="24"/>
                <w:highlight w:val="none"/>
              </w:rPr>
              <w:t xml:space="preserve"> 分</w:t>
            </w:r>
            <w:r>
              <w:rPr>
                <w:rFonts w:hint="eastAsia" w:asciiTheme="minorEastAsia" w:hAnsiTheme="minorEastAsia" w:eastAsiaTheme="minorEastAsia" w:cstheme="minorEastAsia"/>
                <w:color w:val="auto"/>
                <w:sz w:val="24"/>
                <w:szCs w:val="24"/>
                <w:highlight w:val="none"/>
              </w:rPr>
              <w:t>）；</w:t>
            </w:r>
          </w:p>
        </w:tc>
        <w:tc>
          <w:tcPr>
            <w:tcW w:w="960" w:type="dxa"/>
            <w:vAlign w:val="top"/>
          </w:tcPr>
          <w:p w14:paraId="302ECAD4">
            <w:pPr>
              <w:pStyle w:val="68"/>
              <w:spacing w:line="360" w:lineRule="auto"/>
              <w:rPr>
                <w:rFonts w:hint="eastAsia" w:asciiTheme="minorEastAsia" w:hAnsiTheme="minorEastAsia" w:eastAsiaTheme="minorEastAsia" w:cstheme="minorEastAsia"/>
                <w:b/>
                <w:color w:val="auto"/>
                <w:sz w:val="24"/>
                <w:szCs w:val="24"/>
                <w:highlight w:val="none"/>
              </w:rPr>
            </w:pPr>
          </w:p>
          <w:p w14:paraId="50C453C2">
            <w:pPr>
              <w:pStyle w:val="68"/>
              <w:spacing w:before="11" w:line="360" w:lineRule="auto"/>
              <w:rPr>
                <w:rFonts w:hint="eastAsia" w:asciiTheme="minorEastAsia" w:hAnsiTheme="minorEastAsia" w:eastAsiaTheme="minorEastAsia" w:cstheme="minorEastAsia"/>
                <w:b/>
                <w:color w:val="auto"/>
                <w:sz w:val="24"/>
                <w:szCs w:val="24"/>
                <w:highlight w:val="none"/>
              </w:rPr>
            </w:pPr>
          </w:p>
          <w:p w14:paraId="70D59907">
            <w:pPr>
              <w:pStyle w:val="68"/>
              <w:spacing w:line="360" w:lineRule="auto"/>
              <w:ind w:right="348" w:rightChars="0"/>
              <w:jc w:val="right"/>
              <w:rPr>
                <w:rFonts w:hint="eastAsia" w:asciiTheme="minorEastAsia" w:hAnsiTheme="minorEastAsia" w:eastAsiaTheme="minorEastAsia" w:cstheme="minorEastAsia"/>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10</w:t>
            </w:r>
          </w:p>
        </w:tc>
        <w:tc>
          <w:tcPr>
            <w:tcW w:w="961" w:type="dxa"/>
            <w:vAlign w:val="top"/>
          </w:tcPr>
          <w:p w14:paraId="2365CC2C">
            <w:pPr>
              <w:pStyle w:val="68"/>
              <w:spacing w:line="360" w:lineRule="auto"/>
              <w:rPr>
                <w:rFonts w:hint="eastAsia" w:asciiTheme="minorEastAsia" w:hAnsiTheme="minorEastAsia" w:eastAsiaTheme="minorEastAsia" w:cstheme="minorEastAsia"/>
                <w:color w:val="auto"/>
                <w:kern w:val="0"/>
                <w:sz w:val="24"/>
                <w:szCs w:val="24"/>
                <w:highlight w:val="none"/>
                <w:lang w:val="en-US" w:eastAsia="en-US" w:bidi="ar-SA"/>
              </w:rPr>
            </w:pPr>
          </w:p>
        </w:tc>
        <w:tc>
          <w:tcPr>
            <w:tcW w:w="1426" w:type="dxa"/>
            <w:vAlign w:val="top"/>
          </w:tcPr>
          <w:p w14:paraId="08002D3B">
            <w:pPr>
              <w:pStyle w:val="68"/>
              <w:spacing w:line="360" w:lineRule="auto"/>
              <w:rPr>
                <w:rFonts w:hint="eastAsia" w:asciiTheme="minorEastAsia" w:hAnsiTheme="minorEastAsia" w:eastAsiaTheme="minorEastAsia" w:cstheme="minorEastAsia"/>
                <w:color w:val="auto"/>
                <w:kern w:val="0"/>
                <w:sz w:val="24"/>
                <w:szCs w:val="24"/>
                <w:highlight w:val="none"/>
                <w:lang w:val="en-US" w:eastAsia="en-US" w:bidi="ar-SA"/>
              </w:rPr>
            </w:pPr>
          </w:p>
        </w:tc>
      </w:tr>
      <w:tr w14:paraId="285B45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7" w:hRule="atLeast"/>
        </w:trPr>
        <w:tc>
          <w:tcPr>
            <w:tcW w:w="1174" w:type="dxa"/>
            <w:tcBorders>
              <w:top w:val="single" w:color="000000" w:sz="4" w:space="0"/>
              <w:left w:val="single" w:color="000000" w:sz="4" w:space="0"/>
              <w:bottom w:val="single" w:color="000000" w:sz="4" w:space="0"/>
              <w:right w:val="single" w:color="000000" w:sz="4" w:space="0"/>
            </w:tcBorders>
          </w:tcPr>
          <w:p w14:paraId="034DB724">
            <w:pPr>
              <w:pStyle w:val="68"/>
              <w:spacing w:line="360" w:lineRule="auto"/>
              <w:rPr>
                <w:rFonts w:hint="eastAsia" w:asciiTheme="minorEastAsia" w:hAnsiTheme="minorEastAsia" w:eastAsiaTheme="minorEastAsia" w:cstheme="minorEastAsia"/>
                <w:b/>
                <w:color w:val="auto"/>
                <w:sz w:val="24"/>
                <w:szCs w:val="24"/>
                <w:highlight w:val="none"/>
              </w:rPr>
            </w:pPr>
          </w:p>
          <w:p w14:paraId="364E9A5B">
            <w:pPr>
              <w:pStyle w:val="68"/>
              <w:spacing w:before="11" w:line="360" w:lineRule="auto"/>
              <w:rPr>
                <w:rFonts w:hint="eastAsia" w:asciiTheme="minorEastAsia" w:hAnsiTheme="minorEastAsia" w:eastAsiaTheme="minorEastAsia" w:cstheme="minorEastAsia"/>
                <w:b/>
                <w:color w:val="auto"/>
                <w:sz w:val="24"/>
                <w:szCs w:val="24"/>
                <w:highlight w:val="none"/>
              </w:rPr>
            </w:pPr>
          </w:p>
          <w:p w14:paraId="43F2CBF6">
            <w:pPr>
              <w:pStyle w:val="68"/>
              <w:spacing w:line="360" w:lineRule="auto"/>
              <w:ind w:left="468" w:right="213" w:hanging="24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电梯应急</w:t>
            </w:r>
          </w:p>
        </w:tc>
        <w:tc>
          <w:tcPr>
            <w:tcW w:w="4981" w:type="dxa"/>
            <w:tcBorders>
              <w:top w:val="single" w:color="000000" w:sz="4" w:space="0"/>
              <w:left w:val="single" w:color="000000" w:sz="4" w:space="0"/>
              <w:bottom w:val="single" w:color="000000" w:sz="4" w:space="0"/>
              <w:right w:val="single" w:color="000000" w:sz="4" w:space="0"/>
            </w:tcBorders>
          </w:tcPr>
          <w:p w14:paraId="37F01583">
            <w:pPr>
              <w:pStyle w:val="68"/>
              <w:spacing w:before="4" w:line="360" w:lineRule="auto"/>
              <w:rPr>
                <w:rFonts w:hint="eastAsia" w:asciiTheme="minorEastAsia" w:hAnsiTheme="minorEastAsia" w:eastAsiaTheme="minorEastAsia" w:cstheme="minorEastAsia"/>
                <w:b/>
                <w:color w:val="auto"/>
                <w:sz w:val="24"/>
                <w:szCs w:val="24"/>
                <w:highlight w:val="none"/>
              </w:rPr>
            </w:pPr>
          </w:p>
          <w:p w14:paraId="4D289544">
            <w:pPr>
              <w:pStyle w:val="68"/>
              <w:spacing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熟练掌握电梯的操作方法及应急的处理程序</w:t>
            </w:r>
          </w:p>
          <w:p w14:paraId="3BF78277">
            <w:pPr>
              <w:pStyle w:val="68"/>
              <w:spacing w:before="26" w:line="360" w:lineRule="auto"/>
              <w:ind w:left="107" w:right="-2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pacing w:val="-18"/>
                <w:sz w:val="24"/>
                <w:szCs w:val="24"/>
                <w:highlight w:val="none"/>
              </w:rPr>
              <w:t xml:space="preserve"> 分</w:t>
            </w:r>
            <w:r>
              <w:rPr>
                <w:rFonts w:hint="eastAsia" w:asciiTheme="minorEastAsia" w:hAnsiTheme="minorEastAsia" w:eastAsiaTheme="minorEastAsia" w:cstheme="minorEastAsia"/>
                <w:color w:val="auto"/>
                <w:sz w:val="24"/>
                <w:szCs w:val="24"/>
                <w:highlight w:val="none"/>
              </w:rPr>
              <w:t>）；出现电梯困人等紧急情况时，作好</w:t>
            </w:r>
            <w:r>
              <w:rPr>
                <w:rFonts w:hint="eastAsia" w:asciiTheme="minorEastAsia" w:hAnsiTheme="minorEastAsia" w:eastAsiaTheme="minorEastAsia" w:cstheme="minorEastAsia"/>
                <w:color w:val="auto"/>
                <w:spacing w:val="-4"/>
                <w:sz w:val="24"/>
                <w:szCs w:val="24"/>
                <w:highlight w:val="none"/>
              </w:rPr>
              <w:t>对乘客的解释和安慰工作，同时与电梯维保人</w:t>
            </w:r>
            <w:r>
              <w:rPr>
                <w:rFonts w:hint="eastAsia" w:asciiTheme="minorEastAsia" w:hAnsiTheme="minorEastAsia" w:eastAsiaTheme="minorEastAsia" w:cstheme="minorEastAsia"/>
                <w:color w:val="auto"/>
                <w:spacing w:val="-11"/>
                <w:sz w:val="24"/>
                <w:szCs w:val="24"/>
                <w:highlight w:val="none"/>
              </w:rPr>
              <w:t>员联系，按规定要求解救电梯被困人员</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pacing w:val="-30"/>
                <w:sz w:val="24"/>
                <w:szCs w:val="24"/>
                <w:highlight w:val="none"/>
              </w:rPr>
              <w:t xml:space="preserve"> 分</w:t>
            </w:r>
            <w:r>
              <w:rPr>
                <w:rFonts w:hint="eastAsia" w:asciiTheme="minorEastAsia" w:hAnsiTheme="minorEastAsia" w:eastAsiaTheme="minorEastAsia" w:cstheme="minorEastAsia"/>
                <w:color w:val="auto"/>
                <w:spacing w:val="-12"/>
                <w:sz w:val="24"/>
                <w:szCs w:val="24"/>
                <w:highlight w:val="none"/>
              </w:rPr>
              <w:t>）</w:t>
            </w:r>
          </w:p>
        </w:tc>
        <w:tc>
          <w:tcPr>
            <w:tcW w:w="960" w:type="dxa"/>
            <w:tcBorders>
              <w:top w:val="single" w:color="000000" w:sz="4" w:space="0"/>
              <w:left w:val="single" w:color="000000" w:sz="4" w:space="0"/>
              <w:bottom w:val="single" w:color="000000" w:sz="4" w:space="0"/>
              <w:right w:val="single" w:color="000000" w:sz="4" w:space="0"/>
            </w:tcBorders>
          </w:tcPr>
          <w:p w14:paraId="0B40F2F3">
            <w:pPr>
              <w:pStyle w:val="68"/>
              <w:spacing w:line="360" w:lineRule="auto"/>
              <w:rPr>
                <w:rFonts w:hint="eastAsia" w:asciiTheme="minorEastAsia" w:hAnsiTheme="minorEastAsia" w:eastAsiaTheme="minorEastAsia" w:cstheme="minorEastAsia"/>
                <w:b/>
                <w:color w:val="auto"/>
                <w:sz w:val="24"/>
                <w:szCs w:val="24"/>
                <w:highlight w:val="none"/>
              </w:rPr>
            </w:pPr>
          </w:p>
          <w:p w14:paraId="4AFB0B61">
            <w:pPr>
              <w:pStyle w:val="68"/>
              <w:spacing w:line="360" w:lineRule="auto"/>
              <w:rPr>
                <w:rFonts w:hint="eastAsia" w:asciiTheme="minorEastAsia" w:hAnsiTheme="minorEastAsia" w:eastAsiaTheme="minorEastAsia" w:cstheme="minorEastAsia"/>
                <w:b/>
                <w:color w:val="auto"/>
                <w:sz w:val="24"/>
                <w:szCs w:val="24"/>
                <w:highlight w:val="none"/>
              </w:rPr>
            </w:pPr>
          </w:p>
          <w:p w14:paraId="22ABB49A">
            <w:pPr>
              <w:pStyle w:val="68"/>
              <w:spacing w:before="2" w:line="360" w:lineRule="auto"/>
              <w:rPr>
                <w:rFonts w:hint="eastAsia" w:asciiTheme="minorEastAsia" w:hAnsiTheme="minorEastAsia" w:eastAsiaTheme="minorEastAsia" w:cstheme="minorEastAsia"/>
                <w:b/>
                <w:color w:val="auto"/>
                <w:sz w:val="24"/>
                <w:szCs w:val="24"/>
                <w:highlight w:val="none"/>
              </w:rPr>
            </w:pPr>
          </w:p>
          <w:p w14:paraId="7840147C">
            <w:pPr>
              <w:pStyle w:val="68"/>
              <w:spacing w:before="1" w:line="360" w:lineRule="auto"/>
              <w:ind w:right="408"/>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1" w:type="dxa"/>
            <w:tcBorders>
              <w:top w:val="single" w:color="000000" w:sz="4" w:space="0"/>
              <w:left w:val="single" w:color="000000" w:sz="4" w:space="0"/>
              <w:bottom w:val="single" w:color="000000" w:sz="4" w:space="0"/>
              <w:right w:val="single" w:color="000000" w:sz="4" w:space="0"/>
            </w:tcBorders>
          </w:tcPr>
          <w:p w14:paraId="6D7844A9">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5AEC9EAE">
            <w:pPr>
              <w:pStyle w:val="68"/>
              <w:spacing w:line="360" w:lineRule="auto"/>
              <w:rPr>
                <w:rFonts w:hint="eastAsia" w:asciiTheme="minorEastAsia" w:hAnsiTheme="minorEastAsia" w:eastAsiaTheme="minorEastAsia" w:cstheme="minorEastAsia"/>
                <w:color w:val="auto"/>
                <w:sz w:val="24"/>
                <w:szCs w:val="24"/>
                <w:highlight w:val="none"/>
              </w:rPr>
            </w:pPr>
          </w:p>
        </w:tc>
      </w:tr>
      <w:tr w14:paraId="6E5597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7" w:hRule="atLeast"/>
        </w:trPr>
        <w:tc>
          <w:tcPr>
            <w:tcW w:w="1174" w:type="dxa"/>
            <w:tcBorders>
              <w:top w:val="single" w:color="000000" w:sz="4" w:space="0"/>
              <w:left w:val="single" w:color="000000" w:sz="4" w:space="0"/>
              <w:bottom w:val="single" w:color="000000" w:sz="4" w:space="0"/>
              <w:right w:val="single" w:color="000000" w:sz="4" w:space="0"/>
            </w:tcBorders>
          </w:tcPr>
          <w:p w14:paraId="783D8687">
            <w:pPr>
              <w:pStyle w:val="68"/>
              <w:spacing w:line="360" w:lineRule="auto"/>
              <w:rPr>
                <w:rFonts w:hint="eastAsia" w:asciiTheme="minorEastAsia" w:hAnsiTheme="minorEastAsia" w:eastAsiaTheme="minorEastAsia" w:cstheme="minorEastAsia"/>
                <w:b/>
                <w:color w:val="auto"/>
                <w:sz w:val="24"/>
                <w:szCs w:val="24"/>
                <w:highlight w:val="none"/>
              </w:rPr>
            </w:pPr>
          </w:p>
          <w:p w14:paraId="1C80146D">
            <w:pPr>
              <w:pStyle w:val="68"/>
              <w:spacing w:before="11" w:line="360" w:lineRule="auto"/>
              <w:rPr>
                <w:rFonts w:hint="eastAsia" w:asciiTheme="minorEastAsia" w:hAnsiTheme="minorEastAsia" w:eastAsiaTheme="minorEastAsia" w:cstheme="minorEastAsia"/>
                <w:b/>
                <w:color w:val="auto"/>
                <w:sz w:val="24"/>
                <w:szCs w:val="24"/>
                <w:highlight w:val="none"/>
              </w:rPr>
            </w:pPr>
          </w:p>
          <w:p w14:paraId="4BA2308B">
            <w:pPr>
              <w:pStyle w:val="68"/>
              <w:spacing w:line="360" w:lineRule="auto"/>
              <w:ind w:left="225" w:right="21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日常秩序维护</w:t>
            </w:r>
          </w:p>
        </w:tc>
        <w:tc>
          <w:tcPr>
            <w:tcW w:w="4981" w:type="dxa"/>
            <w:tcBorders>
              <w:top w:val="single" w:color="000000" w:sz="4" w:space="0"/>
              <w:left w:val="single" w:color="000000" w:sz="4" w:space="0"/>
              <w:bottom w:val="single" w:color="000000" w:sz="4" w:space="0"/>
              <w:right w:val="single" w:color="000000" w:sz="4" w:space="0"/>
            </w:tcBorders>
          </w:tcPr>
          <w:p w14:paraId="4F2CC092">
            <w:pPr>
              <w:pStyle w:val="68"/>
              <w:spacing w:before="4" w:line="360" w:lineRule="auto"/>
              <w:rPr>
                <w:rFonts w:hint="eastAsia" w:asciiTheme="minorEastAsia" w:hAnsiTheme="minorEastAsia" w:eastAsiaTheme="minorEastAsia" w:cstheme="minorEastAsia"/>
                <w:b/>
                <w:color w:val="auto"/>
                <w:sz w:val="24"/>
                <w:szCs w:val="24"/>
                <w:highlight w:val="none"/>
              </w:rPr>
            </w:pPr>
          </w:p>
          <w:p w14:paraId="483BCFC6">
            <w:pPr>
              <w:pStyle w:val="68"/>
              <w:spacing w:line="360" w:lineRule="auto"/>
              <w:ind w:left="107" w:right="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各病区医疗秩序正常；发生干扰、破坏医院正常工作秩序或群体性事件时能迅速到达现场， 及时采取有效措施进行处置并上报主管部门</w:t>
            </w:r>
          </w:p>
          <w:p w14:paraId="3841C913">
            <w:pPr>
              <w:pStyle w:val="68"/>
              <w:spacing w:before="2" w:line="360" w:lineRule="auto"/>
              <w:ind w:left="10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（好 9-10 分、一般 6-8 分、差 0-5 分）</w:t>
            </w:r>
          </w:p>
        </w:tc>
        <w:tc>
          <w:tcPr>
            <w:tcW w:w="960" w:type="dxa"/>
            <w:tcBorders>
              <w:top w:val="single" w:color="000000" w:sz="4" w:space="0"/>
              <w:left w:val="single" w:color="000000" w:sz="4" w:space="0"/>
              <w:bottom w:val="single" w:color="000000" w:sz="4" w:space="0"/>
              <w:right w:val="single" w:color="000000" w:sz="4" w:space="0"/>
            </w:tcBorders>
          </w:tcPr>
          <w:p w14:paraId="5FB5CF4D">
            <w:pPr>
              <w:pStyle w:val="68"/>
              <w:spacing w:line="360" w:lineRule="auto"/>
              <w:rPr>
                <w:rFonts w:hint="eastAsia" w:asciiTheme="minorEastAsia" w:hAnsiTheme="minorEastAsia" w:eastAsiaTheme="minorEastAsia" w:cstheme="minorEastAsia"/>
                <w:b/>
                <w:color w:val="auto"/>
                <w:sz w:val="24"/>
                <w:szCs w:val="24"/>
                <w:highlight w:val="none"/>
              </w:rPr>
            </w:pPr>
          </w:p>
          <w:p w14:paraId="43B74642">
            <w:pPr>
              <w:pStyle w:val="68"/>
              <w:spacing w:line="360" w:lineRule="auto"/>
              <w:rPr>
                <w:rFonts w:hint="eastAsia" w:asciiTheme="minorEastAsia" w:hAnsiTheme="minorEastAsia" w:eastAsiaTheme="minorEastAsia" w:cstheme="minorEastAsia"/>
                <w:b/>
                <w:color w:val="auto"/>
                <w:sz w:val="24"/>
                <w:szCs w:val="24"/>
                <w:highlight w:val="none"/>
              </w:rPr>
            </w:pPr>
          </w:p>
          <w:p w14:paraId="6255E5D1">
            <w:pPr>
              <w:pStyle w:val="68"/>
              <w:spacing w:before="2" w:line="360" w:lineRule="auto"/>
              <w:rPr>
                <w:rFonts w:hint="eastAsia" w:asciiTheme="minorEastAsia" w:hAnsiTheme="minorEastAsia" w:eastAsiaTheme="minorEastAsia" w:cstheme="minorEastAsia"/>
                <w:b/>
                <w:color w:val="auto"/>
                <w:sz w:val="24"/>
                <w:szCs w:val="24"/>
                <w:highlight w:val="none"/>
              </w:rPr>
            </w:pPr>
          </w:p>
          <w:p w14:paraId="6BACBFE8">
            <w:pPr>
              <w:pStyle w:val="68"/>
              <w:spacing w:before="1" w:line="360" w:lineRule="auto"/>
              <w:ind w:right="348"/>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61" w:type="dxa"/>
            <w:tcBorders>
              <w:top w:val="single" w:color="000000" w:sz="4" w:space="0"/>
              <w:left w:val="single" w:color="000000" w:sz="4" w:space="0"/>
              <w:bottom w:val="single" w:color="000000" w:sz="4" w:space="0"/>
              <w:right w:val="single" w:color="000000" w:sz="4" w:space="0"/>
            </w:tcBorders>
          </w:tcPr>
          <w:p w14:paraId="766BEAA6">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641430AB">
            <w:pPr>
              <w:pStyle w:val="68"/>
              <w:spacing w:line="360" w:lineRule="auto"/>
              <w:rPr>
                <w:rFonts w:hint="eastAsia" w:asciiTheme="minorEastAsia" w:hAnsiTheme="minorEastAsia" w:eastAsiaTheme="minorEastAsia" w:cstheme="minorEastAsia"/>
                <w:color w:val="auto"/>
                <w:sz w:val="24"/>
                <w:szCs w:val="24"/>
                <w:highlight w:val="none"/>
              </w:rPr>
            </w:pPr>
          </w:p>
        </w:tc>
      </w:tr>
      <w:tr w14:paraId="1C57A2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0" w:hRule="atLeast"/>
        </w:trPr>
        <w:tc>
          <w:tcPr>
            <w:tcW w:w="1174" w:type="dxa"/>
            <w:tcBorders>
              <w:top w:val="single" w:color="000000" w:sz="4" w:space="0"/>
              <w:left w:val="single" w:color="000000" w:sz="4" w:space="0"/>
              <w:bottom w:val="single" w:color="000000" w:sz="4" w:space="0"/>
              <w:right w:val="single" w:color="000000" w:sz="4" w:space="0"/>
            </w:tcBorders>
          </w:tcPr>
          <w:p w14:paraId="2C7FBB46">
            <w:pPr>
              <w:pStyle w:val="68"/>
              <w:spacing w:line="360" w:lineRule="auto"/>
              <w:rPr>
                <w:rFonts w:hint="eastAsia" w:asciiTheme="minorEastAsia" w:hAnsiTheme="minorEastAsia" w:eastAsiaTheme="minorEastAsia" w:cstheme="minorEastAsia"/>
                <w:b/>
                <w:color w:val="auto"/>
                <w:sz w:val="24"/>
                <w:szCs w:val="24"/>
                <w:highlight w:val="none"/>
              </w:rPr>
            </w:pPr>
          </w:p>
          <w:p w14:paraId="46C0C8A8">
            <w:pPr>
              <w:pStyle w:val="68"/>
              <w:spacing w:line="360" w:lineRule="auto"/>
              <w:rPr>
                <w:rFonts w:hint="eastAsia" w:asciiTheme="minorEastAsia" w:hAnsiTheme="minorEastAsia" w:eastAsiaTheme="minorEastAsia" w:cstheme="minorEastAsia"/>
                <w:b/>
                <w:color w:val="auto"/>
                <w:sz w:val="24"/>
                <w:szCs w:val="24"/>
                <w:highlight w:val="none"/>
              </w:rPr>
            </w:pPr>
          </w:p>
          <w:p w14:paraId="1B096419">
            <w:pPr>
              <w:pStyle w:val="68"/>
              <w:spacing w:line="360" w:lineRule="auto"/>
              <w:ind w:left="225" w:right="21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日常秩序巡视</w:t>
            </w:r>
          </w:p>
        </w:tc>
        <w:tc>
          <w:tcPr>
            <w:tcW w:w="4981" w:type="dxa"/>
            <w:tcBorders>
              <w:top w:val="single" w:color="000000" w:sz="4" w:space="0"/>
              <w:left w:val="single" w:color="000000" w:sz="4" w:space="0"/>
              <w:bottom w:val="single" w:color="000000" w:sz="4" w:space="0"/>
              <w:right w:val="single" w:color="000000" w:sz="4" w:space="0"/>
            </w:tcBorders>
          </w:tcPr>
          <w:p w14:paraId="697511E4">
            <w:pPr>
              <w:pStyle w:val="68"/>
              <w:spacing w:before="6" w:line="360" w:lineRule="auto"/>
              <w:rPr>
                <w:rFonts w:hint="eastAsia" w:asciiTheme="minorEastAsia" w:hAnsiTheme="minorEastAsia" w:eastAsiaTheme="minorEastAsia" w:cstheme="minorEastAsia"/>
                <w:b/>
                <w:color w:val="auto"/>
                <w:sz w:val="24"/>
                <w:szCs w:val="24"/>
                <w:highlight w:val="none"/>
              </w:rPr>
            </w:pPr>
          </w:p>
          <w:p w14:paraId="32499BEC">
            <w:pPr>
              <w:pStyle w:val="68"/>
              <w:spacing w:line="360" w:lineRule="auto"/>
              <w:ind w:left="107" w:right="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按规定时间、规定路线着制服巡视、及时制止</w:t>
            </w:r>
            <w:r>
              <w:rPr>
                <w:rFonts w:hint="eastAsia" w:asciiTheme="minorEastAsia" w:hAnsiTheme="minorEastAsia" w:eastAsiaTheme="minorEastAsia" w:cstheme="minorEastAsia"/>
                <w:color w:val="auto"/>
                <w:spacing w:val="-7"/>
                <w:sz w:val="24"/>
                <w:szCs w:val="24"/>
                <w:highlight w:val="none"/>
              </w:rPr>
              <w:t>推销、发传单人员进入大楼，准确记载值勤发</w:t>
            </w:r>
            <w:r>
              <w:rPr>
                <w:rFonts w:hint="eastAsia" w:asciiTheme="minorEastAsia" w:hAnsiTheme="minorEastAsia" w:eastAsiaTheme="minorEastAsia" w:cstheme="minorEastAsia"/>
                <w:color w:val="auto"/>
                <w:spacing w:val="-3"/>
                <w:sz w:val="24"/>
                <w:szCs w:val="24"/>
                <w:highlight w:val="none"/>
              </w:rPr>
              <w:t>现的情况和处理结果，并向主管部门报告</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16"/>
                <w:sz w:val="24"/>
                <w:szCs w:val="24"/>
                <w:highlight w:val="none"/>
              </w:rPr>
              <w:t>好</w:t>
            </w:r>
          </w:p>
          <w:p w14:paraId="35217E7F">
            <w:pPr>
              <w:pStyle w:val="68"/>
              <w:spacing w:before="3" w:line="360" w:lineRule="auto"/>
              <w:ind w:left="10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分、一般 3-4 分、差 0-2 分）</w:t>
            </w:r>
          </w:p>
        </w:tc>
        <w:tc>
          <w:tcPr>
            <w:tcW w:w="960" w:type="dxa"/>
            <w:tcBorders>
              <w:top w:val="single" w:color="000000" w:sz="4" w:space="0"/>
              <w:left w:val="single" w:color="000000" w:sz="4" w:space="0"/>
              <w:bottom w:val="single" w:color="000000" w:sz="4" w:space="0"/>
              <w:right w:val="single" w:color="000000" w:sz="4" w:space="0"/>
            </w:tcBorders>
          </w:tcPr>
          <w:p w14:paraId="1EEC7A21">
            <w:pPr>
              <w:pStyle w:val="68"/>
              <w:spacing w:line="360" w:lineRule="auto"/>
              <w:rPr>
                <w:rFonts w:hint="eastAsia" w:asciiTheme="minorEastAsia" w:hAnsiTheme="minorEastAsia" w:eastAsiaTheme="minorEastAsia" w:cstheme="minorEastAsia"/>
                <w:b/>
                <w:color w:val="auto"/>
                <w:sz w:val="24"/>
                <w:szCs w:val="24"/>
                <w:highlight w:val="none"/>
              </w:rPr>
            </w:pPr>
          </w:p>
          <w:p w14:paraId="29517FB2">
            <w:pPr>
              <w:pStyle w:val="68"/>
              <w:spacing w:line="360" w:lineRule="auto"/>
              <w:rPr>
                <w:rFonts w:hint="eastAsia" w:asciiTheme="minorEastAsia" w:hAnsiTheme="minorEastAsia" w:eastAsiaTheme="minorEastAsia" w:cstheme="minorEastAsia"/>
                <w:b/>
                <w:color w:val="auto"/>
                <w:sz w:val="24"/>
                <w:szCs w:val="24"/>
                <w:highlight w:val="none"/>
              </w:rPr>
            </w:pPr>
          </w:p>
          <w:p w14:paraId="3C83D494">
            <w:pPr>
              <w:pStyle w:val="68"/>
              <w:spacing w:before="3" w:line="360" w:lineRule="auto"/>
              <w:rPr>
                <w:rFonts w:hint="eastAsia" w:asciiTheme="minorEastAsia" w:hAnsiTheme="minorEastAsia" w:eastAsiaTheme="minorEastAsia" w:cstheme="minorEastAsia"/>
                <w:b/>
                <w:color w:val="auto"/>
                <w:sz w:val="24"/>
                <w:szCs w:val="24"/>
                <w:highlight w:val="none"/>
              </w:rPr>
            </w:pPr>
          </w:p>
          <w:p w14:paraId="40F5FF96">
            <w:pPr>
              <w:pStyle w:val="68"/>
              <w:spacing w:line="360" w:lineRule="auto"/>
              <w:ind w:right="408"/>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1" w:type="dxa"/>
            <w:tcBorders>
              <w:top w:val="single" w:color="000000" w:sz="4" w:space="0"/>
              <w:left w:val="single" w:color="000000" w:sz="4" w:space="0"/>
              <w:bottom w:val="single" w:color="000000" w:sz="4" w:space="0"/>
              <w:right w:val="single" w:color="000000" w:sz="4" w:space="0"/>
            </w:tcBorders>
          </w:tcPr>
          <w:p w14:paraId="4A1AB156">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5891DD0E">
            <w:pPr>
              <w:pStyle w:val="68"/>
              <w:spacing w:line="360" w:lineRule="auto"/>
              <w:rPr>
                <w:rFonts w:hint="eastAsia" w:asciiTheme="minorEastAsia" w:hAnsiTheme="minorEastAsia" w:eastAsiaTheme="minorEastAsia" w:cstheme="minorEastAsia"/>
                <w:color w:val="auto"/>
                <w:sz w:val="24"/>
                <w:szCs w:val="24"/>
                <w:highlight w:val="none"/>
              </w:rPr>
            </w:pPr>
          </w:p>
        </w:tc>
      </w:tr>
      <w:tr w14:paraId="11AD73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9" w:hRule="atLeast"/>
        </w:trPr>
        <w:tc>
          <w:tcPr>
            <w:tcW w:w="1174" w:type="dxa"/>
            <w:tcBorders>
              <w:top w:val="single" w:color="000000" w:sz="4" w:space="0"/>
              <w:left w:val="single" w:color="000000" w:sz="4" w:space="0"/>
              <w:bottom w:val="single" w:color="000000" w:sz="4" w:space="0"/>
              <w:right w:val="single" w:color="000000" w:sz="4" w:space="0"/>
            </w:tcBorders>
          </w:tcPr>
          <w:p w14:paraId="300FEA33">
            <w:pPr>
              <w:pStyle w:val="68"/>
              <w:spacing w:line="360" w:lineRule="auto"/>
              <w:rPr>
                <w:rFonts w:hint="eastAsia" w:asciiTheme="minorEastAsia" w:hAnsiTheme="minorEastAsia" w:eastAsiaTheme="minorEastAsia" w:cstheme="minorEastAsia"/>
                <w:b/>
                <w:color w:val="auto"/>
                <w:sz w:val="24"/>
                <w:szCs w:val="24"/>
                <w:highlight w:val="none"/>
              </w:rPr>
            </w:pPr>
          </w:p>
          <w:p w14:paraId="6819CD11">
            <w:pPr>
              <w:pStyle w:val="68"/>
              <w:spacing w:before="160" w:line="360" w:lineRule="auto"/>
              <w:ind w:left="345" w:right="213" w:hanging="1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停车场管理</w:t>
            </w:r>
          </w:p>
        </w:tc>
        <w:tc>
          <w:tcPr>
            <w:tcW w:w="4981" w:type="dxa"/>
            <w:tcBorders>
              <w:top w:val="single" w:color="000000" w:sz="4" w:space="0"/>
              <w:left w:val="single" w:color="000000" w:sz="4" w:space="0"/>
              <w:bottom w:val="single" w:color="000000" w:sz="4" w:space="0"/>
              <w:right w:val="single" w:color="000000" w:sz="4" w:space="0"/>
            </w:tcBorders>
          </w:tcPr>
          <w:p w14:paraId="4068A471">
            <w:pPr>
              <w:pStyle w:val="68"/>
              <w:spacing w:before="4" w:line="360" w:lineRule="auto"/>
              <w:rPr>
                <w:rFonts w:hint="eastAsia" w:asciiTheme="minorEastAsia" w:hAnsiTheme="minorEastAsia" w:eastAsiaTheme="minorEastAsia" w:cstheme="minorEastAsia"/>
                <w:b/>
                <w:color w:val="auto"/>
                <w:sz w:val="24"/>
                <w:szCs w:val="24"/>
                <w:highlight w:val="none"/>
              </w:rPr>
            </w:pPr>
          </w:p>
          <w:p w14:paraId="0D6AC4CE">
            <w:pPr>
              <w:pStyle w:val="68"/>
              <w:spacing w:line="360" w:lineRule="auto"/>
              <w:ind w:left="107" w:right="3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维持车辆进出秩序、指挥机动车辆停靠、制止非机动车辆进入院内、保护停车场设施设备</w:t>
            </w:r>
          </w:p>
          <w:p w14:paraId="7BA5C089">
            <w:pPr>
              <w:pStyle w:val="68"/>
              <w:spacing w:before="1"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（好 5 分、一般 3-4 分、差 0-2 分）</w:t>
            </w:r>
          </w:p>
        </w:tc>
        <w:tc>
          <w:tcPr>
            <w:tcW w:w="960" w:type="dxa"/>
            <w:tcBorders>
              <w:top w:val="single" w:color="000000" w:sz="4" w:space="0"/>
              <w:left w:val="single" w:color="000000" w:sz="4" w:space="0"/>
              <w:bottom w:val="single" w:color="000000" w:sz="4" w:space="0"/>
              <w:right w:val="single" w:color="000000" w:sz="4" w:space="0"/>
            </w:tcBorders>
          </w:tcPr>
          <w:p w14:paraId="08E4EC93">
            <w:pPr>
              <w:pStyle w:val="68"/>
              <w:spacing w:line="360" w:lineRule="auto"/>
              <w:rPr>
                <w:rFonts w:hint="eastAsia" w:asciiTheme="minorEastAsia" w:hAnsiTheme="minorEastAsia" w:eastAsiaTheme="minorEastAsia" w:cstheme="minorEastAsia"/>
                <w:b/>
                <w:color w:val="auto"/>
                <w:sz w:val="24"/>
                <w:szCs w:val="24"/>
                <w:highlight w:val="none"/>
              </w:rPr>
            </w:pPr>
          </w:p>
          <w:p w14:paraId="1BD452B9">
            <w:pPr>
              <w:pStyle w:val="68"/>
              <w:spacing w:before="11" w:line="360" w:lineRule="auto"/>
              <w:rPr>
                <w:rFonts w:hint="eastAsia" w:asciiTheme="minorEastAsia" w:hAnsiTheme="minorEastAsia" w:eastAsiaTheme="minorEastAsia" w:cstheme="minorEastAsia"/>
                <w:b/>
                <w:color w:val="auto"/>
                <w:sz w:val="24"/>
                <w:szCs w:val="24"/>
                <w:highlight w:val="none"/>
              </w:rPr>
            </w:pPr>
          </w:p>
          <w:p w14:paraId="0052C972">
            <w:pPr>
              <w:pStyle w:val="68"/>
              <w:spacing w:line="360" w:lineRule="auto"/>
              <w:ind w:right="408"/>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1" w:type="dxa"/>
            <w:tcBorders>
              <w:top w:val="single" w:color="000000" w:sz="4" w:space="0"/>
              <w:left w:val="single" w:color="000000" w:sz="4" w:space="0"/>
              <w:bottom w:val="single" w:color="000000" w:sz="4" w:space="0"/>
              <w:right w:val="single" w:color="000000" w:sz="4" w:space="0"/>
            </w:tcBorders>
          </w:tcPr>
          <w:p w14:paraId="17A085B9">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728D190E">
            <w:pPr>
              <w:pStyle w:val="68"/>
              <w:spacing w:line="360" w:lineRule="auto"/>
              <w:rPr>
                <w:rFonts w:hint="eastAsia" w:asciiTheme="minorEastAsia" w:hAnsiTheme="minorEastAsia" w:eastAsiaTheme="minorEastAsia" w:cstheme="minorEastAsia"/>
                <w:color w:val="auto"/>
                <w:sz w:val="24"/>
                <w:szCs w:val="24"/>
                <w:highlight w:val="none"/>
              </w:rPr>
            </w:pPr>
          </w:p>
        </w:tc>
      </w:tr>
      <w:tr w14:paraId="690673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9" w:hRule="atLeast"/>
        </w:trPr>
        <w:tc>
          <w:tcPr>
            <w:tcW w:w="1174" w:type="dxa"/>
            <w:tcBorders>
              <w:left w:val="single" w:color="000000" w:sz="4" w:space="0"/>
              <w:bottom w:val="single" w:color="000000" w:sz="4" w:space="0"/>
              <w:right w:val="single" w:color="000000" w:sz="4" w:space="0"/>
            </w:tcBorders>
          </w:tcPr>
          <w:p w14:paraId="1214859F">
            <w:pPr>
              <w:pStyle w:val="68"/>
              <w:spacing w:line="360" w:lineRule="auto"/>
              <w:rPr>
                <w:rFonts w:hint="eastAsia" w:asciiTheme="minorEastAsia" w:hAnsiTheme="minorEastAsia" w:eastAsiaTheme="minorEastAsia" w:cstheme="minorEastAsia"/>
                <w:b/>
                <w:color w:val="auto"/>
                <w:sz w:val="24"/>
                <w:szCs w:val="24"/>
                <w:highlight w:val="none"/>
              </w:rPr>
            </w:pPr>
          </w:p>
          <w:p w14:paraId="2D396100">
            <w:pPr>
              <w:pStyle w:val="68"/>
              <w:spacing w:before="160" w:line="360" w:lineRule="auto"/>
              <w:ind w:left="225" w:right="21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消防设施维护</w:t>
            </w:r>
          </w:p>
        </w:tc>
        <w:tc>
          <w:tcPr>
            <w:tcW w:w="4981" w:type="dxa"/>
            <w:tcBorders>
              <w:left w:val="single" w:color="000000" w:sz="4" w:space="0"/>
              <w:bottom w:val="single" w:color="000000" w:sz="4" w:space="0"/>
              <w:right w:val="single" w:color="000000" w:sz="4" w:space="0"/>
            </w:tcBorders>
          </w:tcPr>
          <w:p w14:paraId="73F0AD7F">
            <w:pPr>
              <w:pStyle w:val="68"/>
              <w:spacing w:before="3" w:line="360" w:lineRule="auto"/>
              <w:rPr>
                <w:rFonts w:hint="eastAsia" w:asciiTheme="minorEastAsia" w:hAnsiTheme="minorEastAsia" w:eastAsiaTheme="minorEastAsia" w:cstheme="minorEastAsia"/>
                <w:b/>
                <w:color w:val="auto"/>
                <w:sz w:val="24"/>
                <w:szCs w:val="24"/>
                <w:highlight w:val="none"/>
              </w:rPr>
            </w:pPr>
          </w:p>
          <w:p w14:paraId="359CA141">
            <w:pPr>
              <w:pStyle w:val="68"/>
              <w:spacing w:before="1" w:line="360" w:lineRule="auto"/>
              <w:ind w:left="107" w:right="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防火、防盗、防爆炸、防破坏等防范措施落实到位；定期对各消防设施设备进行巡查维护</w:t>
            </w:r>
          </w:p>
          <w:p w14:paraId="4B21AB24">
            <w:pPr>
              <w:pStyle w:val="68"/>
              <w:spacing w:before="1" w:line="360" w:lineRule="auto"/>
              <w:ind w:left="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（好 9-10 分、一般 6-8 分、差 0-5 分）</w:t>
            </w:r>
          </w:p>
        </w:tc>
        <w:tc>
          <w:tcPr>
            <w:tcW w:w="960" w:type="dxa"/>
            <w:tcBorders>
              <w:left w:val="single" w:color="000000" w:sz="4" w:space="0"/>
              <w:bottom w:val="single" w:color="000000" w:sz="4" w:space="0"/>
              <w:right w:val="single" w:color="000000" w:sz="4" w:space="0"/>
            </w:tcBorders>
          </w:tcPr>
          <w:p w14:paraId="187870A9">
            <w:pPr>
              <w:pStyle w:val="68"/>
              <w:spacing w:line="360" w:lineRule="auto"/>
              <w:rPr>
                <w:rFonts w:hint="eastAsia" w:asciiTheme="minorEastAsia" w:hAnsiTheme="minorEastAsia" w:eastAsiaTheme="minorEastAsia" w:cstheme="minorEastAsia"/>
                <w:b/>
                <w:color w:val="auto"/>
                <w:sz w:val="24"/>
                <w:szCs w:val="24"/>
                <w:highlight w:val="none"/>
              </w:rPr>
            </w:pPr>
          </w:p>
          <w:p w14:paraId="700A787C">
            <w:pPr>
              <w:pStyle w:val="68"/>
              <w:spacing w:before="11" w:line="360" w:lineRule="auto"/>
              <w:rPr>
                <w:rFonts w:hint="eastAsia" w:asciiTheme="minorEastAsia" w:hAnsiTheme="minorEastAsia" w:eastAsiaTheme="minorEastAsia" w:cstheme="minorEastAsia"/>
                <w:b/>
                <w:color w:val="auto"/>
                <w:sz w:val="24"/>
                <w:szCs w:val="24"/>
                <w:highlight w:val="none"/>
              </w:rPr>
            </w:pPr>
          </w:p>
          <w:p w14:paraId="498117BF">
            <w:pPr>
              <w:pStyle w:val="68"/>
              <w:spacing w:line="360" w:lineRule="auto"/>
              <w:ind w:left="96"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61" w:type="dxa"/>
            <w:tcBorders>
              <w:left w:val="single" w:color="000000" w:sz="4" w:space="0"/>
              <w:bottom w:val="single" w:color="000000" w:sz="4" w:space="0"/>
              <w:right w:val="single" w:color="000000" w:sz="4" w:space="0"/>
            </w:tcBorders>
          </w:tcPr>
          <w:p w14:paraId="4AE566BC">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left w:val="single" w:color="000000" w:sz="4" w:space="0"/>
              <w:bottom w:val="single" w:color="000000" w:sz="4" w:space="0"/>
              <w:right w:val="single" w:color="000000" w:sz="4" w:space="0"/>
            </w:tcBorders>
          </w:tcPr>
          <w:p w14:paraId="00BBB596">
            <w:pPr>
              <w:pStyle w:val="68"/>
              <w:spacing w:line="360" w:lineRule="auto"/>
              <w:rPr>
                <w:rFonts w:hint="eastAsia" w:asciiTheme="minorEastAsia" w:hAnsiTheme="minorEastAsia" w:eastAsiaTheme="minorEastAsia" w:cstheme="minorEastAsia"/>
                <w:color w:val="auto"/>
                <w:sz w:val="24"/>
                <w:szCs w:val="24"/>
                <w:highlight w:val="none"/>
              </w:rPr>
            </w:pPr>
          </w:p>
        </w:tc>
      </w:tr>
      <w:tr w14:paraId="3F4556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155" w:type="dxa"/>
            <w:gridSpan w:val="2"/>
            <w:tcBorders>
              <w:top w:val="single" w:color="000000" w:sz="4" w:space="0"/>
              <w:left w:val="single" w:color="000000" w:sz="4" w:space="0"/>
              <w:bottom w:val="single" w:color="000000" w:sz="4" w:space="0"/>
              <w:right w:val="single" w:color="000000" w:sz="4" w:space="0"/>
            </w:tcBorders>
          </w:tcPr>
          <w:p w14:paraId="566FF443">
            <w:pPr>
              <w:pStyle w:val="68"/>
              <w:spacing w:line="360" w:lineRule="auto"/>
              <w:rPr>
                <w:rFonts w:hint="eastAsia" w:asciiTheme="minorEastAsia" w:hAnsiTheme="minorEastAsia" w:eastAsiaTheme="minorEastAsia" w:cstheme="minorEastAsia"/>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34B79EA">
            <w:pPr>
              <w:pStyle w:val="68"/>
              <w:spacing w:line="360" w:lineRule="auto"/>
              <w:ind w:left="96" w:right="87"/>
              <w:jc w:val="center"/>
              <w:rPr>
                <w:rFonts w:hint="eastAsia" w:asciiTheme="minorEastAsia" w:hAnsiTheme="minorEastAsia" w:eastAsiaTheme="minorEastAsia" w:cstheme="minorEastAsia"/>
                <w:color w:val="auto"/>
                <w:sz w:val="24"/>
                <w:szCs w:val="24"/>
                <w:highlight w:val="none"/>
              </w:rPr>
            </w:pPr>
          </w:p>
          <w:p w14:paraId="7D0BF5BA">
            <w:pPr>
              <w:pStyle w:val="68"/>
              <w:spacing w:line="360" w:lineRule="auto"/>
              <w:ind w:left="96"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961" w:type="dxa"/>
            <w:tcBorders>
              <w:top w:val="single" w:color="000000" w:sz="4" w:space="0"/>
              <w:left w:val="single" w:color="000000" w:sz="4" w:space="0"/>
              <w:bottom w:val="single" w:color="000000" w:sz="4" w:space="0"/>
              <w:right w:val="single" w:color="000000" w:sz="4" w:space="0"/>
            </w:tcBorders>
          </w:tcPr>
          <w:p w14:paraId="55CE83CA">
            <w:pPr>
              <w:pStyle w:val="68"/>
              <w:spacing w:line="360" w:lineRule="auto"/>
              <w:rPr>
                <w:rFonts w:hint="eastAsia" w:asciiTheme="minorEastAsia" w:hAnsiTheme="minorEastAsia" w:eastAsiaTheme="minorEastAsia" w:cstheme="minorEastAsia"/>
                <w:color w:val="auto"/>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2DC040C9">
            <w:pPr>
              <w:pStyle w:val="68"/>
              <w:spacing w:line="360" w:lineRule="auto"/>
              <w:rPr>
                <w:rFonts w:hint="eastAsia" w:asciiTheme="minorEastAsia" w:hAnsiTheme="minorEastAsia" w:eastAsiaTheme="minorEastAsia" w:cstheme="minorEastAsia"/>
                <w:color w:val="auto"/>
                <w:sz w:val="24"/>
                <w:szCs w:val="24"/>
                <w:highlight w:val="none"/>
              </w:rPr>
            </w:pPr>
          </w:p>
        </w:tc>
      </w:tr>
      <w:tr w14:paraId="5097C9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9502" w:type="dxa"/>
            <w:gridSpan w:val="5"/>
            <w:tcBorders>
              <w:top w:val="single" w:color="000000" w:sz="4" w:space="0"/>
              <w:left w:val="single" w:color="000000" w:sz="4" w:space="0"/>
              <w:bottom w:val="single" w:color="000000" w:sz="4" w:space="0"/>
              <w:right w:val="single" w:color="000000" w:sz="4" w:space="0"/>
            </w:tcBorders>
          </w:tcPr>
          <w:p w14:paraId="15051DA1">
            <w:pPr>
              <w:pStyle w:val="68"/>
              <w:spacing w:before="4" w:line="360" w:lineRule="auto"/>
              <w:rPr>
                <w:rFonts w:hint="eastAsia" w:asciiTheme="minorEastAsia" w:hAnsiTheme="minorEastAsia" w:eastAsiaTheme="minorEastAsia" w:cstheme="minorEastAsia"/>
                <w:b/>
                <w:color w:val="auto"/>
                <w:sz w:val="24"/>
                <w:szCs w:val="24"/>
                <w:highlight w:val="none"/>
              </w:rPr>
            </w:pPr>
          </w:p>
          <w:p w14:paraId="4EAD2C1F">
            <w:pPr>
              <w:pStyle w:val="68"/>
              <w:spacing w:line="360" w:lineRule="auto"/>
              <w:ind w:left="1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注：后附卫生保洁服务标准、电梯操作服务标准、安保服务标准。</w:t>
            </w:r>
          </w:p>
        </w:tc>
      </w:tr>
    </w:tbl>
    <w:p w14:paraId="7B65D355">
      <w:pPr>
        <w:keepNext w:val="0"/>
        <w:keepLines w:val="0"/>
        <w:widowControl/>
        <w:suppressLineNumbers w:val="0"/>
        <w:spacing w:line="240" w:lineRule="auto"/>
        <w:jc w:val="center"/>
        <w:rPr>
          <w:rFonts w:hint="eastAsia" w:asciiTheme="minorEastAsia" w:hAnsiTheme="minorEastAsia" w:eastAsiaTheme="minorEastAsia" w:cstheme="minorEastAsia"/>
          <w:b/>
          <w:bCs/>
          <w:color w:val="auto"/>
          <w:kern w:val="0"/>
          <w:sz w:val="24"/>
          <w:szCs w:val="24"/>
          <w:lang w:val="en-US" w:eastAsia="zh-CN" w:bidi="ar"/>
        </w:rPr>
      </w:pPr>
    </w:p>
    <w:p w14:paraId="660C41D2">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供应商应具备相关服务经验，承担过类似项目并获得业主方好评。投标人应根据项目 </w:t>
      </w:r>
    </w:p>
    <w:p w14:paraId="0BE59BC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需求制定服务方案，包括但不限于以下内容： </w:t>
      </w:r>
    </w:p>
    <w:p w14:paraId="7DCD137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（一）总体方案 </w:t>
      </w:r>
    </w:p>
    <w:p w14:paraId="3B217550">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1、对本项目概况的描述及管理重点难点的分析； </w:t>
      </w:r>
    </w:p>
    <w:p w14:paraId="720B5AF6">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2、对项目的服务标准，人员分布情况；</w:t>
      </w:r>
    </w:p>
    <w:p w14:paraId="59C8560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3、管理制度及岗位职责； </w:t>
      </w:r>
    </w:p>
    <w:p w14:paraId="6671686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4、现场物业标识及日常风险管理制度。 </w:t>
      </w:r>
    </w:p>
    <w:p w14:paraId="4A2F64B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（二）保洁服务方案 </w:t>
      </w:r>
    </w:p>
    <w:p w14:paraId="62C9DA1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1、保洁服务的分类及标准符合本项目实际情况； </w:t>
      </w:r>
    </w:p>
    <w:p w14:paraId="2BAD0852">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2、保洁服务的工作流程、生活垃圾分类管理等内容； </w:t>
      </w:r>
    </w:p>
    <w:p w14:paraId="4E90FBF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3、保洁服务的培训管理、清洁剂使用等内容。 </w:t>
      </w:r>
    </w:p>
    <w:p w14:paraId="1440AB0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（三）抗感染控制管理服务方案 </w:t>
      </w:r>
    </w:p>
    <w:p w14:paraId="2B4E6114">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1、医院感染的分类、医院感染管理制度； </w:t>
      </w:r>
    </w:p>
    <w:p w14:paraId="528CBF4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2、医院病区消毒灭菌与隔离操作要求、室内物体表面消毒、医院污物消毒处理、医院感染 </w:t>
      </w:r>
    </w:p>
    <w:p w14:paraId="3EC77C2F">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控制应急预案等。</w:t>
      </w:r>
    </w:p>
    <w:p w14:paraId="5ED291E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（四）疫情防控服务方案 </w:t>
      </w:r>
    </w:p>
    <w:p w14:paraId="1C3D179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1、对疫情防控管理目标及重点描述； </w:t>
      </w:r>
    </w:p>
    <w:p w14:paraId="4B17986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2、对日常预防性消毒工作的描述； </w:t>
      </w:r>
    </w:p>
    <w:p w14:paraId="0343BAF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3、对物业员工进出病区防护用品穿戴、病区物表消毒灭菌与隔离操作要求等内容。 </w:t>
      </w:r>
    </w:p>
    <w:p w14:paraId="4F4EE771">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（五）运送服务方案 </w:t>
      </w:r>
    </w:p>
    <w:p w14:paraId="3060BE7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1、运送服务分类及服务标准； </w:t>
      </w:r>
    </w:p>
    <w:p w14:paraId="3AF64B9B">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2、运送服务操作规程、管理规定、应急处置等内容。 </w:t>
      </w:r>
    </w:p>
    <w:p w14:paraId="0D7B886F">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（六）电梯操作服务方案 </w:t>
      </w:r>
    </w:p>
    <w:p w14:paraId="6EB38B8C">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1、电梯操作服务分类及服务标准； </w:t>
      </w:r>
    </w:p>
    <w:p w14:paraId="4328B73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2、电梯操作服务操作规程、管理规定、应急处置等内容。 </w:t>
      </w:r>
    </w:p>
    <w:p w14:paraId="6AEBE0B3">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（七）秩序维护服务方案 </w:t>
      </w:r>
    </w:p>
    <w:p w14:paraId="3C283412">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1、管理思路及服务标准； </w:t>
      </w:r>
    </w:p>
    <w:p w14:paraId="5CE03228">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2、秩序维护日常巡查及夜间巡逻要点、秩序维护员岗位职责、消防监控室管理、应急处置 </w:t>
      </w:r>
    </w:p>
    <w:p w14:paraId="27093CCD">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等内容。 </w:t>
      </w:r>
    </w:p>
    <w:p w14:paraId="51BCB7B7">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（八）物业服务质量保证措施 </w:t>
      </w:r>
    </w:p>
    <w:p w14:paraId="23EAA7F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1、总体方案：物业服务质量保证措施；</w:t>
      </w:r>
    </w:p>
    <w:p w14:paraId="55A03B38">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2、服务品质中包含的考核方案、管控体系、服务标准、实施计划等。 </w:t>
      </w:r>
    </w:p>
    <w:p w14:paraId="3110754A">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（九）物资装备方案 </w:t>
      </w:r>
    </w:p>
    <w:p w14:paraId="1678449E">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1、总体方案：物资装备方案，物资装备配置； </w:t>
      </w:r>
    </w:p>
    <w:p w14:paraId="41F9E3F2">
      <w:pPr>
        <w:keepNext w:val="0"/>
        <w:keepLines w:val="0"/>
        <w:widowControl/>
        <w:suppressLineNumbers w:val="0"/>
        <w:spacing w:line="360" w:lineRule="auto"/>
        <w:jc w:val="left"/>
        <w:rPr>
          <w:rStyle w:val="67"/>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
        </w:rPr>
        <w:t>2、合理化：物资装备配置，保洁设施设备保养及操作培训等制度规范。</w:t>
      </w:r>
      <w:r>
        <w:rPr>
          <w:rFonts w:hint="eastAsia" w:asciiTheme="minorEastAsia" w:hAnsiTheme="minorEastAsia" w:eastAsiaTheme="minorEastAsia" w:cstheme="minorEastAsia"/>
          <w:b/>
          <w:bCs/>
          <w:color w:val="auto"/>
          <w:kern w:val="0"/>
          <w:sz w:val="24"/>
          <w:szCs w:val="24"/>
          <w:lang w:val="en-US" w:eastAsia="zh-CN" w:bidi="ar"/>
        </w:rPr>
        <w:t xml:space="preserve"> </w:t>
      </w:r>
    </w:p>
    <w:p w14:paraId="0C786BD4">
      <w:pPr>
        <w:spacing w:after="156" w:line="360" w:lineRule="auto"/>
        <w:outlineLvl w:val="1"/>
        <w:rPr>
          <w:rStyle w:val="67"/>
          <w:rFonts w:hint="eastAsia" w:asciiTheme="minorEastAsia" w:hAnsiTheme="minorEastAsia" w:eastAsiaTheme="minorEastAsia" w:cstheme="minorEastAsia"/>
          <w:b/>
          <w:color w:val="auto"/>
          <w:sz w:val="24"/>
          <w:szCs w:val="24"/>
        </w:rPr>
      </w:pPr>
      <w:bookmarkStart w:id="317" w:name="_Toc103617835"/>
      <w:r>
        <w:rPr>
          <w:rStyle w:val="67"/>
          <w:rFonts w:hint="eastAsia" w:asciiTheme="minorEastAsia" w:hAnsiTheme="minorEastAsia" w:eastAsiaTheme="minorEastAsia" w:cstheme="minorEastAsia"/>
          <w:b/>
          <w:color w:val="auto"/>
          <w:sz w:val="24"/>
          <w:szCs w:val="24"/>
          <w:lang w:eastAsia="zh-CN"/>
        </w:rPr>
        <w:t>五</w:t>
      </w:r>
      <w:r>
        <w:rPr>
          <w:rStyle w:val="67"/>
          <w:rFonts w:hint="eastAsia" w:asciiTheme="minorEastAsia" w:hAnsiTheme="minorEastAsia" w:eastAsiaTheme="minorEastAsia" w:cstheme="minorEastAsia"/>
          <w:b/>
          <w:color w:val="auto"/>
          <w:sz w:val="24"/>
          <w:szCs w:val="24"/>
        </w:rPr>
        <w:t>、保密服务要求</w:t>
      </w:r>
      <w:bookmarkEnd w:id="317"/>
    </w:p>
    <w:p w14:paraId="18BB70D0">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1、投标人作为安保保洁管理单位，必须要求员工具备安全保密的基本知识，按照国家保密方面的有关法规，做好保密工作；</w:t>
      </w:r>
    </w:p>
    <w:p w14:paraId="72640196">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2、投标人人员拾到甲方具有秘密性的内部文件、资料，一律上交至采购人有关部门，由采购人负责废弃资料、文件定点存放、定时销毁；</w:t>
      </w:r>
    </w:p>
    <w:p w14:paraId="7ABF8C2C">
      <w:pPr>
        <w:spacing w:after="156" w:line="360" w:lineRule="auto"/>
        <w:outlineLvl w:val="1"/>
        <w:rPr>
          <w:rStyle w:val="67"/>
          <w:rFonts w:hint="eastAsia" w:asciiTheme="minorEastAsia" w:hAnsiTheme="minorEastAsia" w:eastAsiaTheme="minorEastAsia" w:cstheme="minorEastAsia"/>
          <w:b/>
          <w:color w:val="auto"/>
          <w:sz w:val="24"/>
          <w:szCs w:val="24"/>
        </w:rPr>
      </w:pPr>
      <w:bookmarkStart w:id="318" w:name="_Toc103617836"/>
      <w:r>
        <w:rPr>
          <w:rStyle w:val="67"/>
          <w:rFonts w:hint="eastAsia" w:asciiTheme="minorEastAsia" w:hAnsiTheme="minorEastAsia" w:eastAsiaTheme="minorEastAsia" w:cstheme="minorEastAsia"/>
          <w:b/>
          <w:color w:val="auto"/>
          <w:sz w:val="24"/>
          <w:szCs w:val="24"/>
          <w:lang w:eastAsia="zh-CN"/>
        </w:rPr>
        <w:t>六</w:t>
      </w:r>
      <w:r>
        <w:rPr>
          <w:rStyle w:val="67"/>
          <w:rFonts w:hint="eastAsia" w:asciiTheme="minorEastAsia" w:hAnsiTheme="minorEastAsia" w:eastAsiaTheme="minorEastAsia" w:cstheme="minorEastAsia"/>
          <w:b/>
          <w:color w:val="auto"/>
          <w:sz w:val="24"/>
          <w:szCs w:val="24"/>
        </w:rPr>
        <w:t>、保险</w:t>
      </w:r>
      <w:bookmarkEnd w:id="318"/>
    </w:p>
    <w:p w14:paraId="64CED903">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中标人必须为保安、保洁人员购买社会保险（养老、失业、医疗、生育及工伤保险）及意外伤害，费用包含在投标报价中。（投标人应提供书面承诺函）</w:t>
      </w:r>
    </w:p>
    <w:p w14:paraId="3D451A03">
      <w:pPr>
        <w:spacing w:after="156" w:line="360" w:lineRule="auto"/>
        <w:outlineLvl w:val="1"/>
        <w:rPr>
          <w:rStyle w:val="67"/>
          <w:rFonts w:hint="eastAsia" w:asciiTheme="minorEastAsia" w:hAnsiTheme="minorEastAsia" w:eastAsiaTheme="minorEastAsia" w:cstheme="minorEastAsia"/>
          <w:b/>
          <w:color w:val="auto"/>
          <w:sz w:val="24"/>
          <w:szCs w:val="24"/>
        </w:rPr>
      </w:pPr>
      <w:bookmarkStart w:id="319" w:name="_Toc103617837"/>
      <w:r>
        <w:rPr>
          <w:rStyle w:val="67"/>
          <w:rFonts w:hint="eastAsia" w:asciiTheme="minorEastAsia" w:hAnsiTheme="minorEastAsia" w:eastAsiaTheme="minorEastAsia" w:cstheme="minorEastAsia"/>
          <w:b/>
          <w:color w:val="auto"/>
          <w:sz w:val="24"/>
          <w:szCs w:val="24"/>
          <w:lang w:eastAsia="zh-CN"/>
        </w:rPr>
        <w:t>七</w:t>
      </w:r>
      <w:r>
        <w:rPr>
          <w:rStyle w:val="67"/>
          <w:rFonts w:hint="eastAsia" w:asciiTheme="minorEastAsia" w:hAnsiTheme="minorEastAsia" w:eastAsiaTheme="minorEastAsia" w:cstheme="minorEastAsia"/>
          <w:b/>
          <w:color w:val="auto"/>
          <w:sz w:val="24"/>
          <w:szCs w:val="24"/>
        </w:rPr>
        <w:t>、工资要求</w:t>
      </w:r>
      <w:bookmarkEnd w:id="319"/>
    </w:p>
    <w:p w14:paraId="5457E7A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从业人员月工资不得低于当地最低工资标准。服务期内因最低工资标准上调等其它相关政策性因素调整导致服务单位成本增加的，由投标人承担。（投标人应提供书面承诺函）</w:t>
      </w:r>
    </w:p>
    <w:p w14:paraId="3A1B3D8E">
      <w:pPr>
        <w:spacing w:after="156" w:line="360" w:lineRule="auto"/>
        <w:outlineLvl w:val="1"/>
        <w:rPr>
          <w:rStyle w:val="67"/>
          <w:rFonts w:hint="eastAsia" w:asciiTheme="minorEastAsia" w:hAnsiTheme="minorEastAsia" w:eastAsiaTheme="minorEastAsia" w:cstheme="minorEastAsia"/>
          <w:b/>
          <w:color w:val="auto"/>
          <w:sz w:val="24"/>
          <w:szCs w:val="24"/>
        </w:rPr>
      </w:pPr>
      <w:bookmarkStart w:id="320" w:name="_Toc103617838"/>
      <w:r>
        <w:rPr>
          <w:rStyle w:val="67"/>
          <w:rFonts w:hint="eastAsia" w:asciiTheme="minorEastAsia" w:hAnsiTheme="minorEastAsia" w:eastAsiaTheme="minorEastAsia" w:cstheme="minorEastAsia"/>
          <w:b/>
          <w:color w:val="auto"/>
          <w:sz w:val="24"/>
          <w:szCs w:val="24"/>
          <w:lang w:eastAsia="zh-CN"/>
        </w:rPr>
        <w:t>八</w:t>
      </w:r>
      <w:r>
        <w:rPr>
          <w:rStyle w:val="67"/>
          <w:rFonts w:hint="eastAsia" w:asciiTheme="minorEastAsia" w:hAnsiTheme="minorEastAsia" w:eastAsiaTheme="minorEastAsia" w:cstheme="minorEastAsia"/>
          <w:b/>
          <w:color w:val="auto"/>
          <w:sz w:val="24"/>
          <w:szCs w:val="24"/>
        </w:rPr>
        <w:t>、服务方案编制及其他要求</w:t>
      </w:r>
      <w:bookmarkEnd w:id="320"/>
    </w:p>
    <w:p w14:paraId="183C7543">
      <w:pPr>
        <w:tabs>
          <w:tab w:val="left" w:pos="180"/>
          <w:tab w:val="left" w:pos="1620"/>
        </w:tabs>
        <w:snapToGrid w:val="0"/>
        <w:spacing w:line="360" w:lineRule="auto"/>
        <w:ind w:firstLine="482" w:firstLineChars="200"/>
        <w:rPr>
          <w:rStyle w:val="67"/>
          <w:rFonts w:hint="eastAsia" w:asciiTheme="minorEastAsia" w:hAnsiTheme="minorEastAsia" w:eastAsiaTheme="minorEastAsia" w:cstheme="minorEastAsia"/>
          <w:b/>
          <w:color w:val="auto"/>
          <w:sz w:val="24"/>
          <w:szCs w:val="24"/>
        </w:rPr>
      </w:pPr>
      <w:r>
        <w:rPr>
          <w:rStyle w:val="67"/>
          <w:rFonts w:hint="eastAsia" w:asciiTheme="minorEastAsia" w:hAnsiTheme="minorEastAsia" w:eastAsiaTheme="minorEastAsia" w:cstheme="minorEastAsia"/>
          <w:b/>
          <w:color w:val="auto"/>
          <w:sz w:val="24"/>
          <w:szCs w:val="24"/>
        </w:rPr>
        <w:t>（一）服务方案</w:t>
      </w:r>
    </w:p>
    <w:p w14:paraId="76D97740">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投标人应编制科学、详细的针对本项目需求的一整套实施方案，方案中应分别针对环境卫生管理；保安、秩序管理；综合维护及巡查、应急管理等采购人交办的其他工作等方面进行编制包含但不限于以下内容：</w:t>
      </w:r>
    </w:p>
    <w:p w14:paraId="38323F34">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1、根据本项目特点和用途等因素确定物业服务方法。</w:t>
      </w:r>
    </w:p>
    <w:p w14:paraId="3018A18C">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2、人员配备及分工情况。</w:t>
      </w:r>
    </w:p>
    <w:p w14:paraId="43D47587">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3、制定服务标准与服务方法后，提出服务承诺和具体指标，列出具体落实措施。</w:t>
      </w:r>
    </w:p>
    <w:p w14:paraId="46A8A70E">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4、根据服务标准、服务方法及投标人实际情况，确定组织机构、人员配备，编制适合本物业服务的岗位责任制、运作方法等。</w:t>
      </w:r>
    </w:p>
    <w:p w14:paraId="0CB01990">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5、针对周边情况制定有针对性的日常管理措施。</w:t>
      </w:r>
    </w:p>
    <w:p w14:paraId="76CCA86F">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6、针对举办大型活动的安保、</w:t>
      </w:r>
      <w:r>
        <w:rPr>
          <w:rStyle w:val="67"/>
          <w:rFonts w:hint="eastAsia" w:asciiTheme="minorEastAsia" w:hAnsiTheme="minorEastAsia" w:eastAsiaTheme="minorEastAsia" w:cstheme="minorEastAsia"/>
          <w:color w:val="auto"/>
          <w:sz w:val="24"/>
          <w:szCs w:val="24"/>
          <w:lang w:eastAsia="zh-CN"/>
        </w:rPr>
        <w:t>保洁</w:t>
      </w:r>
      <w:r>
        <w:rPr>
          <w:rStyle w:val="67"/>
          <w:rFonts w:hint="eastAsia" w:asciiTheme="minorEastAsia" w:hAnsiTheme="minorEastAsia" w:eastAsiaTheme="minorEastAsia" w:cstheme="minorEastAsia"/>
          <w:color w:val="auto"/>
          <w:sz w:val="24"/>
          <w:szCs w:val="24"/>
        </w:rPr>
        <w:t>等服务保障措施以及人员储备调配措施。</w:t>
      </w:r>
    </w:p>
    <w:p w14:paraId="3F5D249E">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7、人防与技防管理措施。</w:t>
      </w:r>
    </w:p>
    <w:p w14:paraId="14BA113D">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8、节能降耗管理措施。</w:t>
      </w:r>
    </w:p>
    <w:p w14:paraId="480118E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9、突发事件应急预案及措施。</w:t>
      </w:r>
    </w:p>
    <w:p w14:paraId="0CE7AB69">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10、提出各种有特色的服务及管理设想和提升物业服务水平的措施。</w:t>
      </w:r>
    </w:p>
    <w:p w14:paraId="038C1B41">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11、费用测算明细</w:t>
      </w:r>
    </w:p>
    <w:p w14:paraId="7B4750FA">
      <w:pPr>
        <w:tabs>
          <w:tab w:val="left" w:pos="180"/>
          <w:tab w:val="left" w:pos="1620"/>
        </w:tabs>
        <w:snapToGrid w:val="0"/>
        <w:spacing w:line="360" w:lineRule="auto"/>
        <w:ind w:firstLine="482" w:firstLineChars="200"/>
        <w:rPr>
          <w:rStyle w:val="67"/>
          <w:rFonts w:hint="eastAsia" w:asciiTheme="minorEastAsia" w:hAnsiTheme="minorEastAsia" w:eastAsiaTheme="minorEastAsia" w:cstheme="minorEastAsia"/>
          <w:b/>
          <w:color w:val="auto"/>
          <w:sz w:val="24"/>
          <w:szCs w:val="24"/>
        </w:rPr>
      </w:pPr>
      <w:r>
        <w:rPr>
          <w:rStyle w:val="67"/>
          <w:rFonts w:hint="eastAsia" w:asciiTheme="minorEastAsia" w:hAnsiTheme="minorEastAsia" w:eastAsiaTheme="minorEastAsia" w:cstheme="minorEastAsia"/>
          <w:b/>
          <w:color w:val="auto"/>
          <w:sz w:val="24"/>
          <w:szCs w:val="24"/>
        </w:rPr>
        <w:t>（二）其他</w:t>
      </w:r>
    </w:p>
    <w:p w14:paraId="3719653A">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1、必须提供物业服务质量要求和相应措施的说明。</w:t>
      </w:r>
    </w:p>
    <w:p w14:paraId="7FF91B62">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2、投标人可针对采购人的特点提出合理、可行的特约服务条款。</w:t>
      </w:r>
    </w:p>
    <w:p w14:paraId="08F1BED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3、安全、卫生、设施设备及各项物业管理档案资料是物业服务与管理的重要资源，安全保卫档案资料要保证完整，各项安全记录、隐患整改记录、运行记录、故障记录、统计分析等都应纳入档案管理，以便应用于指导实际工作。</w:t>
      </w:r>
    </w:p>
    <w:p w14:paraId="5C223A84">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4、招标文件描述未尽内容，由双方在签订合同时补充完善。</w:t>
      </w:r>
    </w:p>
    <w:p w14:paraId="6A9259A9">
      <w:pPr>
        <w:spacing w:after="156" w:line="360" w:lineRule="auto"/>
        <w:outlineLvl w:val="1"/>
        <w:rPr>
          <w:rStyle w:val="67"/>
          <w:rFonts w:hint="eastAsia" w:asciiTheme="minorEastAsia" w:hAnsiTheme="minorEastAsia" w:eastAsiaTheme="minorEastAsia" w:cstheme="minorEastAsia"/>
          <w:b/>
          <w:color w:val="auto"/>
          <w:sz w:val="24"/>
          <w:szCs w:val="24"/>
        </w:rPr>
      </w:pPr>
      <w:bookmarkStart w:id="321" w:name="_Toc103617839"/>
      <w:r>
        <w:rPr>
          <w:rStyle w:val="67"/>
          <w:rFonts w:hint="eastAsia" w:asciiTheme="minorEastAsia" w:hAnsiTheme="minorEastAsia" w:eastAsiaTheme="minorEastAsia" w:cstheme="minorEastAsia"/>
          <w:b/>
          <w:color w:val="auto"/>
          <w:sz w:val="24"/>
          <w:szCs w:val="24"/>
          <w:lang w:val="en-US" w:eastAsia="zh-CN"/>
        </w:rPr>
        <w:t>九</w:t>
      </w:r>
      <w:r>
        <w:rPr>
          <w:rStyle w:val="67"/>
          <w:rFonts w:hint="eastAsia" w:asciiTheme="minorEastAsia" w:hAnsiTheme="minorEastAsia" w:eastAsiaTheme="minorEastAsia" w:cstheme="minorEastAsia"/>
          <w:b/>
          <w:color w:val="auto"/>
          <w:sz w:val="24"/>
          <w:szCs w:val="24"/>
        </w:rPr>
        <w:t>、其他要求</w:t>
      </w:r>
      <w:bookmarkEnd w:id="321"/>
    </w:p>
    <w:p w14:paraId="1DC483F9">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1、中标人须提供保洁服务所需服装、工具、耗材（拖把、尘推、扫帚、水桶、抹布、清洁剂，消毒液等）。低值易耗品及清洁用品设备要保质保量，能够确保清洁的质量。清洁剂、消毒液需提供品牌产品，如蓝月亮，威猛先生，超宝，84等；在入场时，需一次性将所需的工具、耗材、清洁用品交由采购人（采购方）验收保管并登记；需为安保人员配发制服、警棍、手电筒、巡查日志及来访登记本等安保用品，负责督促安保人员做好来访登记和巡查工作。</w:t>
      </w:r>
    </w:p>
    <w:p w14:paraId="3FF8D653">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2、中标人需制定完整、科学、合理、可行的保安保洁服务质量标准及措施，每月月底对从业人员的工作质量</w:t>
      </w:r>
      <w:r>
        <w:rPr>
          <w:rStyle w:val="67"/>
          <w:rFonts w:hint="eastAsia" w:asciiTheme="minorEastAsia" w:hAnsiTheme="minorEastAsia" w:eastAsiaTheme="minorEastAsia" w:cstheme="minorEastAsia"/>
          <w:color w:val="auto"/>
          <w:sz w:val="24"/>
          <w:szCs w:val="24"/>
          <w:lang w:eastAsia="zh-CN"/>
        </w:rPr>
        <w:t>等</w:t>
      </w:r>
      <w:r>
        <w:rPr>
          <w:rStyle w:val="67"/>
          <w:rFonts w:hint="eastAsia" w:asciiTheme="minorEastAsia" w:hAnsiTheme="minorEastAsia" w:eastAsiaTheme="minorEastAsia" w:cstheme="minorEastAsia"/>
          <w:color w:val="auto"/>
          <w:sz w:val="24"/>
          <w:szCs w:val="24"/>
        </w:rPr>
        <w:t>进行全面考核，并由所派驻单位负责人确认签字，汇总后作为结算依据。</w:t>
      </w:r>
    </w:p>
    <w:p w14:paraId="6543CB1F">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3、为提升从业人员职业素质，解决工作中出现的各类问题，中标人应每月对外包人员进行一次业务技能培训或交心谈心活动，并形成文字记录报采购人（采购方）作为考核及结算依据。</w:t>
      </w:r>
    </w:p>
    <w:p w14:paraId="67C48791">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4、招标文件中要求的安保、保洁人员为最低人数要求，实际用工情况由采购人根绝实际需求确定，中标人在履行合同过程中如未达到标书中承诺的最低人数要求，采购人（采购方）有权要求中标人限期整改，两次整改仍不能改正的，采购方可用通知方式解除合同。</w:t>
      </w:r>
    </w:p>
    <w:p w14:paraId="13C00112">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5、安保员、保洁员必须定期进行身体检查，并将体检结果报派驻单位存档，有严重传染病及不符合国家卫生防疫和服务行业要求的病患者不得上岗。（投标人应提供书面承诺函）</w:t>
      </w:r>
    </w:p>
    <w:p w14:paraId="399DA3EB">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b w:val="0"/>
          <w:bCs/>
          <w:color w:val="auto"/>
          <w:sz w:val="24"/>
          <w:szCs w:val="24"/>
        </w:rPr>
      </w:pPr>
      <w:r>
        <w:rPr>
          <w:rStyle w:val="67"/>
          <w:rFonts w:hint="eastAsia" w:asciiTheme="minorEastAsia" w:hAnsiTheme="minorEastAsia" w:eastAsiaTheme="minorEastAsia" w:cstheme="minorEastAsia"/>
          <w:b w:val="0"/>
          <w:bCs/>
          <w:color w:val="auto"/>
          <w:sz w:val="24"/>
          <w:szCs w:val="24"/>
        </w:rPr>
        <w:t>6、进场时间：合同签订后 7个日历天内完成本项目的服务人员、设备进场并开始服务工作。</w:t>
      </w:r>
    </w:p>
    <w:p w14:paraId="3C9BA8A9">
      <w:pPr>
        <w:tabs>
          <w:tab w:val="left" w:pos="180"/>
          <w:tab w:val="left" w:pos="1620"/>
        </w:tabs>
        <w:snapToGrid w:val="0"/>
        <w:spacing w:line="360" w:lineRule="auto"/>
        <w:ind w:firstLine="480" w:firstLineChars="200"/>
        <w:rPr>
          <w:rStyle w:val="67"/>
          <w:rFonts w:hint="eastAsia" w:asciiTheme="minorEastAsia" w:hAnsiTheme="minorEastAsia" w:eastAsiaTheme="minorEastAsia" w:cstheme="minorEastAsia"/>
          <w:color w:val="auto"/>
          <w:sz w:val="24"/>
          <w:szCs w:val="24"/>
        </w:rPr>
      </w:pPr>
      <w:r>
        <w:rPr>
          <w:rStyle w:val="67"/>
          <w:rFonts w:hint="eastAsia" w:asciiTheme="minorEastAsia" w:hAnsiTheme="minorEastAsia" w:eastAsiaTheme="minorEastAsia" w:cstheme="minorEastAsia"/>
          <w:color w:val="auto"/>
          <w:sz w:val="24"/>
          <w:szCs w:val="24"/>
        </w:rPr>
        <w:t>7、投标人应保证所供的服务指标符合国家有关标准及采购人的要求。</w:t>
      </w:r>
    </w:p>
    <w:p w14:paraId="615648A0">
      <w:pPr>
        <w:pStyle w:val="2"/>
        <w:ind w:firstLine="480" w:firstLineChars="200"/>
        <w:rPr>
          <w:rFonts w:hint="eastAsia"/>
          <w:b w:val="0"/>
          <w:bCs w:val="0"/>
          <w:color w:val="auto"/>
        </w:rPr>
      </w:pPr>
      <w:r>
        <w:rPr>
          <w:rFonts w:hint="eastAsia"/>
          <w:b w:val="0"/>
          <w:bCs w:val="0"/>
          <w:color w:val="auto"/>
          <w:sz w:val="24"/>
          <w:lang w:val="en-US" w:eastAsia="zh-CN"/>
        </w:rPr>
        <w:t>8、</w:t>
      </w:r>
      <w:r>
        <w:rPr>
          <w:b w:val="0"/>
          <w:bCs w:val="0"/>
          <w:color w:val="auto"/>
          <w:sz w:val="24"/>
        </w:rPr>
        <w:t>供应商须具备在有效期内的相关行政主管部门颁发的《保安服务许可证》；</w:t>
      </w:r>
      <w:r>
        <w:rPr>
          <w:b w:val="0"/>
          <w:bCs w:val="0"/>
          <w:color w:val="auto"/>
          <w:sz w:val="22"/>
        </w:rPr>
        <w:t>具</w:t>
      </w:r>
      <w:r>
        <w:rPr>
          <w:b w:val="0"/>
          <w:bCs w:val="0"/>
          <w:color w:val="auto"/>
          <w:spacing w:val="-3"/>
          <w:sz w:val="22"/>
        </w:rPr>
        <w:t>有有效期内的《劳务派遣经营许可证》</w:t>
      </w:r>
      <w:r>
        <w:rPr>
          <w:rFonts w:hint="eastAsia"/>
          <w:b w:val="0"/>
          <w:bCs w:val="0"/>
          <w:color w:val="auto"/>
          <w:spacing w:val="-3"/>
          <w:sz w:val="22"/>
          <w:lang w:eastAsia="zh-CN"/>
        </w:rPr>
        <w:t>；</w:t>
      </w:r>
    </w:p>
    <w:p w14:paraId="4E917374">
      <w:pPr>
        <w:tabs>
          <w:tab w:val="left" w:pos="180"/>
          <w:tab w:val="left" w:pos="1620"/>
        </w:tabs>
        <w:snapToGrid w:val="0"/>
        <w:spacing w:line="360" w:lineRule="auto"/>
        <w:ind w:firstLine="480" w:firstLineChars="200"/>
        <w:rPr>
          <w:rStyle w:val="67"/>
          <w:rFonts w:hint="eastAsia" w:ascii="仿宋" w:hAnsi="仿宋" w:eastAsia="仿宋" w:cs="仿宋"/>
          <w:color w:val="auto"/>
          <w:sz w:val="24"/>
          <w:szCs w:val="24"/>
        </w:rPr>
      </w:pPr>
      <w:r>
        <w:rPr>
          <w:rStyle w:val="67"/>
          <w:rFonts w:hint="eastAsia" w:asciiTheme="minorEastAsia" w:hAnsiTheme="minorEastAsia" w:eastAsiaTheme="minorEastAsia" w:cstheme="minorEastAsia"/>
          <w:color w:val="auto"/>
          <w:sz w:val="24"/>
          <w:szCs w:val="24"/>
          <w:lang w:val="en-US" w:eastAsia="zh-CN"/>
        </w:rPr>
        <w:t>9</w:t>
      </w:r>
      <w:r>
        <w:rPr>
          <w:rStyle w:val="67"/>
          <w:rFonts w:hint="eastAsia" w:asciiTheme="minorEastAsia" w:hAnsiTheme="minorEastAsia" w:eastAsiaTheme="minorEastAsia" w:cstheme="minorEastAsia"/>
          <w:color w:val="auto"/>
          <w:sz w:val="24"/>
          <w:szCs w:val="24"/>
        </w:rPr>
        <w:t>、合同履行过程中，出现人身伤亡事故的，全部责任由投标人承担，采购人不承担任何经济及法律连带责任。</w:t>
      </w:r>
    </w:p>
    <w:p w14:paraId="0B85A91F">
      <w:pPr>
        <w:pStyle w:val="2"/>
        <w:rPr>
          <w:color w:val="auto"/>
        </w:rPr>
      </w:pPr>
    </w:p>
    <w:p w14:paraId="4D8C623D">
      <w:pPr>
        <w:rPr>
          <w:color w:val="auto"/>
        </w:rPr>
      </w:pPr>
    </w:p>
    <w:p w14:paraId="54356682">
      <w:pPr>
        <w:pStyle w:val="2"/>
        <w:rPr>
          <w:color w:val="auto"/>
        </w:rPr>
      </w:pPr>
    </w:p>
    <w:p w14:paraId="27785D1B">
      <w:pPr>
        <w:rPr>
          <w:color w:val="auto"/>
        </w:rPr>
      </w:pPr>
    </w:p>
    <w:p w14:paraId="2ADD61FE">
      <w:pPr>
        <w:pStyle w:val="2"/>
        <w:rPr>
          <w:color w:val="auto"/>
        </w:rPr>
      </w:pPr>
    </w:p>
    <w:p w14:paraId="312516C5">
      <w:pPr>
        <w:rPr>
          <w:color w:val="auto"/>
        </w:rPr>
      </w:pPr>
    </w:p>
    <w:p w14:paraId="4B752700">
      <w:pPr>
        <w:pStyle w:val="2"/>
        <w:rPr>
          <w:color w:val="auto"/>
        </w:rPr>
      </w:pPr>
    </w:p>
    <w:p w14:paraId="0BD9FA53">
      <w:pPr>
        <w:rPr>
          <w:color w:val="auto"/>
        </w:rPr>
      </w:pPr>
    </w:p>
    <w:p w14:paraId="2BCA5013">
      <w:pPr>
        <w:rPr>
          <w:color w:val="auto"/>
        </w:rPr>
      </w:pPr>
    </w:p>
    <w:p w14:paraId="2369DFF3">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322" w:name="_Toc122527540"/>
      <w:r>
        <w:rPr>
          <w:rFonts w:hint="eastAsia"/>
          <w:color w:val="auto"/>
          <w:sz w:val="36"/>
          <w:szCs w:val="36"/>
        </w:rPr>
        <w:t>评审</w:t>
      </w:r>
      <w:bookmarkEnd w:id="307"/>
      <w:bookmarkEnd w:id="308"/>
      <w:bookmarkEnd w:id="309"/>
      <w:bookmarkEnd w:id="310"/>
      <w:bookmarkEnd w:id="311"/>
      <w:bookmarkEnd w:id="312"/>
      <w:bookmarkEnd w:id="313"/>
      <w:r>
        <w:rPr>
          <w:rFonts w:hint="eastAsia"/>
          <w:color w:val="auto"/>
          <w:sz w:val="36"/>
          <w:szCs w:val="36"/>
        </w:rPr>
        <w:t>办法</w:t>
      </w:r>
      <w:bookmarkEnd w:id="314"/>
      <w:bookmarkEnd w:id="315"/>
      <w:bookmarkEnd w:id="322"/>
    </w:p>
    <w:p w14:paraId="1F459942">
      <w:pPr>
        <w:pStyle w:val="2"/>
        <w:numPr>
          <w:ilvl w:val="0"/>
          <w:numId w:val="44"/>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3" w:name="_Toc102056241"/>
      <w:bookmarkStart w:id="324" w:name="_Toc117244363"/>
      <w:bookmarkStart w:id="325" w:name="_Toc102116045"/>
      <w:bookmarkStart w:id="326" w:name="_Toc102057741"/>
      <w:bookmarkStart w:id="327" w:name="_Toc102116175"/>
      <w:bookmarkStart w:id="328" w:name="_Toc511894517"/>
      <w:bookmarkStart w:id="329" w:name="_Toc117244478"/>
      <w:bookmarkStart w:id="330" w:name="_Toc102114943"/>
      <w:bookmarkStart w:id="331" w:name="_Toc102119876"/>
      <w:bookmarkStart w:id="332" w:name="_Toc494561961"/>
      <w:bookmarkStart w:id="333" w:name="_Toc122527541"/>
      <w:r>
        <w:rPr>
          <w:rFonts w:hint="eastAsia" w:ascii="宋体" w:hAnsi="宋体" w:eastAsia="宋体" w:cs="Times New Roman"/>
          <w:bCs w:val="0"/>
          <w:color w:val="auto"/>
          <w:sz w:val="28"/>
          <w:szCs w:val="28"/>
          <w:lang w:val="zh-CN"/>
        </w:rPr>
        <w:t>评审方法</w:t>
      </w:r>
      <w:bookmarkEnd w:id="323"/>
      <w:bookmarkEnd w:id="324"/>
      <w:bookmarkEnd w:id="325"/>
      <w:bookmarkEnd w:id="326"/>
      <w:bookmarkEnd w:id="327"/>
      <w:bookmarkEnd w:id="328"/>
      <w:bookmarkEnd w:id="329"/>
      <w:bookmarkEnd w:id="330"/>
      <w:bookmarkEnd w:id="331"/>
      <w:bookmarkEnd w:id="332"/>
      <w:bookmarkEnd w:id="333"/>
    </w:p>
    <w:p w14:paraId="5CE36825">
      <w:pPr>
        <w:wordWrap w:val="0"/>
        <w:spacing w:line="360" w:lineRule="auto"/>
        <w:ind w:firstLine="480" w:firstLineChars="200"/>
        <w:rPr>
          <w:bCs/>
          <w:color w:val="auto"/>
          <w:lang w:val="zh-CN"/>
        </w:rPr>
      </w:pPr>
      <w:r>
        <w:rPr>
          <w:rFonts w:hint="eastAsia"/>
          <w:color w:val="auto"/>
          <w:szCs w:val="21"/>
        </w:rPr>
        <w:t>本项目采用综合评分法。综合评分</w:t>
      </w:r>
      <w:r>
        <w:rPr>
          <w:color w:val="auto"/>
          <w:szCs w:val="21"/>
        </w:rPr>
        <w:t>法</w:t>
      </w:r>
      <w:r>
        <w:rPr>
          <w:rFonts w:hint="eastAsia"/>
          <w:color w:val="auto"/>
          <w:szCs w:val="21"/>
        </w:rPr>
        <w:t>是指</w:t>
      </w:r>
      <w:bookmarkStart w:id="334" w:name="_Toc278891606"/>
      <w:bookmarkStart w:id="335" w:name="_Toc272247709"/>
      <w:bookmarkStart w:id="336" w:name="_Toc511894518"/>
      <w:bookmarkStart w:id="337" w:name="_Toc494561962"/>
      <w:r>
        <w:rPr>
          <w:rFonts w:hint="eastAsia"/>
          <w:color w:val="auto"/>
          <w:szCs w:val="21"/>
        </w:rPr>
        <w:t>经磋商确定最终采购需求和提交最后报价的供应商后，由磋商小组采用综合评分法对提交最后报价的供应商的响应文件和最后报价进行综合评分。</w:t>
      </w:r>
      <w:r>
        <w:rPr>
          <w:bCs/>
          <w:color w:val="auto"/>
          <w:szCs w:val="24"/>
          <w:lang w:val="zh-CN"/>
        </w:rPr>
        <w:t>响应文件满足磋商文件</w:t>
      </w:r>
      <w:r>
        <w:rPr>
          <w:rFonts w:hint="eastAsia"/>
          <w:bCs/>
          <w:color w:val="auto"/>
          <w:szCs w:val="24"/>
          <w:lang w:val="zh-CN"/>
        </w:rPr>
        <w:t>全部</w:t>
      </w:r>
      <w:r>
        <w:rPr>
          <w:bCs/>
          <w:color w:val="auto"/>
          <w:szCs w:val="24"/>
          <w:lang w:val="zh-CN"/>
        </w:rPr>
        <w:t>实质性要求</w:t>
      </w:r>
      <w:r>
        <w:rPr>
          <w:rFonts w:hint="eastAsia"/>
          <w:bCs/>
          <w:color w:val="auto"/>
          <w:szCs w:val="24"/>
          <w:lang w:val="zh-CN"/>
        </w:rPr>
        <w:t>且按</w:t>
      </w:r>
      <w:r>
        <w:rPr>
          <w:bCs/>
          <w:color w:val="auto"/>
          <w:szCs w:val="24"/>
          <w:lang w:val="zh-CN"/>
        </w:rPr>
        <w:t>评审因素的量化指标评审</w:t>
      </w:r>
      <w:r>
        <w:rPr>
          <w:rFonts w:hint="eastAsia"/>
          <w:bCs/>
          <w:color w:val="auto"/>
          <w:szCs w:val="24"/>
          <w:lang w:val="zh-CN"/>
        </w:rPr>
        <w:t>得</w:t>
      </w:r>
      <w:r>
        <w:rPr>
          <w:bCs/>
          <w:color w:val="auto"/>
          <w:szCs w:val="24"/>
          <w:lang w:val="zh-CN"/>
        </w:rPr>
        <w:t>分最高的供应商为成交候选供应商的评审</w:t>
      </w:r>
      <w:r>
        <w:rPr>
          <w:rFonts w:hint="eastAsia"/>
          <w:bCs/>
          <w:color w:val="auto"/>
          <w:szCs w:val="24"/>
          <w:lang w:val="zh-CN"/>
        </w:rPr>
        <w:t>方法</w:t>
      </w:r>
      <w:r>
        <w:rPr>
          <w:bCs/>
          <w:color w:val="auto"/>
          <w:szCs w:val="24"/>
          <w:lang w:val="zh-CN"/>
        </w:rPr>
        <w:t>。</w:t>
      </w:r>
    </w:p>
    <w:p w14:paraId="4B084FF1">
      <w:pPr>
        <w:pStyle w:val="2"/>
        <w:numPr>
          <w:ilvl w:val="0"/>
          <w:numId w:val="44"/>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8" w:name="_Toc102116176"/>
      <w:bookmarkStart w:id="339" w:name="_Toc102116046"/>
      <w:bookmarkStart w:id="340" w:name="_Toc102114944"/>
      <w:bookmarkStart w:id="341" w:name="_Toc102056242"/>
      <w:bookmarkStart w:id="342" w:name="_Toc122527542"/>
      <w:bookmarkStart w:id="343" w:name="_Toc102119877"/>
      <w:bookmarkStart w:id="344" w:name="_Toc117244364"/>
      <w:bookmarkStart w:id="345" w:name="_Toc102057742"/>
      <w:bookmarkStart w:id="346" w:name="_Toc117244479"/>
      <w:r>
        <w:rPr>
          <w:rFonts w:hint="eastAsia" w:ascii="宋体" w:hAnsi="宋体" w:eastAsia="宋体" w:cs="Times New Roman"/>
          <w:bCs w:val="0"/>
          <w:color w:val="auto"/>
          <w:sz w:val="28"/>
          <w:szCs w:val="28"/>
          <w:lang w:val="zh-CN"/>
        </w:rPr>
        <w:t>评审程序</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84CEB43">
      <w:pPr>
        <w:numPr>
          <w:ilvl w:val="0"/>
          <w:numId w:val="45"/>
        </w:numPr>
        <w:wordWrap w:val="0"/>
        <w:adjustRightInd w:val="0"/>
        <w:snapToGrid w:val="0"/>
        <w:spacing w:line="360" w:lineRule="auto"/>
        <w:rPr>
          <w:color w:val="auto"/>
          <w:lang w:val="zh-CN"/>
        </w:rPr>
      </w:pPr>
      <w:r>
        <w:rPr>
          <w:rFonts w:hint="eastAsia" w:cs="宋体"/>
          <w:b/>
          <w:bCs/>
          <w:color w:val="auto"/>
        </w:rPr>
        <w:t>资格性检查和符合性检查。</w:t>
      </w:r>
    </w:p>
    <w:p w14:paraId="34DC46E3">
      <w:pPr>
        <w:tabs>
          <w:tab w:val="left" w:pos="312"/>
        </w:tabs>
        <w:wordWrap w:val="0"/>
        <w:adjustRightInd w:val="0"/>
        <w:snapToGrid w:val="0"/>
        <w:spacing w:line="360" w:lineRule="auto"/>
        <w:ind w:firstLine="480" w:firstLineChars="200"/>
        <w:rPr>
          <w:color w:val="auto"/>
          <w:lang w:val="zh-CN"/>
        </w:rPr>
      </w:pPr>
      <w:r>
        <w:rPr>
          <w:rFonts w:hint="eastAsia"/>
          <w:color w:val="auto"/>
          <w:szCs w:val="24"/>
        </w:rPr>
        <w:t>磋商小组</w:t>
      </w:r>
      <w:r>
        <w:rPr>
          <w:rFonts w:hint="eastAsia" w:cs="宋体"/>
          <w:color w:val="auto"/>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color w:val="auto"/>
          <w:lang w:val="zh-CN"/>
        </w:rPr>
        <w:t>。</w:t>
      </w:r>
    </w:p>
    <w:p w14:paraId="4A788639">
      <w:pPr>
        <w:pStyle w:val="11"/>
        <w:numPr>
          <w:ilvl w:val="0"/>
          <w:numId w:val="45"/>
        </w:numPr>
        <w:rPr>
          <w:color w:val="auto"/>
          <w:lang w:val="zh-CN"/>
        </w:rPr>
      </w:pPr>
      <w:r>
        <w:rPr>
          <w:rFonts w:hint="eastAsia"/>
          <w:b/>
          <w:bCs/>
          <w:color w:val="auto"/>
          <w:lang w:val="zh-CN"/>
        </w:rPr>
        <w:t>评审程序</w:t>
      </w:r>
    </w:p>
    <w:p w14:paraId="390655B3">
      <w:pPr>
        <w:wordWrap w:val="0"/>
        <w:adjustRightInd w:val="0"/>
        <w:snapToGrid w:val="0"/>
        <w:spacing w:line="360" w:lineRule="auto"/>
        <w:rPr>
          <w:b/>
          <w:color w:val="auto"/>
          <w:lang w:val="zh-CN"/>
        </w:rPr>
      </w:pPr>
      <w:r>
        <w:rPr>
          <w:rFonts w:hint="eastAsia"/>
          <w:b/>
          <w:color w:val="auto"/>
        </w:rPr>
        <w:t xml:space="preserve">2.1 </w:t>
      </w:r>
      <w:r>
        <w:rPr>
          <w:rFonts w:hint="eastAsia"/>
          <w:b/>
          <w:color w:val="auto"/>
          <w:lang w:val="zh-CN"/>
        </w:rPr>
        <w:t>第一轮磋商</w:t>
      </w:r>
    </w:p>
    <w:p w14:paraId="69EFD219">
      <w:pPr>
        <w:wordWrap w:val="0"/>
        <w:adjustRightInd w:val="0"/>
        <w:snapToGrid w:val="0"/>
        <w:spacing w:line="360" w:lineRule="auto"/>
        <w:ind w:left="1133" w:leftChars="119" w:hanging="847" w:hangingChars="353"/>
        <w:rPr>
          <w:color w:val="auto"/>
          <w:lang w:val="zh-CN"/>
        </w:rPr>
      </w:pPr>
      <w:r>
        <w:rPr>
          <w:rFonts w:hint="eastAsia"/>
          <w:color w:val="auto"/>
          <w:szCs w:val="24"/>
        </w:rPr>
        <w:t>2.1.1 磋商小组</w:t>
      </w:r>
      <w:r>
        <w:rPr>
          <w:rFonts w:hint="eastAsia"/>
          <w:color w:val="auto"/>
          <w:lang w:val="zh-CN"/>
        </w:rPr>
        <w:t>将按照随机抽签的顺序决定供应商的磋商顺序，并与单一供应商分别进行视频磋商。</w:t>
      </w:r>
    </w:p>
    <w:p w14:paraId="0461BAC4">
      <w:pPr>
        <w:wordWrap w:val="0"/>
        <w:adjustRightInd w:val="0"/>
        <w:snapToGrid w:val="0"/>
        <w:spacing w:line="360" w:lineRule="auto"/>
        <w:ind w:left="1133" w:leftChars="119" w:hanging="847" w:hangingChars="353"/>
        <w:rPr>
          <w:color w:val="auto"/>
          <w:lang w:val="zh-CN"/>
        </w:rPr>
      </w:pPr>
      <w:r>
        <w:rPr>
          <w:rFonts w:hint="eastAsia"/>
          <w:color w:val="auto"/>
          <w:szCs w:val="24"/>
        </w:rPr>
        <w:t>2.1.2 磋商小组</w:t>
      </w:r>
      <w:r>
        <w:rPr>
          <w:rFonts w:hint="eastAsia" w:cs="宋体"/>
          <w:color w:val="auto"/>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color w:val="auto"/>
          <w:lang w:val="zh-CN"/>
        </w:rPr>
        <w:t>。</w:t>
      </w:r>
    </w:p>
    <w:p w14:paraId="129A8268">
      <w:pPr>
        <w:wordWrap w:val="0"/>
        <w:adjustRightInd w:val="0"/>
        <w:snapToGrid w:val="0"/>
        <w:spacing w:line="360" w:lineRule="auto"/>
        <w:ind w:left="1133" w:leftChars="119" w:hanging="847" w:hangingChars="353"/>
        <w:rPr>
          <w:color w:val="auto"/>
          <w:lang w:val="zh-CN"/>
        </w:rPr>
      </w:pPr>
      <w:r>
        <w:rPr>
          <w:rFonts w:hint="eastAsia"/>
          <w:color w:val="auto"/>
        </w:rPr>
        <w:t xml:space="preserve">2.1.3 </w:t>
      </w:r>
      <w:r>
        <w:rPr>
          <w:rFonts w:hint="eastAsia"/>
          <w:color w:val="auto"/>
          <w:lang w:val="zh-CN"/>
        </w:rPr>
        <w:t>供应商可以对参加磋商项目的采购需求提出优化建议，并通过随县政府电子采购平台提交</w:t>
      </w:r>
      <w:r>
        <w:rPr>
          <w:rFonts w:hint="eastAsia"/>
          <w:color w:val="auto"/>
          <w:szCs w:val="24"/>
        </w:rPr>
        <w:t>磋商小组</w:t>
      </w:r>
      <w:r>
        <w:rPr>
          <w:rFonts w:hint="eastAsia"/>
          <w:color w:val="auto"/>
          <w:lang w:val="zh-CN"/>
        </w:rPr>
        <w:t>。</w:t>
      </w:r>
    </w:p>
    <w:p w14:paraId="2E33AD0C">
      <w:pPr>
        <w:wordWrap w:val="0"/>
        <w:adjustRightInd w:val="0"/>
        <w:snapToGrid w:val="0"/>
        <w:spacing w:line="360" w:lineRule="auto"/>
        <w:ind w:left="1133" w:leftChars="119" w:hanging="847" w:hangingChars="353"/>
        <w:rPr>
          <w:color w:val="auto"/>
          <w:lang w:val="zh-CN"/>
        </w:rPr>
      </w:pPr>
      <w:r>
        <w:rPr>
          <w:rFonts w:hint="eastAsia"/>
          <w:color w:val="auto"/>
          <w:szCs w:val="24"/>
        </w:rPr>
        <w:t>2.1.4</w:t>
      </w:r>
      <w:r>
        <w:rPr>
          <w:rFonts w:hint="eastAsia"/>
          <w:color w:val="auto"/>
          <w:szCs w:val="24"/>
          <w:lang w:val="en-US" w:eastAsia="zh-CN"/>
        </w:rPr>
        <w:t xml:space="preserve"> </w:t>
      </w:r>
      <w:r>
        <w:rPr>
          <w:rFonts w:hint="eastAsia"/>
          <w:color w:val="auto"/>
          <w:szCs w:val="24"/>
        </w:rPr>
        <w:t>磋商</w:t>
      </w:r>
      <w:r>
        <w:rPr>
          <w:rFonts w:hint="eastAsia"/>
          <w:color w:val="auto"/>
          <w:lang w:val="zh-CN"/>
        </w:rPr>
        <w:t>小组按磋商文件设定的方法和标准确定供应商符合磋商文件要求的，该供应商即为合格的供应商。</w:t>
      </w:r>
    </w:p>
    <w:p w14:paraId="754C2AF6">
      <w:pPr>
        <w:wordWrap w:val="0"/>
        <w:adjustRightInd w:val="0"/>
        <w:snapToGrid w:val="0"/>
        <w:spacing w:line="360" w:lineRule="auto"/>
        <w:ind w:left="1133" w:leftChars="119" w:hanging="847" w:hangingChars="353"/>
        <w:rPr>
          <w:color w:val="auto"/>
          <w:lang w:val="zh-CN"/>
        </w:rPr>
      </w:pPr>
      <w:r>
        <w:rPr>
          <w:rFonts w:hint="eastAsia"/>
          <w:color w:val="auto"/>
        </w:rPr>
        <w:t>2.1.5</w:t>
      </w:r>
      <w:r>
        <w:rPr>
          <w:rFonts w:hint="eastAsia"/>
          <w:color w:val="auto"/>
          <w:lang w:val="en-US" w:eastAsia="zh-CN"/>
        </w:rPr>
        <w:t xml:space="preserve"> </w:t>
      </w:r>
      <w:r>
        <w:rPr>
          <w:rFonts w:hint="eastAsia"/>
          <w:color w:val="auto"/>
          <w:lang w:val="zh-CN"/>
        </w:rPr>
        <w:t>第一轮磋商后，</w:t>
      </w:r>
      <w:r>
        <w:rPr>
          <w:rFonts w:hint="eastAsia"/>
          <w:color w:val="auto"/>
          <w:szCs w:val="24"/>
        </w:rPr>
        <w:t>磋商小组</w:t>
      </w:r>
      <w:r>
        <w:rPr>
          <w:rFonts w:hint="eastAsia"/>
          <w:color w:val="auto"/>
          <w:lang w:val="zh-CN"/>
        </w:rPr>
        <w:t>可根据采购项目的特点、采购人的实际需求及与各供应商的磋商情况对磋商文件作出实质性变动，并进行下一轮磋商，或直接进入最后报价。变动后的磋商文件至少有</w:t>
      </w:r>
      <w:r>
        <w:rPr>
          <w:color w:val="auto"/>
          <w:lang w:val="zh-CN"/>
        </w:rPr>
        <w:t>3</w:t>
      </w:r>
      <w:r>
        <w:rPr>
          <w:rFonts w:hint="eastAsia"/>
          <w:color w:val="auto"/>
          <w:lang w:val="zh-CN"/>
        </w:rPr>
        <w:t>家供应商满足。</w:t>
      </w:r>
    </w:p>
    <w:p w14:paraId="7A237E5B">
      <w:pPr>
        <w:wordWrap w:val="0"/>
        <w:adjustRightInd w:val="0"/>
        <w:snapToGrid w:val="0"/>
        <w:spacing w:line="360" w:lineRule="auto"/>
        <w:ind w:left="1133" w:leftChars="119" w:hanging="847" w:hangingChars="353"/>
        <w:rPr>
          <w:color w:val="auto"/>
          <w:lang w:val="zh-CN"/>
        </w:rPr>
      </w:pPr>
      <w:r>
        <w:rPr>
          <w:rFonts w:hint="eastAsia"/>
          <w:color w:val="auto"/>
        </w:rPr>
        <w:t>2.1.6</w:t>
      </w:r>
      <w:r>
        <w:rPr>
          <w:rFonts w:hint="eastAsia"/>
          <w:color w:val="auto"/>
          <w:lang w:val="en-US" w:eastAsia="zh-CN"/>
        </w:rPr>
        <w:t xml:space="preserve"> </w:t>
      </w:r>
      <w:r>
        <w:rPr>
          <w:rFonts w:hint="eastAsia"/>
          <w:color w:val="auto"/>
          <w:lang w:val="zh-CN"/>
        </w:rPr>
        <w:t>合格的供应商不足</w:t>
      </w:r>
      <w:r>
        <w:rPr>
          <w:color w:val="auto"/>
          <w:lang w:val="zh-CN"/>
        </w:rPr>
        <w:t>3</w:t>
      </w:r>
      <w:r>
        <w:rPr>
          <w:rFonts w:hint="eastAsia"/>
          <w:color w:val="auto"/>
          <w:lang w:val="zh-CN"/>
        </w:rPr>
        <w:t>家的，</w:t>
      </w:r>
      <w:r>
        <w:rPr>
          <w:rFonts w:hint="eastAsia"/>
          <w:color w:val="auto"/>
          <w:szCs w:val="24"/>
        </w:rPr>
        <w:t>磋商小组</w:t>
      </w:r>
      <w:r>
        <w:rPr>
          <w:rFonts w:hint="eastAsia"/>
          <w:color w:val="auto"/>
          <w:lang w:val="zh-CN"/>
        </w:rPr>
        <w:t>、采购人在降低采购需求中的技术、服务要求以及合同草案条款后进行下一轮磋商。否则，本次磋商终止，重新开展采购活动。</w:t>
      </w:r>
    </w:p>
    <w:p w14:paraId="6385C7DC">
      <w:pPr>
        <w:wordWrap w:val="0"/>
        <w:adjustRightInd w:val="0"/>
        <w:snapToGrid w:val="0"/>
        <w:spacing w:line="360" w:lineRule="auto"/>
        <w:rPr>
          <w:b/>
          <w:color w:val="auto"/>
          <w:lang w:val="zh-CN"/>
        </w:rPr>
      </w:pPr>
      <w:r>
        <w:rPr>
          <w:rFonts w:hint="eastAsia"/>
          <w:b/>
          <w:color w:val="auto"/>
        </w:rPr>
        <w:t>2.2</w:t>
      </w:r>
      <w:r>
        <w:rPr>
          <w:rFonts w:hint="eastAsia"/>
          <w:b/>
          <w:color w:val="auto"/>
          <w:lang w:val="zh-CN"/>
        </w:rPr>
        <w:t>磋商文件修正</w:t>
      </w:r>
    </w:p>
    <w:p w14:paraId="7E2E31CB">
      <w:pPr>
        <w:wordWrap w:val="0"/>
        <w:adjustRightInd w:val="0"/>
        <w:snapToGrid w:val="0"/>
        <w:spacing w:line="360" w:lineRule="auto"/>
        <w:ind w:left="991" w:leftChars="119" w:hanging="705" w:hangingChars="294"/>
        <w:rPr>
          <w:color w:val="auto"/>
          <w:lang w:val="zh-CN"/>
        </w:rPr>
      </w:pPr>
      <w:r>
        <w:rPr>
          <w:rFonts w:hint="eastAsia"/>
          <w:color w:val="auto"/>
          <w:szCs w:val="24"/>
        </w:rPr>
        <w:t>2.2.1磋商小组</w:t>
      </w:r>
      <w:r>
        <w:rPr>
          <w:rFonts w:hint="eastAsia"/>
          <w:color w:val="auto"/>
          <w:lang w:val="zh-CN"/>
        </w:rPr>
        <w:t>可根据磋商文件和磋商情况实质性变动采购需求中的技术、服务要求以及合同草案条款，但不得变动磋商文件中的其他内容。对磋商文件作出的实质性变动是磋商文件的有效组成部分。</w:t>
      </w:r>
    </w:p>
    <w:p w14:paraId="5EAB9D66">
      <w:pPr>
        <w:wordWrap w:val="0"/>
        <w:adjustRightInd w:val="0"/>
        <w:snapToGrid w:val="0"/>
        <w:spacing w:line="360" w:lineRule="auto"/>
        <w:ind w:left="991" w:leftChars="119" w:hanging="705" w:hangingChars="294"/>
        <w:rPr>
          <w:color w:val="auto"/>
          <w:lang w:val="zh-CN"/>
        </w:rPr>
      </w:pPr>
      <w:r>
        <w:rPr>
          <w:rFonts w:hint="eastAsia"/>
          <w:color w:val="auto"/>
          <w:szCs w:val="24"/>
        </w:rPr>
        <w:t>2.2.2磋商小组</w:t>
      </w:r>
      <w:r>
        <w:rPr>
          <w:rFonts w:hint="eastAsia"/>
          <w:color w:val="auto"/>
          <w:lang w:val="zh-CN"/>
        </w:rPr>
        <w:t>将磋商文件的修改结果通过系统平台通知所有参加磋商的供应商。</w:t>
      </w:r>
    </w:p>
    <w:p w14:paraId="79B04D95">
      <w:pPr>
        <w:wordWrap w:val="0"/>
        <w:adjustRightInd w:val="0"/>
        <w:snapToGrid w:val="0"/>
        <w:spacing w:line="360" w:lineRule="auto"/>
        <w:ind w:left="991" w:leftChars="119" w:hanging="705" w:hangingChars="294"/>
        <w:rPr>
          <w:color w:val="auto"/>
          <w:lang w:val="zh-CN"/>
        </w:rPr>
      </w:pPr>
      <w:r>
        <w:rPr>
          <w:rFonts w:hint="eastAsia"/>
          <w:color w:val="auto"/>
        </w:rPr>
        <w:t>2.2.3</w:t>
      </w:r>
      <w:r>
        <w:rPr>
          <w:rFonts w:hint="eastAsia"/>
          <w:color w:val="auto"/>
          <w:lang w:val="zh-CN"/>
        </w:rPr>
        <w:t>供应商根据第一轮磋商情况和磋商文件修改书面通知，对原响应文件进行修正，并将修正文件通过随县政府电子采购平台CA锁签字盖章后递交</w:t>
      </w:r>
      <w:r>
        <w:rPr>
          <w:rFonts w:hint="eastAsia"/>
          <w:color w:val="auto"/>
          <w:szCs w:val="24"/>
        </w:rPr>
        <w:t>磋商小组</w:t>
      </w:r>
      <w:r>
        <w:rPr>
          <w:rFonts w:hint="eastAsia"/>
          <w:color w:val="auto"/>
          <w:lang w:val="zh-CN"/>
        </w:rPr>
        <w:t>。逾时不交的，视同放弃磋商。修正文件与响应文件同具法律效应。</w:t>
      </w:r>
    </w:p>
    <w:p w14:paraId="3C94949F">
      <w:pPr>
        <w:wordWrap w:val="0"/>
        <w:adjustRightInd w:val="0"/>
        <w:snapToGrid w:val="0"/>
        <w:spacing w:line="360" w:lineRule="auto"/>
        <w:ind w:left="991" w:leftChars="119" w:hanging="705" w:hangingChars="294"/>
        <w:rPr>
          <w:color w:val="auto"/>
          <w:lang w:val="zh-CN"/>
        </w:rPr>
      </w:pPr>
      <w:r>
        <w:rPr>
          <w:rFonts w:hint="eastAsia"/>
          <w:color w:val="auto"/>
        </w:rPr>
        <w:t>2.2.4</w:t>
      </w:r>
      <w:r>
        <w:rPr>
          <w:rFonts w:hint="eastAsia"/>
          <w:color w:val="auto"/>
          <w:lang w:val="zh-CN"/>
        </w:rPr>
        <w:t>对无法详细描述需求，需要供应商提供设计或者解决方案的项目，</w:t>
      </w:r>
      <w:r>
        <w:rPr>
          <w:rFonts w:hint="eastAsia"/>
          <w:color w:val="auto"/>
          <w:szCs w:val="24"/>
        </w:rPr>
        <w:t>磋商小组</w:t>
      </w:r>
      <w:r>
        <w:rPr>
          <w:rFonts w:hint="eastAsia"/>
          <w:color w:val="auto"/>
          <w:lang w:val="zh-CN"/>
        </w:rPr>
        <w:t>可以根据采购人对需求确认情况，进行多轮磋商，直至采购人代表最后确认采购需求为止。</w:t>
      </w:r>
    </w:p>
    <w:p w14:paraId="749C5D44">
      <w:pPr>
        <w:wordWrap w:val="0"/>
        <w:adjustRightInd w:val="0"/>
        <w:snapToGrid w:val="0"/>
        <w:spacing w:line="360" w:lineRule="auto"/>
        <w:rPr>
          <w:b/>
          <w:color w:val="auto"/>
          <w:lang w:val="zh-CN"/>
        </w:rPr>
      </w:pPr>
      <w:r>
        <w:rPr>
          <w:rFonts w:hint="eastAsia"/>
          <w:b/>
          <w:color w:val="auto"/>
        </w:rPr>
        <w:t>2.3</w:t>
      </w:r>
      <w:r>
        <w:rPr>
          <w:rFonts w:hint="eastAsia"/>
          <w:b/>
          <w:color w:val="auto"/>
          <w:lang w:val="zh-CN"/>
        </w:rPr>
        <w:t>第二轮磋商</w:t>
      </w:r>
    </w:p>
    <w:p w14:paraId="538D954D">
      <w:pPr>
        <w:wordWrap w:val="0"/>
        <w:adjustRightInd w:val="0"/>
        <w:snapToGrid w:val="0"/>
        <w:spacing w:line="360" w:lineRule="auto"/>
        <w:ind w:left="991" w:leftChars="119" w:hanging="705" w:hangingChars="294"/>
        <w:rPr>
          <w:color w:val="auto"/>
          <w:lang w:val="zh-CN"/>
        </w:rPr>
      </w:pPr>
      <w:r>
        <w:rPr>
          <w:rFonts w:hint="eastAsia"/>
          <w:color w:val="auto"/>
          <w:szCs w:val="24"/>
        </w:rPr>
        <w:t>2.3.1磋商小组</w:t>
      </w:r>
      <w:r>
        <w:rPr>
          <w:rFonts w:hint="eastAsia"/>
          <w:color w:val="auto"/>
          <w:lang w:val="zh-CN"/>
        </w:rPr>
        <w:t>就修正后的磋商文件与供应商分别进行磋商。</w:t>
      </w:r>
    </w:p>
    <w:p w14:paraId="3148D407">
      <w:pPr>
        <w:wordWrap w:val="0"/>
        <w:adjustRightInd w:val="0"/>
        <w:snapToGrid w:val="0"/>
        <w:spacing w:line="360" w:lineRule="auto"/>
        <w:ind w:left="991" w:leftChars="119" w:hanging="705" w:hangingChars="294"/>
        <w:rPr>
          <w:color w:val="auto"/>
          <w:lang w:val="zh-CN"/>
        </w:rPr>
      </w:pPr>
      <w:r>
        <w:rPr>
          <w:rFonts w:hint="eastAsia"/>
          <w:color w:val="auto"/>
        </w:rPr>
        <w:t>2.3.2</w:t>
      </w:r>
      <w:r>
        <w:rPr>
          <w:rFonts w:hint="eastAsia"/>
          <w:color w:val="auto"/>
          <w:lang w:val="zh-CN"/>
        </w:rPr>
        <w:t>第二轮磋商结束后，实质性响应磋商文件及变动后磋商文件要求的供应商不足</w:t>
      </w:r>
      <w:r>
        <w:rPr>
          <w:color w:val="auto"/>
          <w:lang w:val="zh-CN"/>
        </w:rPr>
        <w:t>3</w:t>
      </w:r>
      <w:r>
        <w:rPr>
          <w:rFonts w:hint="eastAsia"/>
          <w:color w:val="auto"/>
          <w:lang w:val="zh-CN"/>
        </w:rPr>
        <w:t>家的，按照上一轮磋商程序办理，以此类推。</w:t>
      </w:r>
    </w:p>
    <w:p w14:paraId="0BD0CB56">
      <w:pPr>
        <w:wordWrap w:val="0"/>
        <w:adjustRightInd w:val="0"/>
        <w:snapToGrid w:val="0"/>
        <w:spacing w:line="360" w:lineRule="auto"/>
        <w:rPr>
          <w:b/>
          <w:color w:val="auto"/>
          <w:lang w:val="zh-CN"/>
        </w:rPr>
      </w:pPr>
      <w:r>
        <w:rPr>
          <w:rFonts w:hint="eastAsia"/>
          <w:b/>
          <w:color w:val="auto"/>
        </w:rPr>
        <w:t>2.4</w:t>
      </w:r>
      <w:r>
        <w:rPr>
          <w:rFonts w:hint="eastAsia"/>
          <w:b/>
          <w:color w:val="auto"/>
          <w:lang w:val="zh-CN"/>
        </w:rPr>
        <w:t>最后报价</w:t>
      </w:r>
    </w:p>
    <w:p w14:paraId="56E135A2">
      <w:pPr>
        <w:wordWrap w:val="0"/>
        <w:adjustRightInd w:val="0"/>
        <w:snapToGrid w:val="0"/>
        <w:spacing w:line="360" w:lineRule="auto"/>
        <w:ind w:left="991" w:leftChars="119" w:hanging="705" w:hangingChars="294"/>
        <w:rPr>
          <w:color w:val="auto"/>
          <w:lang w:val="zh-CN"/>
        </w:rPr>
      </w:pPr>
      <w:r>
        <w:rPr>
          <w:rFonts w:hint="eastAsia"/>
          <w:color w:val="auto"/>
          <w:szCs w:val="24"/>
        </w:rPr>
        <w:t>2.4.1磋商小组</w:t>
      </w:r>
      <w:r>
        <w:rPr>
          <w:rFonts w:hint="eastAsia"/>
          <w:color w:val="auto"/>
          <w:lang w:val="zh-CN"/>
        </w:rPr>
        <w:t>对磋商文件中能够详细列明采购标的的技术、服务要求的，在磋商结束后，要求所有继续参加磋商合格的供应商，在规定时间内，通过随县政府电子采购平台提交最后报价。</w:t>
      </w:r>
    </w:p>
    <w:p w14:paraId="75368FE6">
      <w:pPr>
        <w:wordWrap w:val="0"/>
        <w:adjustRightInd w:val="0"/>
        <w:snapToGrid w:val="0"/>
        <w:spacing w:line="360" w:lineRule="auto"/>
        <w:ind w:left="991" w:leftChars="119" w:hanging="705" w:hangingChars="294"/>
        <w:rPr>
          <w:color w:val="auto"/>
          <w:lang w:val="zh-CN"/>
        </w:rPr>
      </w:pPr>
      <w:r>
        <w:rPr>
          <w:rFonts w:hint="eastAsia"/>
          <w:color w:val="auto"/>
          <w:szCs w:val="24"/>
        </w:rPr>
        <w:t>2.4.2磋商小组</w:t>
      </w:r>
      <w:r>
        <w:rPr>
          <w:rFonts w:hint="eastAsia"/>
          <w:color w:val="auto"/>
          <w:lang w:val="zh-CN"/>
        </w:rPr>
        <w:t>对磋商文件中不能详细描述和列明采购标的的技术、服务要求，需通过磋商由供应商提供最后设计方案或解决方案的，在磋商结束后，</w:t>
      </w:r>
      <w:r>
        <w:rPr>
          <w:rFonts w:hint="eastAsia"/>
          <w:color w:val="auto"/>
          <w:szCs w:val="24"/>
        </w:rPr>
        <w:t>磋商小组</w:t>
      </w:r>
      <w:r>
        <w:rPr>
          <w:rFonts w:hint="eastAsia"/>
          <w:color w:val="auto"/>
          <w:lang w:val="zh-CN"/>
        </w:rPr>
        <w:t>按照少数服从多数的原则投票推荐</w:t>
      </w:r>
      <w:r>
        <w:rPr>
          <w:color w:val="auto"/>
          <w:lang w:val="zh-CN"/>
        </w:rPr>
        <w:t>3</w:t>
      </w:r>
      <w:r>
        <w:rPr>
          <w:rFonts w:hint="eastAsia"/>
          <w:color w:val="auto"/>
          <w:lang w:val="zh-CN"/>
        </w:rPr>
        <w:t>家以上合格供应商的设计方案或者解决方案，并要求其在规定时间内，通过随县政府电子采购平台提交最后报价。</w:t>
      </w:r>
    </w:p>
    <w:p w14:paraId="1F938BD2">
      <w:pPr>
        <w:wordWrap w:val="0"/>
        <w:adjustRightInd w:val="0"/>
        <w:snapToGrid w:val="0"/>
        <w:spacing w:line="360" w:lineRule="auto"/>
        <w:ind w:left="991" w:leftChars="119" w:hanging="705" w:hangingChars="294"/>
        <w:rPr>
          <w:color w:val="auto"/>
          <w:lang w:val="zh-CN"/>
        </w:rPr>
      </w:pPr>
      <w:r>
        <w:rPr>
          <w:rFonts w:hint="eastAsia"/>
          <w:color w:val="auto"/>
        </w:rPr>
        <w:t>2.4.5</w:t>
      </w:r>
      <w:r>
        <w:rPr>
          <w:rFonts w:hint="eastAsia"/>
          <w:color w:val="auto"/>
          <w:lang w:val="zh-CN"/>
        </w:rPr>
        <w:t>最后报价是供应商响应文件的有效组成部分。</w:t>
      </w:r>
    </w:p>
    <w:p w14:paraId="489307C7">
      <w:pPr>
        <w:wordWrap w:val="0"/>
        <w:adjustRightInd w:val="0"/>
        <w:snapToGrid w:val="0"/>
        <w:spacing w:line="360" w:lineRule="auto"/>
        <w:ind w:left="991" w:leftChars="119" w:hanging="705" w:hangingChars="294"/>
        <w:rPr>
          <w:color w:val="auto"/>
          <w:lang w:val="zh-CN"/>
        </w:rPr>
      </w:pPr>
      <w:r>
        <w:rPr>
          <w:rFonts w:hint="eastAsia"/>
          <w:color w:val="auto"/>
        </w:rPr>
        <w:t>2.4.6</w:t>
      </w:r>
      <w:r>
        <w:rPr>
          <w:rFonts w:hint="eastAsia"/>
          <w:color w:val="auto"/>
          <w:lang w:val="zh-CN"/>
        </w:rPr>
        <w:t>供应商的报价均超过了政府采购预算或报价未超过采购预算的供应商不足三家的，磋商活动终止。</w:t>
      </w:r>
    </w:p>
    <w:p w14:paraId="0628E828">
      <w:pPr>
        <w:wordWrap w:val="0"/>
        <w:adjustRightInd w:val="0"/>
        <w:snapToGrid w:val="0"/>
        <w:spacing w:line="360" w:lineRule="auto"/>
        <w:rPr>
          <w:b/>
          <w:color w:val="auto"/>
          <w:lang w:val="zh-CN"/>
        </w:rPr>
      </w:pPr>
      <w:r>
        <w:rPr>
          <w:rFonts w:hint="eastAsia"/>
          <w:b/>
          <w:color w:val="auto"/>
        </w:rPr>
        <w:t>2.5</w:t>
      </w:r>
      <w:r>
        <w:rPr>
          <w:rFonts w:hint="eastAsia"/>
          <w:b/>
          <w:color w:val="auto"/>
          <w:lang w:val="zh-CN"/>
        </w:rPr>
        <w:t>综合评议</w:t>
      </w:r>
    </w:p>
    <w:p w14:paraId="6B1FB4B0">
      <w:pPr>
        <w:wordWrap w:val="0"/>
        <w:adjustRightInd w:val="0"/>
        <w:snapToGrid w:val="0"/>
        <w:spacing w:line="360" w:lineRule="auto"/>
        <w:ind w:left="991" w:leftChars="119" w:hanging="705" w:hangingChars="294"/>
        <w:rPr>
          <w:color w:val="auto"/>
          <w:lang w:val="zh-CN"/>
        </w:rPr>
      </w:pPr>
      <w:r>
        <w:rPr>
          <w:rFonts w:hint="eastAsia"/>
          <w:color w:val="auto"/>
          <w:szCs w:val="24"/>
        </w:rPr>
        <w:t>2.5.1磋商小组</w:t>
      </w:r>
      <w:r>
        <w:rPr>
          <w:rFonts w:hint="eastAsia"/>
          <w:color w:val="auto"/>
          <w:lang w:val="zh-CN"/>
        </w:rPr>
        <w:t>将按照磋商文件确定的评审办法，对合格供应商的响应文件进行商务服务评议和价格评议。</w:t>
      </w:r>
    </w:p>
    <w:p w14:paraId="3AA1971B">
      <w:pPr>
        <w:wordWrap w:val="0"/>
        <w:adjustRightInd w:val="0"/>
        <w:snapToGrid w:val="0"/>
        <w:spacing w:line="360" w:lineRule="auto"/>
        <w:ind w:left="991" w:leftChars="119" w:hanging="705" w:hangingChars="294"/>
        <w:rPr>
          <w:color w:val="auto"/>
          <w:lang w:val="zh-CN"/>
        </w:rPr>
      </w:pPr>
      <w:r>
        <w:rPr>
          <w:rFonts w:hint="eastAsia"/>
          <w:color w:val="auto"/>
        </w:rPr>
        <w:t>2.5.2</w:t>
      </w:r>
      <w:r>
        <w:rPr>
          <w:rFonts w:hint="eastAsia"/>
          <w:color w:val="auto"/>
          <w:lang w:val="zh-CN"/>
        </w:rPr>
        <w:t>价格分采用低价优先法计算，即最后报价中，报价（评审价）最低供应商的评审价格为基准价，其价格分为满分。其他供应商的价格分计算公式：报价得分=（基准价/最后报价）×价格权重×100。</w:t>
      </w:r>
    </w:p>
    <w:p w14:paraId="71B08B1D">
      <w:pPr>
        <w:wordWrap w:val="0"/>
        <w:adjustRightInd w:val="0"/>
        <w:snapToGrid w:val="0"/>
        <w:spacing w:line="360" w:lineRule="auto"/>
        <w:ind w:left="991" w:leftChars="119" w:hanging="705" w:hangingChars="294"/>
        <w:rPr>
          <w:b/>
          <w:bCs/>
          <w:color w:val="auto"/>
          <w:lang w:val="zh-CN"/>
        </w:rPr>
      </w:pPr>
      <w:r>
        <w:rPr>
          <w:rFonts w:hint="eastAsia"/>
          <w:color w:val="auto"/>
          <w:szCs w:val="24"/>
        </w:rPr>
        <w:t>2.5.3磋商小组</w:t>
      </w:r>
      <w:r>
        <w:rPr>
          <w:rFonts w:hint="eastAsia"/>
          <w:color w:val="auto"/>
          <w:lang w:val="zh-CN"/>
        </w:rPr>
        <w:t>决定响应文件的响应性，只根据响应文件本身的真实无误的内容，而不依据外部的证据，但响应文件有不真实不正确的内容时除外。</w:t>
      </w:r>
    </w:p>
    <w:p w14:paraId="74C3A582">
      <w:pPr>
        <w:pStyle w:val="45"/>
        <w:spacing w:line="360" w:lineRule="auto"/>
        <w:ind w:firstLine="0" w:firstLineChars="0"/>
        <w:rPr>
          <w:b/>
          <w:color w:val="auto"/>
          <w:szCs w:val="24"/>
          <w:lang w:val="zh-CN"/>
        </w:rPr>
      </w:pPr>
      <w:bookmarkStart w:id="347" w:name="_Toc102056244"/>
      <w:bookmarkStart w:id="348" w:name="_Toc102119879"/>
      <w:bookmarkStart w:id="349" w:name="_Toc102116048"/>
      <w:bookmarkStart w:id="350" w:name="_Toc102057744"/>
      <w:bookmarkStart w:id="351" w:name="_Toc102116178"/>
      <w:bookmarkStart w:id="352" w:name="_Toc102114946"/>
      <w:r>
        <w:rPr>
          <w:rFonts w:hint="eastAsia"/>
          <w:b/>
          <w:color w:val="auto"/>
          <w:szCs w:val="24"/>
        </w:rPr>
        <w:t>2.6</w:t>
      </w:r>
      <w:r>
        <w:rPr>
          <w:rFonts w:hint="eastAsia"/>
          <w:b/>
          <w:color w:val="auto"/>
          <w:szCs w:val="24"/>
          <w:lang w:val="zh-CN"/>
        </w:rPr>
        <w:t>响应文件澄清</w:t>
      </w:r>
      <w:bookmarkEnd w:id="347"/>
      <w:bookmarkEnd w:id="348"/>
      <w:bookmarkEnd w:id="349"/>
      <w:bookmarkEnd w:id="350"/>
      <w:bookmarkEnd w:id="351"/>
      <w:bookmarkEnd w:id="352"/>
    </w:p>
    <w:p w14:paraId="3F4F24CF">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2.6.1</w:t>
      </w: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商文件中含义不明确、同类问题表述不一致或者有明显文字和计算错误的内容，磋商小组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14:paraId="6AF38146">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2.6.2</w:t>
      </w: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磋商小组要求在规定时间内作出澄清、说明或者补正，</w:t>
      </w:r>
      <w:r>
        <w:rPr>
          <w:rFonts w:cs="Helvetica"/>
          <w:color w:val="auto"/>
          <w:szCs w:val="24"/>
          <w:lang w:val="zh-CN"/>
        </w:rPr>
        <w:t>澄清、说明或者补正不得超出磋商文件的范围或者改变磋商文件的实质性内容。</w:t>
      </w:r>
    </w:p>
    <w:p w14:paraId="39495A0B">
      <w:pPr>
        <w:wordWrap w:val="0"/>
        <w:adjustRightInd w:val="0"/>
        <w:snapToGrid w:val="0"/>
        <w:spacing w:line="360" w:lineRule="auto"/>
        <w:ind w:left="991" w:leftChars="119" w:hanging="705" w:hangingChars="294"/>
        <w:rPr>
          <w:color w:val="auto"/>
          <w:lang w:val="zh-CN"/>
        </w:rPr>
      </w:pPr>
      <w:r>
        <w:rPr>
          <w:rFonts w:hint="eastAsia" w:cs="Helvetica"/>
          <w:color w:val="auto"/>
          <w:szCs w:val="24"/>
        </w:rPr>
        <w:t>2.6.3</w:t>
      </w: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rFonts w:hint="eastAsia" w:cs="Helvetica"/>
          <w:color w:val="auto"/>
          <w:szCs w:val="24"/>
          <w:lang w:val="zh-CN"/>
        </w:rPr>
        <w:t>在电子采购平台</w:t>
      </w:r>
      <w:r>
        <w:rPr>
          <w:color w:val="auto"/>
          <w:szCs w:val="24"/>
          <w:lang w:val="zh-CN"/>
        </w:rPr>
        <w:t>加盖电子印章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14:paraId="2DD47884">
      <w:pPr>
        <w:wordWrap w:val="0"/>
        <w:adjustRightInd w:val="0"/>
        <w:snapToGrid w:val="0"/>
        <w:spacing w:line="360" w:lineRule="auto"/>
        <w:ind w:left="991" w:leftChars="119" w:hanging="705" w:hangingChars="294"/>
        <w:rPr>
          <w:bCs/>
          <w:color w:val="auto"/>
          <w:lang w:val="zh-CN"/>
        </w:rPr>
      </w:pPr>
      <w:r>
        <w:rPr>
          <w:rFonts w:hint="eastAsia" w:cs="Helvetica"/>
          <w:color w:val="auto"/>
          <w:szCs w:val="24"/>
        </w:rPr>
        <w:t>2.6.4</w:t>
      </w:r>
      <w:r>
        <w:rPr>
          <w:rFonts w:hint="eastAsia" w:cs="Helvetica"/>
          <w:color w:val="auto"/>
          <w:szCs w:val="24"/>
          <w:lang w:val="zh-CN"/>
        </w:rPr>
        <w:t>响应</w:t>
      </w:r>
      <w:r>
        <w:rPr>
          <w:color w:val="auto"/>
          <w:lang w:val="zh-CN"/>
        </w:rPr>
        <w:t>文件</w:t>
      </w:r>
      <w:r>
        <w:rPr>
          <w:bCs/>
          <w:color w:val="auto"/>
          <w:lang w:val="zh-CN"/>
        </w:rPr>
        <w:t>报价出现</w:t>
      </w:r>
      <w:r>
        <w:rPr>
          <w:rFonts w:cs="Helvetica"/>
          <w:color w:val="auto"/>
          <w:szCs w:val="24"/>
          <w:lang w:val="zh-CN"/>
        </w:rPr>
        <w:t>前后</w:t>
      </w:r>
      <w:r>
        <w:rPr>
          <w:bCs/>
          <w:color w:val="auto"/>
          <w:lang w:val="zh-CN"/>
        </w:rPr>
        <w:t>不一致的，按照下列规定修正：</w:t>
      </w:r>
    </w:p>
    <w:p w14:paraId="2FEDC484">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文件中磋商</w:t>
      </w:r>
      <w:r>
        <w:rPr>
          <w:rFonts w:hint="eastAsia"/>
          <w:color w:val="auto"/>
          <w:szCs w:val="24"/>
          <w:lang w:val="zh-CN"/>
        </w:rPr>
        <w:t>最终报价</w:t>
      </w:r>
      <w:r>
        <w:rPr>
          <w:color w:val="auto"/>
          <w:szCs w:val="24"/>
          <w:lang w:val="zh-CN"/>
        </w:rPr>
        <w:t>以磋商</w:t>
      </w:r>
      <w:r>
        <w:rPr>
          <w:rFonts w:hint="eastAsia"/>
          <w:color w:val="auto"/>
          <w:szCs w:val="24"/>
          <w:lang w:val="zh-CN"/>
        </w:rPr>
        <w:t>最后报价表</w:t>
      </w:r>
      <w:r>
        <w:rPr>
          <w:color w:val="auto"/>
          <w:szCs w:val="24"/>
          <w:lang w:val="zh-CN"/>
        </w:rPr>
        <w:t>为准</w:t>
      </w:r>
      <w:r>
        <w:rPr>
          <w:rFonts w:hint="eastAsia"/>
          <w:color w:val="auto"/>
          <w:szCs w:val="24"/>
          <w:lang w:val="zh-CN"/>
        </w:rPr>
        <w:t>。</w:t>
      </w:r>
    </w:p>
    <w:p w14:paraId="601513F7">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14:paraId="42262F1E">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单价金额小数点或百分比有明显错位的，以磋商</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14:paraId="199C0011">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14:paraId="7DF36E83">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14:paraId="717A3293">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14:paraId="5741979C">
      <w:pPr>
        <w:pStyle w:val="45"/>
        <w:spacing w:line="360" w:lineRule="auto"/>
        <w:ind w:firstLine="0" w:firstLineChars="0"/>
        <w:rPr>
          <w:b/>
          <w:color w:val="auto"/>
          <w:szCs w:val="24"/>
          <w:lang w:val="zh-CN"/>
        </w:rPr>
      </w:pPr>
      <w:r>
        <w:rPr>
          <w:rFonts w:hint="eastAsia"/>
          <w:b/>
          <w:color w:val="auto"/>
          <w:szCs w:val="24"/>
        </w:rPr>
        <w:t>2.7</w:t>
      </w:r>
      <w:r>
        <w:rPr>
          <w:rFonts w:hint="eastAsia"/>
          <w:b/>
          <w:color w:val="auto"/>
          <w:szCs w:val="24"/>
          <w:lang w:val="zh-CN"/>
        </w:rPr>
        <w:t>相同品牌处理原则</w:t>
      </w:r>
    </w:p>
    <w:p w14:paraId="1CC7B12E">
      <w:pPr>
        <w:wordWrap w:val="0"/>
        <w:adjustRightInd w:val="0"/>
        <w:snapToGrid w:val="0"/>
        <w:spacing w:line="360" w:lineRule="auto"/>
        <w:ind w:left="991" w:leftChars="119" w:hanging="705" w:hangingChars="294"/>
        <w:rPr>
          <w:rFonts w:cs="Helvetica"/>
          <w:strike/>
          <w:color w:val="auto"/>
          <w:szCs w:val="24"/>
          <w:lang w:val="zh-CN"/>
        </w:rPr>
      </w:pPr>
      <w:r>
        <w:rPr>
          <w:rFonts w:hint="eastAsia" w:cs="Helvetica"/>
          <w:color w:val="auto"/>
          <w:szCs w:val="24"/>
        </w:rPr>
        <w:t>2.7.1</w:t>
      </w: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提供相同品牌产品的不同供应商参加同一合同项下磋商的，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或者采购人委托磋商小组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14:paraId="4B4A203B">
      <w:pPr>
        <w:wordWrap w:val="0"/>
        <w:adjustRightInd w:val="0"/>
        <w:snapToGrid w:val="0"/>
        <w:spacing w:line="360" w:lineRule="auto"/>
        <w:ind w:left="991" w:leftChars="119" w:hanging="705" w:hangingChars="294"/>
        <w:rPr>
          <w:color w:val="auto"/>
          <w:lang w:val="zh-CN"/>
        </w:rPr>
      </w:pPr>
      <w:r>
        <w:rPr>
          <w:rFonts w:hint="eastAsia"/>
          <w:color w:val="auto"/>
          <w:szCs w:val="24"/>
        </w:rPr>
        <w:t>2.7.2</w:t>
      </w:r>
      <w:r>
        <w:rPr>
          <w:rFonts w:hint="eastAsia"/>
          <w:color w:val="auto"/>
          <w:szCs w:val="24"/>
          <w:lang w:val="zh-CN"/>
        </w:rPr>
        <w:t>非单一产品采购项目，采购人应当根据采购项目技术构成、产品价格比重等合理确定一个核心产品（</w:t>
      </w:r>
      <w:r>
        <w:rPr>
          <w:rFonts w:hint="eastAsia" w:cs="Helvetica"/>
          <w:color w:val="auto"/>
          <w:szCs w:val="24"/>
          <w:lang w:val="zh-CN"/>
        </w:rPr>
        <w:t>采购</w:t>
      </w:r>
      <w:r>
        <w:rPr>
          <w:rFonts w:hint="eastAsia"/>
          <w:color w:val="auto"/>
          <w:szCs w:val="24"/>
          <w:lang w:val="zh-CN"/>
        </w:rPr>
        <w:t>清单中作“与核心产品相同〈或同一〉品牌”实质性要求的产品，视为一个核心产品），并以“核心产品”在竞争性磋商文件中标注，评审时按前款规定处理。</w:t>
      </w:r>
    </w:p>
    <w:p w14:paraId="62B2AEAA">
      <w:pPr>
        <w:pStyle w:val="45"/>
        <w:spacing w:line="360" w:lineRule="auto"/>
        <w:ind w:firstLine="0" w:firstLineChars="0"/>
        <w:rPr>
          <w:b/>
          <w:color w:val="auto"/>
          <w:szCs w:val="24"/>
          <w:lang w:val="zh-CN"/>
        </w:rPr>
      </w:pPr>
      <w:bookmarkStart w:id="353" w:name="_Toc102056245"/>
      <w:bookmarkStart w:id="354" w:name="_Toc102057745"/>
      <w:bookmarkStart w:id="355" w:name="_Toc102114947"/>
      <w:bookmarkStart w:id="356" w:name="_Toc102119880"/>
      <w:bookmarkStart w:id="357" w:name="_Toc102116179"/>
      <w:bookmarkStart w:id="358" w:name="_Toc102116049"/>
      <w:r>
        <w:rPr>
          <w:rFonts w:hint="eastAsia"/>
          <w:b/>
          <w:color w:val="auto"/>
          <w:szCs w:val="24"/>
        </w:rPr>
        <w:t>3.</w:t>
      </w:r>
      <w:r>
        <w:rPr>
          <w:rFonts w:hint="eastAsia"/>
          <w:b/>
          <w:color w:val="auto"/>
          <w:szCs w:val="24"/>
          <w:lang w:val="zh-CN"/>
        </w:rPr>
        <w:t>商务技术评</w:t>
      </w:r>
      <w:bookmarkEnd w:id="353"/>
      <w:bookmarkEnd w:id="354"/>
      <w:bookmarkEnd w:id="355"/>
      <w:bookmarkEnd w:id="356"/>
      <w:bookmarkEnd w:id="357"/>
      <w:bookmarkEnd w:id="358"/>
      <w:r>
        <w:rPr>
          <w:rFonts w:hint="eastAsia"/>
          <w:b/>
          <w:color w:val="auto"/>
          <w:szCs w:val="24"/>
          <w:lang w:val="zh-CN"/>
        </w:rPr>
        <w:t>审</w:t>
      </w:r>
    </w:p>
    <w:p w14:paraId="50C58A8F">
      <w:pPr>
        <w:wordWrap w:val="0"/>
        <w:spacing w:line="360" w:lineRule="auto"/>
        <w:ind w:firstLine="480" w:firstLineChars="200"/>
        <w:rPr>
          <w:bCs/>
          <w:strike/>
          <w:color w:val="auto"/>
          <w:lang w:val="zh-CN"/>
        </w:rPr>
      </w:pPr>
      <w:r>
        <w:rPr>
          <w:rFonts w:hint="eastAsia"/>
          <w:bCs/>
          <w:color w:val="auto"/>
          <w:lang w:val="zh-CN"/>
        </w:rPr>
        <w:t>磋商小组</w:t>
      </w:r>
      <w:r>
        <w:rPr>
          <w:bCs/>
          <w:color w:val="auto"/>
          <w:lang w:val="zh-CN"/>
        </w:rPr>
        <w:t>应</w:t>
      </w:r>
      <w:r>
        <w:rPr>
          <w:rFonts w:hint="eastAsia"/>
          <w:bCs/>
          <w:color w:val="auto"/>
          <w:lang w:val="zh-CN"/>
        </w:rPr>
        <w:t>当按照竞争性磋商</w:t>
      </w:r>
      <w:r>
        <w:rPr>
          <w:bCs/>
          <w:color w:val="auto"/>
          <w:lang w:val="zh-CN"/>
        </w:rPr>
        <w:t>文件要求及</w:t>
      </w:r>
      <w:r>
        <w:rPr>
          <w:rFonts w:hint="eastAsia"/>
          <w:bCs/>
          <w:color w:val="auto"/>
          <w:lang w:val="en-US" w:eastAsia="zh-CN"/>
        </w:rPr>
        <w:t>本</w:t>
      </w:r>
      <w:r>
        <w:rPr>
          <w:rFonts w:hint="eastAsia"/>
          <w:bCs/>
          <w:color w:val="auto"/>
          <w:lang w:val="zh-CN"/>
        </w:rPr>
        <w:t>章</w:t>
      </w:r>
      <w:r>
        <w:rPr>
          <w:bCs/>
          <w:color w:val="auto"/>
          <w:lang w:val="zh-CN"/>
        </w:rPr>
        <w:t>商务技术评</w:t>
      </w:r>
      <w:r>
        <w:rPr>
          <w:rFonts w:hint="eastAsia"/>
          <w:bCs/>
          <w:color w:val="auto"/>
          <w:lang w:val="en-US" w:eastAsia="zh-CN"/>
        </w:rPr>
        <w:t>分</w:t>
      </w:r>
      <w:r>
        <w:rPr>
          <w:rFonts w:hint="eastAsia"/>
          <w:bCs/>
          <w:color w:val="auto"/>
          <w:lang w:val="zh-CN"/>
        </w:rPr>
        <w:t>的要求对资格性和符合性检查合格的响应文件进行商务和技术评审。</w:t>
      </w:r>
    </w:p>
    <w:p w14:paraId="7A196EAD">
      <w:pPr>
        <w:pStyle w:val="45"/>
        <w:spacing w:line="360" w:lineRule="auto"/>
        <w:ind w:firstLine="0" w:firstLineChars="0"/>
        <w:rPr>
          <w:b/>
          <w:color w:val="auto"/>
          <w:szCs w:val="24"/>
          <w:lang w:val="zh-CN"/>
        </w:rPr>
      </w:pPr>
      <w:bookmarkStart w:id="359" w:name="_Toc102116181"/>
      <w:bookmarkStart w:id="360" w:name="_Toc102116051"/>
      <w:bookmarkStart w:id="361" w:name="_Toc102056247"/>
      <w:bookmarkStart w:id="362" w:name="_Toc102114949"/>
      <w:bookmarkStart w:id="363" w:name="_Toc102119882"/>
      <w:bookmarkStart w:id="364" w:name="_Toc102057747"/>
      <w:r>
        <w:rPr>
          <w:rFonts w:hint="eastAsia"/>
          <w:b/>
          <w:color w:val="auto"/>
          <w:szCs w:val="24"/>
        </w:rPr>
        <w:t>4.</w:t>
      </w:r>
      <w:r>
        <w:rPr>
          <w:rFonts w:hint="eastAsia"/>
          <w:b/>
          <w:color w:val="auto"/>
          <w:szCs w:val="24"/>
          <w:lang w:val="zh-CN"/>
        </w:rPr>
        <w:t>报价评</w:t>
      </w:r>
      <w:bookmarkEnd w:id="359"/>
      <w:bookmarkEnd w:id="360"/>
      <w:bookmarkEnd w:id="361"/>
      <w:bookmarkEnd w:id="362"/>
      <w:bookmarkEnd w:id="363"/>
      <w:bookmarkEnd w:id="364"/>
      <w:r>
        <w:rPr>
          <w:rFonts w:hint="eastAsia"/>
          <w:b/>
          <w:color w:val="auto"/>
          <w:szCs w:val="24"/>
          <w:lang w:val="zh-CN"/>
        </w:rPr>
        <w:t>审</w:t>
      </w:r>
    </w:p>
    <w:p w14:paraId="443FBF7D">
      <w:pPr>
        <w:wordWrap w:val="0"/>
        <w:adjustRightInd w:val="0"/>
        <w:snapToGrid w:val="0"/>
        <w:spacing w:line="360" w:lineRule="auto"/>
        <w:ind w:left="422" w:leftChars="-1" w:hanging="424" w:hangingChars="177"/>
        <w:rPr>
          <w:bCs/>
          <w:color w:val="auto"/>
          <w:szCs w:val="21"/>
          <w:lang w:val="zh-CN"/>
        </w:rPr>
      </w:pPr>
      <w:r>
        <w:rPr>
          <w:rFonts w:hint="eastAsia"/>
          <w:color w:val="auto"/>
          <w:szCs w:val="24"/>
        </w:rPr>
        <w:t>4.1</w:t>
      </w:r>
      <w:r>
        <w:rPr>
          <w:color w:val="auto"/>
          <w:szCs w:val="24"/>
        </w:rPr>
        <w:t xml:space="preserve"> </w:t>
      </w:r>
      <w:r>
        <w:rPr>
          <w:rFonts w:hint="eastAsia"/>
          <w:color w:val="auto"/>
          <w:szCs w:val="24"/>
          <w:lang w:val="zh-CN"/>
        </w:rPr>
        <w:t>报价合理性说明：</w:t>
      </w:r>
      <w:r>
        <w:rPr>
          <w:rFonts w:cs="Helvetica"/>
          <w:color w:val="auto"/>
          <w:szCs w:val="24"/>
          <w:lang w:val="zh-CN"/>
        </w:rPr>
        <w:t>磋商小组认为供应商的报价明显低于其他通过</w:t>
      </w:r>
      <w:r>
        <w:rPr>
          <w:rFonts w:hint="eastAsia"/>
          <w:bCs/>
          <w:color w:val="auto"/>
          <w:lang w:val="zh-CN"/>
        </w:rPr>
        <w:t>资格性和符合性检查</w:t>
      </w:r>
      <w:r>
        <w:rPr>
          <w:rFonts w:cs="Helvetica"/>
          <w:color w:val="auto"/>
          <w:szCs w:val="24"/>
          <w:lang w:val="zh-CN"/>
        </w:rPr>
        <w:t>审查供应商的报价，有可能影响产品质量或者不能诚信履约的，应当要求其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合理的时间内提供说明，必要时提交相关证明材料；供应商不能证明其报价合理性的，评审委员</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14:paraId="7B1AC0E9">
      <w:pPr>
        <w:wordWrap w:val="0"/>
        <w:adjustRightInd w:val="0"/>
        <w:snapToGrid w:val="0"/>
        <w:spacing w:line="360" w:lineRule="auto"/>
        <w:ind w:left="422" w:leftChars="-1" w:hanging="424" w:hangingChars="177"/>
        <w:rPr>
          <w:color w:val="auto"/>
          <w:szCs w:val="24"/>
          <w:lang w:val="zh-CN"/>
        </w:rPr>
      </w:pPr>
      <w:r>
        <w:rPr>
          <w:rFonts w:hint="eastAsia"/>
          <w:color w:val="auto"/>
          <w:szCs w:val="24"/>
        </w:rPr>
        <w:t>4.2</w:t>
      </w:r>
      <w:r>
        <w:rPr>
          <w:rFonts w:hint="eastAsia"/>
          <w:color w:val="auto"/>
          <w:szCs w:val="24"/>
          <w:lang w:val="zh-CN"/>
        </w:rPr>
        <w:t>价格</w:t>
      </w:r>
      <w:r>
        <w:rPr>
          <w:rFonts w:hint="eastAsia" w:cs="Helvetica"/>
          <w:color w:val="auto"/>
          <w:szCs w:val="24"/>
          <w:lang w:val="zh-CN"/>
        </w:rPr>
        <w:t>扣除</w:t>
      </w:r>
      <w:r>
        <w:rPr>
          <w:rFonts w:hint="eastAsia"/>
          <w:color w:val="auto"/>
          <w:szCs w:val="24"/>
          <w:lang w:val="zh-CN"/>
        </w:rPr>
        <w:t>：</w:t>
      </w:r>
      <w:r>
        <w:rPr>
          <w:color w:val="auto"/>
          <w:szCs w:val="24"/>
          <w:lang w:val="zh-CN"/>
        </w:rPr>
        <w:t xml:space="preserve"> </w:t>
      </w:r>
    </w:p>
    <w:p w14:paraId="545F61B8">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14:paraId="2D5F28E8">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14:paraId="60574DDE">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14:paraId="5EDA2F2B">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14:paraId="7EC32FCF">
      <w:pPr>
        <w:pStyle w:val="45"/>
        <w:spacing w:line="360" w:lineRule="auto"/>
        <w:ind w:firstLine="0" w:firstLineChars="0"/>
        <w:rPr>
          <w:b/>
          <w:color w:val="auto"/>
          <w:szCs w:val="24"/>
          <w:lang w:val="zh-CN"/>
        </w:rPr>
      </w:pPr>
      <w:bookmarkStart w:id="365" w:name="_Toc102116184"/>
      <w:bookmarkStart w:id="366" w:name="_Toc102057750"/>
      <w:bookmarkStart w:id="367" w:name="_Toc102056250"/>
      <w:bookmarkStart w:id="368" w:name="_Toc102114952"/>
      <w:bookmarkStart w:id="369" w:name="_Toc102119885"/>
      <w:bookmarkStart w:id="370" w:name="_Toc102116054"/>
      <w:r>
        <w:rPr>
          <w:rFonts w:hint="eastAsia"/>
          <w:b/>
          <w:color w:val="auto"/>
          <w:szCs w:val="24"/>
        </w:rPr>
        <w:t>5.</w:t>
      </w:r>
      <w:r>
        <w:rPr>
          <w:rFonts w:hint="eastAsia"/>
          <w:b/>
          <w:color w:val="auto"/>
          <w:szCs w:val="24"/>
          <w:lang w:val="zh-CN"/>
        </w:rPr>
        <w:t>评审报告</w:t>
      </w:r>
      <w:bookmarkEnd w:id="365"/>
      <w:bookmarkEnd w:id="366"/>
      <w:bookmarkEnd w:id="367"/>
      <w:bookmarkEnd w:id="368"/>
      <w:bookmarkEnd w:id="369"/>
      <w:bookmarkEnd w:id="370"/>
    </w:p>
    <w:p w14:paraId="64959EA4">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5.1</w:t>
      </w:r>
      <w:r>
        <w:rPr>
          <w:rFonts w:hint="eastAsia" w:cs="Helvetica"/>
          <w:color w:val="auto"/>
          <w:szCs w:val="24"/>
          <w:lang w:val="zh-CN"/>
        </w:rPr>
        <w:t>磋商小组</w:t>
      </w:r>
      <w:r>
        <w:rPr>
          <w:rFonts w:hint="eastAsia"/>
          <w:color w:val="auto"/>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color w:val="auto"/>
          <w:szCs w:val="24"/>
          <w:lang w:val="zh-CN"/>
        </w:rPr>
        <w:t>磋商小组</w:t>
      </w:r>
      <w:r>
        <w:rPr>
          <w:rFonts w:hint="eastAsia"/>
          <w:color w:val="auto"/>
          <w:szCs w:val="21"/>
        </w:rPr>
        <w:t>按照最后报价由低到高确定评审结果排序；得分相同，且最后报价也相同的，</w:t>
      </w:r>
      <w:r>
        <w:rPr>
          <w:rFonts w:hint="eastAsia" w:cs="Helvetica"/>
          <w:color w:val="auto"/>
          <w:szCs w:val="24"/>
          <w:lang w:val="zh-CN"/>
        </w:rPr>
        <w:t>磋商小组</w:t>
      </w:r>
      <w:r>
        <w:rPr>
          <w:rFonts w:hint="eastAsia"/>
          <w:color w:val="auto"/>
          <w:szCs w:val="21"/>
        </w:rPr>
        <w:t>按技术优劣或投票确定评审结果排序</w:t>
      </w:r>
      <w:r>
        <w:rPr>
          <w:rFonts w:hint="eastAsia" w:cs="Helvetica"/>
          <w:color w:val="auto"/>
          <w:szCs w:val="24"/>
          <w:lang w:val="zh-CN"/>
        </w:rPr>
        <w:t>。</w:t>
      </w:r>
    </w:p>
    <w:p w14:paraId="7AA6B9AB">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5.2</w:t>
      </w:r>
      <w:r>
        <w:rPr>
          <w:rFonts w:hint="eastAsia" w:cs="Helvetica"/>
          <w:color w:val="auto"/>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71" w:name="_Toc494561963"/>
      <w:bookmarkStart w:id="372" w:name="_Toc511894519"/>
    </w:p>
    <w:p w14:paraId="36A90FCE">
      <w:pPr>
        <w:pStyle w:val="45"/>
        <w:spacing w:line="360" w:lineRule="auto"/>
        <w:ind w:firstLine="0" w:firstLineChars="0"/>
        <w:rPr>
          <w:b/>
          <w:color w:val="auto"/>
          <w:szCs w:val="24"/>
          <w:lang w:val="zh-CN"/>
        </w:rPr>
      </w:pPr>
      <w:bookmarkStart w:id="373" w:name="_Toc102116021"/>
      <w:bookmarkStart w:id="374" w:name="_Toc102116151"/>
      <w:bookmarkStart w:id="375" w:name="_Toc102119852"/>
      <w:bookmarkStart w:id="376" w:name="_Toc102056217"/>
      <w:bookmarkStart w:id="377" w:name="_Toc102114919"/>
      <w:bookmarkStart w:id="378" w:name="_Toc102057717"/>
      <w:r>
        <w:rPr>
          <w:rFonts w:hint="eastAsia"/>
          <w:b/>
          <w:color w:val="auto"/>
          <w:szCs w:val="24"/>
        </w:rPr>
        <w:t>6.</w:t>
      </w:r>
      <w:r>
        <w:rPr>
          <w:rFonts w:hint="eastAsia"/>
          <w:b/>
          <w:color w:val="auto"/>
          <w:szCs w:val="24"/>
          <w:lang w:val="zh-CN"/>
        </w:rPr>
        <w:t>应予废标的情形</w:t>
      </w:r>
      <w:bookmarkEnd w:id="373"/>
      <w:bookmarkEnd w:id="374"/>
      <w:bookmarkEnd w:id="375"/>
      <w:bookmarkEnd w:id="376"/>
      <w:bookmarkEnd w:id="377"/>
      <w:bookmarkEnd w:id="378"/>
    </w:p>
    <w:p w14:paraId="52C021F2">
      <w:pPr>
        <w:wordWrap w:val="0"/>
        <w:adjustRightInd w:val="0"/>
        <w:snapToGrid w:val="0"/>
        <w:spacing w:line="360" w:lineRule="auto"/>
        <w:ind w:left="422" w:leftChars="-1" w:hanging="424" w:hangingChars="177"/>
        <w:rPr>
          <w:color w:val="auto"/>
          <w:szCs w:val="24"/>
          <w:lang w:val="zh-CN"/>
        </w:rPr>
      </w:pPr>
      <w:r>
        <w:rPr>
          <w:rFonts w:hint="eastAsia"/>
          <w:color w:val="auto"/>
          <w:szCs w:val="24"/>
        </w:rPr>
        <w:t>6.1</w:t>
      </w:r>
      <w:r>
        <w:rPr>
          <w:rFonts w:hint="eastAsia"/>
          <w:color w:val="auto"/>
          <w:szCs w:val="24"/>
          <w:lang w:val="zh-CN"/>
        </w:rPr>
        <w:t>在竞争性</w:t>
      </w:r>
      <w:r>
        <w:rPr>
          <w:rFonts w:hint="eastAsia" w:cs="Helvetica"/>
          <w:color w:val="auto"/>
          <w:szCs w:val="24"/>
          <w:lang w:val="zh-CN"/>
        </w:rPr>
        <w:t>磋商</w:t>
      </w:r>
      <w:r>
        <w:rPr>
          <w:rFonts w:hint="eastAsia"/>
          <w:color w:val="auto"/>
          <w:szCs w:val="24"/>
          <w:lang w:val="zh-CN"/>
        </w:rPr>
        <w:t>采购</w:t>
      </w:r>
      <w:r>
        <w:rPr>
          <w:rFonts w:hint="eastAsia" w:cs="Helvetica"/>
          <w:color w:val="auto"/>
          <w:szCs w:val="24"/>
          <w:lang w:val="zh-CN"/>
        </w:rPr>
        <w:t>过程</w:t>
      </w:r>
      <w:r>
        <w:rPr>
          <w:rFonts w:hint="eastAsia"/>
          <w:color w:val="auto"/>
          <w:szCs w:val="24"/>
          <w:lang w:val="zh-CN"/>
        </w:rPr>
        <w:t>中，出现下列情形之一的，应予废标：</w:t>
      </w:r>
    </w:p>
    <w:p w14:paraId="417CBCB4">
      <w:pPr>
        <w:pStyle w:val="11"/>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（1）符合专业条件的供应商或者对竞争性磋商文件作实质响应的供应商不足三家的；</w:t>
      </w:r>
      <w:r>
        <w:rPr>
          <w:color w:val="auto"/>
          <w:szCs w:val="24"/>
          <w:lang w:val="zh-CN"/>
        </w:rPr>
        <w:t xml:space="preserve"> </w:t>
      </w:r>
    </w:p>
    <w:p w14:paraId="105FF397">
      <w:pPr>
        <w:pStyle w:val="11"/>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14:paraId="14DFEC18">
      <w:pPr>
        <w:pStyle w:val="11"/>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（3）因情况变化，不再符合规定的竞争性磋商采购方式适用情形的；</w:t>
      </w:r>
    </w:p>
    <w:p w14:paraId="6DCF9741">
      <w:pPr>
        <w:pStyle w:val="11"/>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14:paraId="5030DF83">
      <w:pPr>
        <w:wordWrap w:val="0"/>
        <w:adjustRightInd w:val="0"/>
        <w:snapToGrid w:val="0"/>
        <w:spacing w:line="360" w:lineRule="auto"/>
        <w:ind w:left="422" w:leftChars="-1" w:hanging="424" w:hangingChars="177"/>
        <w:rPr>
          <w:color w:val="auto"/>
          <w:szCs w:val="24"/>
          <w:lang w:val="zh-CN"/>
        </w:rPr>
      </w:pPr>
      <w:r>
        <w:rPr>
          <w:rFonts w:hint="eastAsia"/>
          <w:color w:val="auto"/>
          <w:szCs w:val="24"/>
        </w:rPr>
        <w:t>6.2</w:t>
      </w:r>
      <w:r>
        <w:rPr>
          <w:rFonts w:hint="eastAsia"/>
          <w:color w:val="auto"/>
          <w:szCs w:val="24"/>
          <w:lang w:val="zh-CN"/>
        </w:rPr>
        <w:t>废</w:t>
      </w:r>
      <w:r>
        <w:rPr>
          <w:rFonts w:hint="eastAsia" w:cs="Helvetica"/>
          <w:color w:val="auto"/>
          <w:szCs w:val="24"/>
          <w:lang w:val="zh-CN"/>
        </w:rPr>
        <w:t>标</w:t>
      </w:r>
      <w:r>
        <w:rPr>
          <w:rFonts w:hint="eastAsia"/>
          <w:color w:val="auto"/>
          <w:szCs w:val="24"/>
          <w:lang w:val="zh-CN"/>
        </w:rPr>
        <w:t>后，采购人应当将废标理由通知所有供应商。</w:t>
      </w:r>
    </w:p>
    <w:p w14:paraId="7AF068DE">
      <w:pPr>
        <w:pStyle w:val="45"/>
        <w:spacing w:line="360" w:lineRule="auto"/>
        <w:ind w:firstLine="0" w:firstLineChars="0"/>
        <w:rPr>
          <w:b/>
          <w:color w:val="auto"/>
          <w:szCs w:val="24"/>
          <w:lang w:val="zh-CN"/>
        </w:rPr>
      </w:pPr>
      <w:bookmarkStart w:id="379" w:name="_Toc102116152"/>
      <w:bookmarkStart w:id="380" w:name="_Toc102057718"/>
      <w:bookmarkStart w:id="381" w:name="_Toc102056218"/>
      <w:bookmarkStart w:id="382" w:name="_Toc102114920"/>
      <w:bookmarkStart w:id="383" w:name="_Toc102116022"/>
      <w:bookmarkStart w:id="384" w:name="_Toc102119853"/>
      <w:r>
        <w:rPr>
          <w:rFonts w:hint="eastAsia"/>
          <w:b/>
          <w:color w:val="auto"/>
          <w:szCs w:val="24"/>
        </w:rPr>
        <w:t>7.</w:t>
      </w:r>
      <w:r>
        <w:rPr>
          <w:rFonts w:hint="eastAsia"/>
          <w:b/>
          <w:color w:val="auto"/>
          <w:szCs w:val="24"/>
          <w:lang w:val="zh-CN"/>
        </w:rPr>
        <w:t>停止评审的情形</w:t>
      </w:r>
      <w:bookmarkEnd w:id="379"/>
      <w:bookmarkEnd w:id="380"/>
      <w:bookmarkEnd w:id="381"/>
      <w:bookmarkEnd w:id="382"/>
      <w:bookmarkEnd w:id="383"/>
      <w:bookmarkEnd w:id="384"/>
    </w:p>
    <w:p w14:paraId="14A0F344">
      <w:pPr>
        <w:pStyle w:val="11"/>
        <w:wordWrap w:val="0"/>
        <w:adjustRightInd w:val="0"/>
        <w:snapToGrid w:val="0"/>
        <w:spacing w:line="360" w:lineRule="auto"/>
        <w:ind w:firstLine="480" w:firstLineChars="200"/>
        <w:rPr>
          <w:color w:val="auto"/>
          <w:szCs w:val="24"/>
          <w:lang w:val="zh-CN"/>
        </w:rPr>
      </w:pPr>
      <w:r>
        <w:rPr>
          <w:rFonts w:hint="eastAsia"/>
          <w:color w:val="auto"/>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6273F051">
      <w:pPr>
        <w:pStyle w:val="2"/>
        <w:numPr>
          <w:ilvl w:val="0"/>
          <w:numId w:val="44"/>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5" w:name="_Toc102056251"/>
      <w:bookmarkStart w:id="386" w:name="_Toc102057751"/>
      <w:bookmarkStart w:id="387" w:name="_Toc102119886"/>
      <w:bookmarkStart w:id="388" w:name="_Toc102116185"/>
      <w:bookmarkStart w:id="389" w:name="_Toc102116055"/>
      <w:bookmarkStart w:id="390" w:name="_Toc102114953"/>
      <w:bookmarkStart w:id="391" w:name="_Toc122527543"/>
      <w:bookmarkStart w:id="392" w:name="_Toc117244480"/>
      <w:bookmarkStart w:id="393" w:name="_Toc117244365"/>
      <w:r>
        <w:rPr>
          <w:rFonts w:hint="eastAsia" w:ascii="宋体" w:hAnsi="宋体" w:eastAsia="宋体" w:cs="Times New Roman"/>
          <w:bCs w:val="0"/>
          <w:color w:val="auto"/>
          <w:sz w:val="28"/>
          <w:szCs w:val="28"/>
          <w:lang w:val="zh-CN"/>
        </w:rPr>
        <w:t>评审标准</w:t>
      </w:r>
      <w:bookmarkEnd w:id="385"/>
      <w:bookmarkEnd w:id="386"/>
      <w:bookmarkEnd w:id="387"/>
      <w:bookmarkEnd w:id="388"/>
      <w:bookmarkEnd w:id="389"/>
      <w:bookmarkEnd w:id="390"/>
      <w:bookmarkEnd w:id="391"/>
      <w:bookmarkEnd w:id="392"/>
      <w:bookmarkEnd w:id="393"/>
    </w:p>
    <w:bookmarkEnd w:id="371"/>
    <w:bookmarkEnd w:id="372"/>
    <w:p w14:paraId="549FF4AB">
      <w:pPr>
        <w:pStyle w:val="45"/>
        <w:numPr>
          <w:ilvl w:val="0"/>
          <w:numId w:val="46"/>
        </w:numPr>
        <w:spacing w:line="360" w:lineRule="auto"/>
        <w:ind w:left="567" w:hanging="283" w:firstLineChars="0"/>
        <w:rPr>
          <w:rFonts w:hint="eastAsia"/>
          <w:b/>
          <w:color w:val="auto"/>
          <w:szCs w:val="24"/>
          <w:lang w:val="zh-CN"/>
        </w:rPr>
      </w:pPr>
      <w:bookmarkStart w:id="394" w:name="_Toc102119887"/>
      <w:bookmarkStart w:id="395" w:name="_Toc102116186"/>
      <w:bookmarkStart w:id="396" w:name="_Toc102116056"/>
      <w:bookmarkStart w:id="397" w:name="_Toc102114954"/>
      <w:bookmarkStart w:id="398" w:name="_Toc102056252"/>
      <w:bookmarkStart w:id="399" w:name="_Toc102057752"/>
      <w:r>
        <w:rPr>
          <w:rFonts w:hint="eastAsia"/>
          <w:b/>
          <w:color w:val="auto"/>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3F3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1E0E5C51">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14:paraId="7237BE32">
            <w:pPr>
              <w:wordWrap w:val="0"/>
              <w:spacing w:line="360" w:lineRule="auto"/>
              <w:jc w:val="center"/>
              <w:rPr>
                <w:b/>
                <w:bCs/>
                <w:color w:val="auto"/>
                <w:szCs w:val="24"/>
                <w:lang w:val="zh-CN"/>
              </w:rPr>
            </w:pPr>
            <w:r>
              <w:rPr>
                <w:rFonts w:hint="eastAsia"/>
                <w:b/>
                <w:bCs/>
                <w:color w:val="auto"/>
                <w:szCs w:val="24"/>
                <w:lang w:val="zh-CN"/>
              </w:rPr>
              <w:t>评审内容</w:t>
            </w:r>
          </w:p>
        </w:tc>
      </w:tr>
      <w:tr w14:paraId="39C9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99AE3A">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tcPr>
          <w:p w14:paraId="33707ED9">
            <w:pPr>
              <w:wordWrap w:val="0"/>
              <w:spacing w:line="360" w:lineRule="auto"/>
              <w:rPr>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14:paraId="36A0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FC44895">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4D3D1577">
            <w:pPr>
              <w:wordWrap w:val="0"/>
              <w:spacing w:line="360" w:lineRule="auto"/>
              <w:rPr>
                <w:color w:val="auto"/>
                <w:szCs w:val="24"/>
                <w:lang w:val="zh-CN"/>
              </w:rPr>
            </w:pPr>
            <w:r>
              <w:rPr>
                <w:rFonts w:hint="eastAsia"/>
                <w:color w:val="auto"/>
                <w:szCs w:val="24"/>
                <w:lang w:val="zh-CN"/>
              </w:rPr>
              <w:t>提供“财务状况报告，依法缴纳税收和社会保障资金的声明函”；</w:t>
            </w:r>
          </w:p>
        </w:tc>
      </w:tr>
      <w:tr w14:paraId="0339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881027">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43E38587">
            <w:pPr>
              <w:wordWrap w:val="0"/>
              <w:spacing w:line="360" w:lineRule="auto"/>
              <w:rPr>
                <w:color w:val="auto"/>
                <w:szCs w:val="24"/>
                <w:lang w:val="zh-CN"/>
              </w:rPr>
            </w:pPr>
            <w:r>
              <w:rPr>
                <w:rFonts w:hint="eastAsia"/>
                <w:color w:val="auto"/>
                <w:szCs w:val="24"/>
                <w:lang w:val="zh-CN"/>
              </w:rPr>
              <w:t>提供“具备履行合同所必需的设备和专业技术能力的声明函”；</w:t>
            </w:r>
          </w:p>
        </w:tc>
      </w:tr>
      <w:tr w14:paraId="5F26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E75307">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272C7AC3">
            <w:pPr>
              <w:wordWrap w:val="0"/>
              <w:spacing w:line="360" w:lineRule="auto"/>
              <w:rPr>
                <w:color w:val="auto"/>
                <w:szCs w:val="24"/>
                <w:lang w:val="zh-CN"/>
              </w:rPr>
            </w:pPr>
            <w:r>
              <w:rPr>
                <w:rFonts w:hint="eastAsia"/>
                <w:color w:val="auto"/>
                <w:szCs w:val="24"/>
                <w:lang w:val="zh-CN"/>
              </w:rPr>
              <w:t>提供“无重大违法记录的声明函”；</w:t>
            </w:r>
          </w:p>
        </w:tc>
      </w:tr>
      <w:tr w14:paraId="56C7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6576D2">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5D03155A">
            <w:pPr>
              <w:wordWrap w:val="0"/>
              <w:spacing w:line="360" w:lineRule="auto"/>
              <w:rPr>
                <w:color w:val="auto"/>
                <w:szCs w:val="24"/>
                <w:lang w:val="zh-CN"/>
              </w:rPr>
            </w:pPr>
            <w:r>
              <w:rPr>
                <w:color w:val="auto"/>
                <w:sz w:val="24"/>
              </w:rPr>
              <w:t>供应商须具备在有效期内的相关行政主管部门颁发的《保安服务许可证》</w:t>
            </w:r>
          </w:p>
        </w:tc>
      </w:tr>
      <w:tr w14:paraId="6744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8745CD9">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2C60684D">
            <w:pPr>
              <w:wordWrap w:val="0"/>
              <w:spacing w:line="360" w:lineRule="auto"/>
              <w:rPr>
                <w:color w:val="auto"/>
                <w:szCs w:val="24"/>
                <w:lang w:val="zh-CN"/>
              </w:rPr>
            </w:pPr>
            <w:r>
              <w:rPr>
                <w:rFonts w:hint="eastAsia"/>
                <w:color w:val="auto"/>
                <w:szCs w:val="24"/>
                <w:lang w:val="zh-CN"/>
              </w:rPr>
              <w:t>提供“未与有关系的其它投标人参加同一合同采购活动的声明函”。</w:t>
            </w:r>
          </w:p>
        </w:tc>
      </w:tr>
      <w:tr w14:paraId="550F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F13AEC">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54071FAC">
            <w:pPr>
              <w:wordWrap w:val="0"/>
              <w:spacing w:line="360" w:lineRule="auto"/>
              <w:rPr>
                <w:color w:val="auto"/>
                <w:szCs w:val="24"/>
                <w:lang w:val="zh-CN"/>
              </w:rPr>
            </w:pPr>
            <w:r>
              <w:rPr>
                <w:rFonts w:hint="eastAsia"/>
                <w:color w:val="auto"/>
                <w:szCs w:val="24"/>
                <w:lang w:val="zh-CN"/>
              </w:rPr>
              <w:t>提供“未为本项目提供相关服务的声明函”。</w:t>
            </w:r>
          </w:p>
        </w:tc>
      </w:tr>
      <w:tr w14:paraId="52F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EC0385">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1D350FCB">
            <w:pPr>
              <w:wordWrap w:val="0"/>
              <w:spacing w:line="360" w:lineRule="auto"/>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r>
              <w:rPr>
                <w:rFonts w:hint="eastAsia"/>
                <w:i w:val="0"/>
                <w:iCs w:val="0"/>
                <w:color w:val="auto"/>
                <w:szCs w:val="24"/>
                <w:lang w:val="en-US" w:eastAsia="zh-CN"/>
              </w:rPr>
              <w:t>并提供信用中国查询记录</w:t>
            </w:r>
          </w:p>
        </w:tc>
      </w:tr>
      <w:tr w14:paraId="5288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7F177C9">
            <w:pPr>
              <w:pStyle w:val="45"/>
              <w:numPr>
                <w:ilvl w:val="0"/>
                <w:numId w:val="47"/>
              </w:numPr>
              <w:tabs>
                <w:tab w:val="left" w:pos="284"/>
              </w:tabs>
              <w:wordWrap w:val="0"/>
              <w:spacing w:line="360" w:lineRule="auto"/>
              <w:ind w:left="142" w:leftChars="0" w:hanging="142" w:firstLineChars="0"/>
              <w:jc w:val="center"/>
              <w:rPr>
                <w:bCs/>
                <w:i/>
                <w:color w:val="auto"/>
                <w:szCs w:val="24"/>
                <w:lang w:val="zh-CN"/>
              </w:rPr>
            </w:pPr>
          </w:p>
        </w:tc>
        <w:tc>
          <w:tcPr>
            <w:tcW w:w="8863" w:type="dxa"/>
            <w:vAlign w:val="center"/>
          </w:tcPr>
          <w:p w14:paraId="577D77B7">
            <w:pPr>
              <w:wordWrap w:val="0"/>
              <w:spacing w:line="360" w:lineRule="auto"/>
              <w:rPr>
                <w:rFonts w:hint="eastAsia" w:eastAsia="宋体"/>
                <w:i w:val="0"/>
                <w:iCs w:val="0"/>
                <w:color w:val="auto"/>
                <w:szCs w:val="24"/>
                <w:lang w:val="zh-CN" w:eastAsia="zh-CN"/>
              </w:rPr>
            </w:pP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14:paraId="6916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24172B">
            <w:pPr>
              <w:pStyle w:val="45"/>
              <w:numPr>
                <w:ilvl w:val="0"/>
                <w:numId w:val="47"/>
              </w:numPr>
              <w:tabs>
                <w:tab w:val="left" w:pos="284"/>
              </w:tabs>
              <w:wordWrap w:val="0"/>
              <w:spacing w:line="360" w:lineRule="auto"/>
              <w:ind w:left="142" w:leftChars="0" w:hanging="142" w:firstLineChars="0"/>
              <w:jc w:val="center"/>
              <w:rPr>
                <w:bCs/>
                <w:i/>
                <w:color w:val="auto"/>
                <w:szCs w:val="24"/>
                <w:lang w:val="zh-CN"/>
              </w:rPr>
            </w:pPr>
          </w:p>
        </w:tc>
        <w:tc>
          <w:tcPr>
            <w:tcW w:w="8863" w:type="dxa"/>
            <w:vAlign w:val="top"/>
          </w:tcPr>
          <w:p w14:paraId="4F165C40">
            <w:pPr>
              <w:wordWrap w:val="0"/>
              <w:spacing w:line="360" w:lineRule="auto"/>
              <w:rPr>
                <w:rFonts w:hint="eastAsia" w:ascii="宋体" w:hAnsi="宋体" w:eastAsia="宋体" w:cs="Times New Roman"/>
                <w:bCs/>
                <w:color w:val="auto"/>
                <w:sz w:val="24"/>
                <w:szCs w:val="24"/>
                <w:lang w:val="zh-CN" w:eastAsia="zh-CN" w:bidi="ar-SA"/>
              </w:rPr>
            </w:pPr>
            <w:r>
              <w:rPr>
                <w:rFonts w:hint="eastAsia"/>
                <w:color w:val="auto"/>
                <w:szCs w:val="24"/>
                <w:lang w:val="zh-CN"/>
              </w:rPr>
              <w:t>磋商报价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14:paraId="523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DED2B2">
            <w:pPr>
              <w:pStyle w:val="45"/>
              <w:numPr>
                <w:ilvl w:val="0"/>
                <w:numId w:val="47"/>
              </w:numPr>
              <w:tabs>
                <w:tab w:val="left" w:pos="284"/>
              </w:tabs>
              <w:wordWrap w:val="0"/>
              <w:spacing w:line="360" w:lineRule="auto"/>
              <w:ind w:left="142" w:leftChars="0" w:hanging="142" w:firstLineChars="0"/>
              <w:jc w:val="center"/>
              <w:rPr>
                <w:bCs/>
                <w:color w:val="auto"/>
                <w:szCs w:val="24"/>
                <w:lang w:val="zh-CN"/>
              </w:rPr>
            </w:pPr>
          </w:p>
        </w:tc>
        <w:tc>
          <w:tcPr>
            <w:tcW w:w="8863" w:type="dxa"/>
            <w:vAlign w:val="top"/>
          </w:tcPr>
          <w:p w14:paraId="27158A3B">
            <w:pPr>
              <w:wordWrap w:val="0"/>
              <w:spacing w:line="360" w:lineRule="auto"/>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《磋商书》、《磋商报价明细表》</w:t>
            </w:r>
            <w:r>
              <w:rPr>
                <w:rFonts w:hint="eastAsia"/>
                <w:color w:val="auto"/>
                <w:szCs w:val="24"/>
                <w:lang w:val="en-US" w:eastAsia="zh-CN"/>
              </w:rPr>
              <w:t>并</w:t>
            </w:r>
            <w:r>
              <w:rPr>
                <w:rFonts w:hint="eastAsia"/>
                <w:color w:val="auto"/>
                <w:szCs w:val="24"/>
                <w:lang w:val="zh-CN"/>
              </w:rPr>
              <w:t>符合竞争性磋商文件要求；</w:t>
            </w:r>
          </w:p>
        </w:tc>
      </w:tr>
      <w:tr w14:paraId="1E6B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E26CB34">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22BBBA29">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zh-CN"/>
              </w:rPr>
              <w:t>工期（服务期限）、质保期符合竞争性磋商文件要求；</w:t>
            </w:r>
          </w:p>
        </w:tc>
      </w:tr>
      <w:tr w14:paraId="311D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45A7F36">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44AAF6DA">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磋商方案；</w:t>
            </w:r>
          </w:p>
        </w:tc>
      </w:tr>
      <w:tr w14:paraId="136C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8F40CB">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25F8082C">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需满足</w:t>
            </w:r>
            <w:r>
              <w:rPr>
                <w:rFonts w:hint="eastAsia"/>
                <w:color w:val="auto"/>
                <w:szCs w:val="24"/>
                <w:lang w:val="zh-CN"/>
              </w:rPr>
              <w:t>磋商有效期；</w:t>
            </w:r>
          </w:p>
        </w:tc>
      </w:tr>
      <w:tr w14:paraId="6ADC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6DEBD821">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0CF5002D">
            <w:pPr>
              <w:wordWrap w:val="0"/>
              <w:spacing w:line="360" w:lineRule="auto"/>
              <w:rPr>
                <w:rFonts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14:paraId="4421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D4FB387">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7C2DE0AB">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en-US" w:eastAsia="zh-CN"/>
              </w:rPr>
              <w:t>需</w:t>
            </w:r>
            <w:r>
              <w:rPr>
                <w:rFonts w:hint="eastAsia"/>
                <w:i w:val="0"/>
                <w:iCs w:val="0"/>
                <w:color w:val="auto"/>
                <w:szCs w:val="24"/>
                <w:lang w:val="zh-CN"/>
              </w:rPr>
              <w:t>提供所投服务确定的</w:t>
            </w:r>
            <w:r>
              <w:rPr>
                <w:rFonts w:hint="eastAsia"/>
                <w:i w:val="0"/>
                <w:iCs w:val="0"/>
                <w:color w:val="auto"/>
                <w:szCs w:val="24"/>
                <w:lang w:val="en-US" w:eastAsia="zh-CN"/>
              </w:rPr>
              <w:t>服务</w:t>
            </w:r>
            <w:r>
              <w:rPr>
                <w:rFonts w:hint="eastAsia"/>
                <w:i w:val="0"/>
                <w:iCs w:val="0"/>
                <w:color w:val="auto"/>
                <w:szCs w:val="24"/>
                <w:lang w:val="zh-CN"/>
              </w:rPr>
              <w:t>表述，</w:t>
            </w:r>
            <w:r>
              <w:rPr>
                <w:rFonts w:hint="eastAsia"/>
                <w:i w:val="0"/>
                <w:iCs w:val="0"/>
                <w:color w:val="auto"/>
                <w:szCs w:val="24"/>
                <w:lang w:val="en-US" w:eastAsia="zh-CN"/>
              </w:rPr>
              <w:t>需</w:t>
            </w:r>
            <w:r>
              <w:rPr>
                <w:rFonts w:hint="eastAsia"/>
                <w:i w:val="0"/>
                <w:iCs w:val="0"/>
                <w:color w:val="auto"/>
                <w:szCs w:val="24"/>
                <w:lang w:val="zh-CN"/>
              </w:rPr>
              <w:t>明确响应竞争性磋商文件</w:t>
            </w:r>
            <w:r>
              <w:rPr>
                <w:rFonts w:hint="eastAsia"/>
                <w:i w:val="0"/>
                <w:iCs w:val="0"/>
                <w:color w:val="auto"/>
                <w:szCs w:val="24"/>
                <w:lang w:val="en-US" w:eastAsia="zh-CN"/>
              </w:rPr>
              <w:t>的服务</w:t>
            </w:r>
            <w:r>
              <w:rPr>
                <w:rFonts w:hint="eastAsia"/>
                <w:i w:val="0"/>
                <w:iCs w:val="0"/>
                <w:color w:val="auto"/>
                <w:szCs w:val="24"/>
                <w:lang w:val="zh-CN"/>
              </w:rPr>
              <w:t>需求；</w:t>
            </w:r>
          </w:p>
        </w:tc>
      </w:tr>
      <w:tr w14:paraId="16C4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9012D5">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vAlign w:val="top"/>
          </w:tcPr>
          <w:p w14:paraId="6163BA7F">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zh-CN"/>
              </w:rPr>
              <w:t>按要求提供《商务要求响应偏离说明表》、《技术要求响应偏离说明表》；</w:t>
            </w:r>
          </w:p>
        </w:tc>
      </w:tr>
      <w:tr w14:paraId="68EA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34333E7">
            <w:pPr>
              <w:pStyle w:val="45"/>
              <w:numPr>
                <w:ilvl w:val="0"/>
                <w:numId w:val="47"/>
              </w:numPr>
              <w:wordWrap w:val="0"/>
              <w:spacing w:line="360" w:lineRule="auto"/>
              <w:ind w:left="142" w:leftChars="0" w:hanging="142" w:firstLineChars="0"/>
              <w:jc w:val="center"/>
              <w:rPr>
                <w:bCs/>
                <w:color w:val="auto"/>
                <w:szCs w:val="24"/>
                <w:lang w:val="zh-CN"/>
              </w:rPr>
            </w:pPr>
          </w:p>
        </w:tc>
        <w:tc>
          <w:tcPr>
            <w:tcW w:w="8863" w:type="dxa"/>
          </w:tcPr>
          <w:p w14:paraId="189391FB">
            <w:pPr>
              <w:wordWrap w:val="0"/>
              <w:spacing w:line="360" w:lineRule="auto"/>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14:paraId="231E87C0">
      <w:pPr>
        <w:pStyle w:val="45"/>
        <w:numPr>
          <w:ilvl w:val="0"/>
          <w:numId w:val="0"/>
        </w:numPr>
        <w:spacing w:line="360" w:lineRule="auto"/>
        <w:ind w:left="284" w:leftChars="0"/>
        <w:rPr>
          <w:rFonts w:hint="eastAsia"/>
          <w:b/>
          <w:color w:val="auto"/>
          <w:szCs w:val="24"/>
          <w:lang w:val="zh-CN"/>
        </w:rPr>
      </w:pPr>
    </w:p>
    <w:bookmarkEnd w:id="394"/>
    <w:bookmarkEnd w:id="395"/>
    <w:bookmarkEnd w:id="396"/>
    <w:bookmarkEnd w:id="397"/>
    <w:bookmarkEnd w:id="398"/>
    <w:bookmarkEnd w:id="399"/>
    <w:p w14:paraId="6E9B8034">
      <w:pPr>
        <w:pStyle w:val="45"/>
        <w:numPr>
          <w:ilvl w:val="0"/>
          <w:numId w:val="46"/>
        </w:numPr>
        <w:spacing w:line="360" w:lineRule="auto"/>
        <w:ind w:left="240" w:hanging="247" w:firstLineChars="0"/>
        <w:rPr>
          <w:b/>
          <w:color w:val="auto"/>
          <w:szCs w:val="24"/>
          <w:lang w:val="zh-CN"/>
        </w:rPr>
      </w:pPr>
      <w:bookmarkStart w:id="400" w:name="_Toc117244487"/>
      <w:bookmarkStart w:id="401" w:name="_Toc102116189"/>
      <w:bookmarkStart w:id="402" w:name="_Toc511894520"/>
      <w:bookmarkStart w:id="403" w:name="_Toc102116059"/>
      <w:bookmarkStart w:id="404" w:name="_Toc102114957"/>
      <w:bookmarkStart w:id="405" w:name="_Toc102057755"/>
      <w:bookmarkStart w:id="406" w:name="_Toc102119890"/>
      <w:bookmarkStart w:id="407" w:name="_Toc102056255"/>
      <w:bookmarkStart w:id="408" w:name="_Toc117244372"/>
      <w:r>
        <w:rPr>
          <w:rFonts w:hint="eastAsia"/>
          <w:b/>
          <w:color w:val="auto"/>
          <w:szCs w:val="24"/>
          <w:lang w:val="zh-CN"/>
        </w:rPr>
        <w:t>商务评分（</w:t>
      </w:r>
      <w:r>
        <w:rPr>
          <w:rFonts w:hint="eastAsia"/>
          <w:b/>
          <w:color w:val="auto"/>
          <w:szCs w:val="24"/>
          <w:lang w:val="en-US" w:eastAsia="zh-CN"/>
        </w:rPr>
        <w:t>25</w:t>
      </w:r>
      <w:r>
        <w:rPr>
          <w:rFonts w:hint="eastAsia"/>
          <w:b/>
          <w:color w:val="auto"/>
          <w:szCs w:val="24"/>
          <w:lang w:val="zh-CN"/>
        </w:rPr>
        <w:t>分）</w:t>
      </w:r>
    </w:p>
    <w:tbl>
      <w:tblPr>
        <w:tblStyle w:val="31"/>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4"/>
        <w:gridCol w:w="984"/>
        <w:gridCol w:w="800"/>
        <w:gridCol w:w="5635"/>
        <w:gridCol w:w="1277"/>
      </w:tblGrid>
      <w:tr w14:paraId="321493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984" w:type="dxa"/>
            <w:tcBorders>
              <w:top w:val="single" w:color="auto" w:sz="12" w:space="0"/>
              <w:bottom w:val="single" w:color="auto" w:sz="2" w:space="0"/>
            </w:tcBorders>
            <w:shd w:val="pct10" w:color="C3BD96" w:themeColor="background2" w:themeShade="BF" w:fill="DDD9C4" w:themeFill="background2" w:themeFillShade="E6"/>
            <w:vAlign w:val="center"/>
          </w:tcPr>
          <w:p w14:paraId="75E1C7AC">
            <w:pPr>
              <w:wordWrap w:val="0"/>
              <w:ind w:left="-89" w:leftChars="-37" w:right="-98" w:rightChars="-41"/>
              <w:jc w:val="center"/>
              <w:rPr>
                <w:b/>
                <w:color w:val="auto"/>
                <w:sz w:val="21"/>
                <w:szCs w:val="21"/>
              </w:rPr>
            </w:pPr>
            <w:r>
              <w:rPr>
                <w:rFonts w:hint="eastAsia"/>
                <w:b/>
                <w:color w:val="auto"/>
                <w:sz w:val="21"/>
                <w:szCs w:val="21"/>
              </w:rPr>
              <w:t>序号</w:t>
            </w:r>
          </w:p>
        </w:tc>
        <w:tc>
          <w:tcPr>
            <w:tcW w:w="984" w:type="dxa"/>
            <w:tcBorders>
              <w:top w:val="single" w:color="auto" w:sz="12" w:space="0"/>
              <w:bottom w:val="single" w:color="auto" w:sz="2" w:space="0"/>
            </w:tcBorders>
            <w:shd w:val="pct10" w:color="C3BD96" w:themeColor="background2" w:themeShade="BF" w:fill="DDD9C4" w:themeFill="background2" w:themeFillShade="E6"/>
            <w:vAlign w:val="center"/>
          </w:tcPr>
          <w:p w14:paraId="39083C4A">
            <w:pPr>
              <w:wordWrap w:val="0"/>
              <w:ind w:left="-89" w:leftChars="-37" w:right="-98" w:rightChars="-41"/>
              <w:jc w:val="center"/>
              <w:rPr>
                <w:b/>
                <w:color w:val="auto"/>
                <w:sz w:val="21"/>
                <w:szCs w:val="21"/>
              </w:rPr>
            </w:pPr>
            <w:r>
              <w:rPr>
                <w:rFonts w:hint="eastAsia"/>
                <w:b/>
                <w:color w:val="auto"/>
                <w:sz w:val="21"/>
                <w:szCs w:val="21"/>
              </w:rPr>
              <w:t>评审因素</w:t>
            </w:r>
          </w:p>
        </w:tc>
        <w:tc>
          <w:tcPr>
            <w:tcW w:w="800" w:type="dxa"/>
            <w:tcBorders>
              <w:top w:val="single" w:color="auto" w:sz="12" w:space="0"/>
              <w:bottom w:val="single" w:color="auto" w:sz="2" w:space="0"/>
            </w:tcBorders>
            <w:shd w:val="pct10" w:color="C3BD96" w:themeColor="background2" w:themeShade="BF" w:fill="DDD9C4" w:themeFill="background2" w:themeFillShade="E6"/>
            <w:vAlign w:val="center"/>
          </w:tcPr>
          <w:p w14:paraId="5CA3CAE9">
            <w:pPr>
              <w:wordWrap w:val="0"/>
              <w:ind w:left="-84" w:leftChars="-35" w:right="-91" w:rightChars="-38"/>
              <w:jc w:val="center"/>
              <w:rPr>
                <w:b/>
                <w:color w:val="auto"/>
                <w:sz w:val="21"/>
                <w:szCs w:val="21"/>
              </w:rPr>
            </w:pPr>
            <w:r>
              <w:rPr>
                <w:rFonts w:hint="eastAsia"/>
                <w:b/>
                <w:color w:val="auto"/>
                <w:sz w:val="21"/>
                <w:szCs w:val="21"/>
              </w:rPr>
              <w:t>分值</w:t>
            </w:r>
          </w:p>
        </w:tc>
        <w:tc>
          <w:tcPr>
            <w:tcW w:w="5635" w:type="dxa"/>
            <w:tcBorders>
              <w:top w:val="single" w:color="auto" w:sz="12" w:space="0"/>
              <w:bottom w:val="single" w:color="auto" w:sz="2" w:space="0"/>
            </w:tcBorders>
            <w:shd w:val="pct10" w:color="C3BD96" w:themeColor="background2" w:themeShade="BF" w:fill="DDD9C4" w:themeFill="background2" w:themeFillShade="E6"/>
            <w:vAlign w:val="center"/>
          </w:tcPr>
          <w:p w14:paraId="000F7592">
            <w:pPr>
              <w:wordWrap w:val="0"/>
              <w:jc w:val="center"/>
              <w:rPr>
                <w:b/>
                <w:color w:val="auto"/>
                <w:sz w:val="21"/>
                <w:szCs w:val="21"/>
              </w:rPr>
            </w:pPr>
            <w:r>
              <w:rPr>
                <w:rFonts w:hint="eastAsia"/>
                <w:b/>
                <w:color w:val="auto"/>
                <w:sz w:val="21"/>
                <w:szCs w:val="21"/>
              </w:rPr>
              <w:t>评分标准</w:t>
            </w:r>
          </w:p>
        </w:tc>
        <w:tc>
          <w:tcPr>
            <w:tcW w:w="1277" w:type="dxa"/>
            <w:tcBorders>
              <w:top w:val="single" w:color="auto" w:sz="12" w:space="0"/>
              <w:bottom w:val="single" w:color="auto" w:sz="2" w:space="0"/>
            </w:tcBorders>
            <w:shd w:val="pct10" w:color="C3BD96" w:themeColor="background2" w:themeShade="BF" w:fill="DDD9C4" w:themeFill="background2" w:themeFillShade="E6"/>
            <w:vAlign w:val="center"/>
          </w:tcPr>
          <w:p w14:paraId="54511237">
            <w:pPr>
              <w:wordWrap w:val="0"/>
              <w:jc w:val="center"/>
              <w:rPr>
                <w:b/>
                <w:color w:val="auto"/>
                <w:sz w:val="21"/>
                <w:szCs w:val="21"/>
              </w:rPr>
            </w:pPr>
            <w:r>
              <w:rPr>
                <w:rFonts w:hint="eastAsia"/>
                <w:b/>
                <w:color w:val="auto"/>
                <w:sz w:val="21"/>
                <w:szCs w:val="21"/>
              </w:rPr>
              <w:t>因素来源</w:t>
            </w:r>
          </w:p>
        </w:tc>
      </w:tr>
      <w:tr w14:paraId="5B13D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restart"/>
            <w:tcBorders>
              <w:top w:val="single" w:color="auto" w:sz="2" w:space="0"/>
            </w:tcBorders>
            <w:vAlign w:val="center"/>
          </w:tcPr>
          <w:p w14:paraId="3623D60A">
            <w:pPr>
              <w:wordWrap w:val="0"/>
              <w:jc w:val="center"/>
              <w:rPr>
                <w:rFonts w:hint="default" w:ascii="宋体" w:hAnsi="宋体" w:eastAsia="宋体" w:cs="宋体"/>
                <w:color w:val="auto"/>
                <w:sz w:val="21"/>
                <w:szCs w:val="21"/>
              </w:rPr>
            </w:pPr>
            <w:r>
              <w:rPr>
                <w:rFonts w:hint="eastAsia" w:ascii="宋体" w:hAnsi="宋体" w:eastAsia="宋体" w:cs="宋体"/>
                <w:color w:val="auto"/>
                <w:sz w:val="21"/>
                <w:szCs w:val="21"/>
              </w:rPr>
              <w:t>2.1</w:t>
            </w:r>
          </w:p>
        </w:tc>
        <w:tc>
          <w:tcPr>
            <w:tcW w:w="984" w:type="dxa"/>
            <w:vMerge w:val="restart"/>
            <w:tcBorders>
              <w:top w:val="single" w:color="auto" w:sz="2" w:space="0"/>
            </w:tcBorders>
            <w:vAlign w:val="center"/>
          </w:tcPr>
          <w:p w14:paraId="6C89EB8E">
            <w:pPr>
              <w:wordWrap w:val="0"/>
              <w:jc w:val="left"/>
              <w:rPr>
                <w:rFonts w:hint="default" w:ascii="宋体" w:hAnsi="宋体" w:eastAsia="宋体" w:cs="宋体"/>
                <w:color w:val="auto"/>
                <w:sz w:val="21"/>
                <w:szCs w:val="21"/>
              </w:rPr>
            </w:pPr>
            <w:r>
              <w:rPr>
                <w:rFonts w:hint="eastAsia" w:ascii="宋体" w:hAnsi="宋体" w:eastAsia="宋体" w:cs="宋体"/>
                <w:color w:val="auto"/>
                <w:sz w:val="21"/>
                <w:szCs w:val="21"/>
              </w:rPr>
              <w:t>投标人综合情况</w:t>
            </w:r>
          </w:p>
        </w:tc>
        <w:tc>
          <w:tcPr>
            <w:tcW w:w="800" w:type="dxa"/>
            <w:tcBorders>
              <w:top w:val="single" w:color="auto" w:sz="2" w:space="0"/>
            </w:tcBorders>
            <w:vAlign w:val="center"/>
          </w:tcPr>
          <w:p w14:paraId="652ADE67">
            <w:pPr>
              <w:wordWrap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635" w:type="dxa"/>
            <w:tcBorders>
              <w:top w:val="single" w:color="auto" w:sz="2" w:space="0"/>
            </w:tcBorders>
            <w:vAlign w:val="center"/>
          </w:tcPr>
          <w:p w14:paraId="2829E130">
            <w:pPr>
              <w:wordWrap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具有一定的抗风险能力，有为拟派人员购买意外保险（包括个人意外险或雇主责任险），保安人员死亡伤残赔付限额﹤40万元的不得分，赔付限额在40万～50万（含40万）的得3分，赔付限额在50万～60万（含50万和60万）的得5分。须提供公司购买此类保险彩色影印件为依据，</w:t>
            </w:r>
            <w:r>
              <w:rPr>
                <w:rFonts w:hint="eastAsia" w:asciiTheme="minorEastAsia" w:hAnsiTheme="minorEastAsia" w:eastAsiaTheme="minorEastAsia" w:cstheme="minorEastAsia"/>
                <w:color w:val="auto"/>
                <w:kern w:val="0"/>
                <w:sz w:val="21"/>
                <w:szCs w:val="21"/>
                <w:lang w:val="en-US" w:eastAsia="zh-CN"/>
              </w:rPr>
              <w:t>未提供不得分</w:t>
            </w:r>
            <w:r>
              <w:rPr>
                <w:rFonts w:hint="eastAsia" w:ascii="宋体" w:hAnsi="宋体" w:eastAsia="宋体" w:cs="宋体"/>
                <w:color w:val="auto"/>
                <w:sz w:val="21"/>
                <w:szCs w:val="21"/>
              </w:rPr>
              <w:t>，原件备查</w:t>
            </w:r>
            <w:r>
              <w:rPr>
                <w:rFonts w:hint="eastAsia" w:ascii="宋体" w:hAnsi="宋体" w:eastAsia="宋体" w:cs="宋体"/>
                <w:color w:val="auto"/>
                <w:sz w:val="21"/>
                <w:szCs w:val="21"/>
                <w:lang w:eastAsia="zh-CN"/>
              </w:rPr>
              <w:t>。</w:t>
            </w:r>
          </w:p>
        </w:tc>
        <w:tc>
          <w:tcPr>
            <w:tcW w:w="1277" w:type="dxa"/>
            <w:tcBorders>
              <w:top w:val="single" w:color="auto" w:sz="2" w:space="0"/>
            </w:tcBorders>
            <w:vAlign w:val="center"/>
          </w:tcPr>
          <w:p w14:paraId="4C6D579E">
            <w:pPr>
              <w:wordWrap w:val="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7D5E53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984" w:type="dxa"/>
            <w:vMerge w:val="continue"/>
            <w:vAlign w:val="center"/>
          </w:tcPr>
          <w:p w14:paraId="3D5913A8">
            <w:pPr>
              <w:wordWrap w:val="0"/>
              <w:rPr>
                <w:rFonts w:hint="default" w:ascii="宋体" w:hAnsi="宋体" w:eastAsia="宋体" w:cs="宋体"/>
                <w:color w:val="auto"/>
                <w:sz w:val="21"/>
                <w:szCs w:val="21"/>
              </w:rPr>
            </w:pPr>
          </w:p>
        </w:tc>
        <w:tc>
          <w:tcPr>
            <w:tcW w:w="984" w:type="dxa"/>
            <w:vMerge w:val="continue"/>
            <w:vAlign w:val="center"/>
          </w:tcPr>
          <w:p w14:paraId="149012B9">
            <w:pPr>
              <w:wordWrap w:val="0"/>
              <w:rPr>
                <w:rFonts w:hint="default" w:ascii="宋体" w:hAnsi="宋体" w:eastAsia="宋体" w:cs="宋体"/>
                <w:color w:val="auto"/>
                <w:sz w:val="21"/>
                <w:szCs w:val="21"/>
              </w:rPr>
            </w:pPr>
          </w:p>
        </w:tc>
        <w:tc>
          <w:tcPr>
            <w:tcW w:w="800" w:type="dxa"/>
            <w:vAlign w:val="center"/>
          </w:tcPr>
          <w:p w14:paraId="3D13DFFB">
            <w:pPr>
              <w:wordWrap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635" w:type="dxa"/>
            <w:vAlign w:val="center"/>
          </w:tcPr>
          <w:p w14:paraId="1867E7E5">
            <w:pPr>
              <w:wordWrap w:val="0"/>
              <w:rPr>
                <w:rFonts w:hint="default" w:ascii="宋体" w:hAnsi="宋体" w:eastAsia="宋体" w:cs="宋体"/>
                <w:color w:val="auto"/>
                <w:sz w:val="21"/>
                <w:szCs w:val="21"/>
              </w:rPr>
            </w:pPr>
            <w:r>
              <w:rPr>
                <w:rFonts w:hint="eastAsia" w:ascii="宋体" w:hAnsi="宋体" w:eastAsia="宋体" w:cs="宋体"/>
                <w:color w:val="auto"/>
                <w:sz w:val="21"/>
                <w:szCs w:val="21"/>
              </w:rPr>
              <w:t>供应商具有有效期内的《劳务派遣经营许可证》《保安服务许可证》得5分；（须提供证书的彩色影印件为证明材料，</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提供或不按要求提供不得分）</w:t>
            </w:r>
          </w:p>
        </w:tc>
        <w:tc>
          <w:tcPr>
            <w:tcW w:w="1277" w:type="dxa"/>
            <w:vAlign w:val="center"/>
          </w:tcPr>
          <w:p w14:paraId="622D41ED">
            <w:pPr>
              <w:wordWrap w:val="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1CB55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003610A3">
            <w:pPr>
              <w:wordWrap w:val="0"/>
              <w:rPr>
                <w:rFonts w:hint="default" w:ascii="宋体" w:hAnsi="宋体" w:eastAsia="宋体" w:cs="宋体"/>
                <w:color w:val="auto"/>
                <w:sz w:val="21"/>
                <w:szCs w:val="21"/>
              </w:rPr>
            </w:pPr>
          </w:p>
        </w:tc>
        <w:tc>
          <w:tcPr>
            <w:tcW w:w="984" w:type="dxa"/>
            <w:vMerge w:val="continue"/>
            <w:vAlign w:val="center"/>
          </w:tcPr>
          <w:p w14:paraId="6338F3D4">
            <w:pPr>
              <w:wordWrap w:val="0"/>
              <w:rPr>
                <w:rFonts w:hint="default" w:ascii="宋体" w:hAnsi="宋体" w:eastAsia="宋体" w:cs="宋体"/>
                <w:color w:val="auto"/>
                <w:sz w:val="21"/>
                <w:szCs w:val="21"/>
              </w:rPr>
            </w:pPr>
          </w:p>
        </w:tc>
        <w:tc>
          <w:tcPr>
            <w:tcW w:w="800" w:type="dxa"/>
            <w:vAlign w:val="center"/>
          </w:tcPr>
          <w:p w14:paraId="060D1750">
            <w:pPr>
              <w:wordWrap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635" w:type="dxa"/>
            <w:vAlign w:val="center"/>
          </w:tcPr>
          <w:p w14:paraId="2AB358B4">
            <w:pPr>
              <w:wordWrap w:val="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拟派人员具有国家相关部门颁发或授予职业岗位证书，每提供一个得2分，最高得6分。</w:t>
            </w:r>
            <w:r>
              <w:rPr>
                <w:rFonts w:hint="eastAsia" w:ascii="宋体" w:hAnsi="宋体" w:eastAsia="宋体" w:cs="宋体"/>
                <w:color w:val="auto"/>
                <w:sz w:val="21"/>
                <w:szCs w:val="21"/>
              </w:rPr>
              <w:t>（必须提供人员证书彩色影印件和劳动合同为证明材料，</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提供或不按要求提供不得分）</w:t>
            </w:r>
            <w:r>
              <w:rPr>
                <w:rFonts w:hint="eastAsia" w:ascii="宋体" w:hAnsi="宋体" w:eastAsia="宋体" w:cs="宋体"/>
                <w:color w:val="auto"/>
                <w:sz w:val="21"/>
                <w:szCs w:val="21"/>
                <w:lang w:eastAsia="zh-CN"/>
              </w:rPr>
              <w:t>。</w:t>
            </w:r>
          </w:p>
        </w:tc>
        <w:tc>
          <w:tcPr>
            <w:tcW w:w="1277" w:type="dxa"/>
            <w:vAlign w:val="center"/>
          </w:tcPr>
          <w:p w14:paraId="714AB375">
            <w:pPr>
              <w:wordWrap w:val="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63379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7511914C">
            <w:pPr>
              <w:wordWrap w:val="0"/>
              <w:rPr>
                <w:rFonts w:hint="default" w:ascii="宋体" w:hAnsi="宋体" w:eastAsia="宋体" w:cs="宋体"/>
                <w:color w:val="auto"/>
                <w:sz w:val="21"/>
                <w:szCs w:val="21"/>
              </w:rPr>
            </w:pPr>
          </w:p>
        </w:tc>
        <w:tc>
          <w:tcPr>
            <w:tcW w:w="984" w:type="dxa"/>
            <w:vMerge w:val="continue"/>
            <w:vAlign w:val="center"/>
          </w:tcPr>
          <w:p w14:paraId="2EBFA9DE">
            <w:pPr>
              <w:wordWrap w:val="0"/>
              <w:rPr>
                <w:rFonts w:hint="default" w:ascii="宋体" w:hAnsi="宋体" w:eastAsia="宋体" w:cs="宋体"/>
                <w:color w:val="auto"/>
                <w:sz w:val="21"/>
                <w:szCs w:val="21"/>
              </w:rPr>
            </w:pPr>
          </w:p>
        </w:tc>
        <w:tc>
          <w:tcPr>
            <w:tcW w:w="800" w:type="dxa"/>
            <w:vAlign w:val="center"/>
          </w:tcPr>
          <w:p w14:paraId="3B4BE1FD">
            <w:pPr>
              <w:wordWrap w:val="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5635" w:type="dxa"/>
            <w:vAlign w:val="center"/>
          </w:tcPr>
          <w:p w14:paraId="263F4E38">
            <w:pPr>
              <w:wordWrap w:val="0"/>
              <w:rPr>
                <w:rFonts w:hint="default" w:ascii="宋体" w:hAnsi="宋体" w:eastAsia="宋体" w:cs="宋体"/>
                <w:color w:val="auto"/>
                <w:sz w:val="21"/>
                <w:szCs w:val="21"/>
              </w:rPr>
            </w:pPr>
            <w:r>
              <w:rPr>
                <w:rFonts w:hint="eastAsia" w:ascii="宋体" w:hAnsi="宋体" w:eastAsia="宋体" w:cs="宋体"/>
                <w:color w:val="auto"/>
                <w:sz w:val="21"/>
                <w:szCs w:val="21"/>
              </w:rPr>
              <w:t>拟派安保人员是退伍军人，</w:t>
            </w:r>
            <w:r>
              <w:rPr>
                <w:rFonts w:hint="eastAsia" w:ascii="宋体" w:hAnsi="宋体" w:eastAsia="宋体" w:cs="宋体"/>
                <w:color w:val="auto"/>
                <w:sz w:val="21"/>
                <w:szCs w:val="21"/>
                <w:lang w:eastAsia="zh-CN"/>
              </w:rPr>
              <w:t>提供一个得</w:t>
            </w:r>
            <w:r>
              <w:rPr>
                <w:rFonts w:hint="eastAsia" w:ascii="宋体" w:hAnsi="宋体" w:eastAsia="宋体" w:cs="宋体"/>
                <w:color w:val="auto"/>
                <w:sz w:val="21"/>
                <w:szCs w:val="21"/>
                <w:lang w:val="en-US" w:eastAsia="zh-CN"/>
              </w:rPr>
              <w:t>2分，最高得6分</w:t>
            </w:r>
            <w:r>
              <w:rPr>
                <w:rFonts w:hint="eastAsia" w:ascii="宋体" w:hAnsi="宋体" w:eastAsia="宋体" w:cs="宋体"/>
                <w:color w:val="auto"/>
                <w:sz w:val="21"/>
                <w:szCs w:val="21"/>
              </w:rPr>
              <w:t>（必须提供退伍军人证明和劳动合同为证明材料，</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提供或不按要求提供不得分）</w:t>
            </w:r>
          </w:p>
        </w:tc>
        <w:tc>
          <w:tcPr>
            <w:tcW w:w="1277" w:type="dxa"/>
            <w:vAlign w:val="center"/>
          </w:tcPr>
          <w:p w14:paraId="5455C6AF">
            <w:pPr>
              <w:wordWrap w:val="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2AD53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30183114">
            <w:pPr>
              <w:wordWrap w:val="0"/>
              <w:rPr>
                <w:rFonts w:hint="default" w:ascii="宋体" w:hAnsi="宋体" w:eastAsia="宋体" w:cs="宋体"/>
                <w:color w:val="auto"/>
                <w:sz w:val="21"/>
                <w:szCs w:val="21"/>
              </w:rPr>
            </w:pPr>
          </w:p>
        </w:tc>
        <w:tc>
          <w:tcPr>
            <w:tcW w:w="984" w:type="dxa"/>
            <w:vMerge w:val="continue"/>
            <w:vAlign w:val="center"/>
          </w:tcPr>
          <w:p w14:paraId="1271D02A">
            <w:pPr>
              <w:wordWrap w:val="0"/>
              <w:rPr>
                <w:rFonts w:hint="default" w:ascii="宋体" w:hAnsi="宋体" w:eastAsia="宋体" w:cs="宋体"/>
                <w:color w:val="auto"/>
                <w:sz w:val="21"/>
                <w:szCs w:val="21"/>
              </w:rPr>
            </w:pPr>
          </w:p>
        </w:tc>
        <w:tc>
          <w:tcPr>
            <w:tcW w:w="800" w:type="dxa"/>
            <w:vAlign w:val="center"/>
          </w:tcPr>
          <w:p w14:paraId="1B6D04CD">
            <w:pPr>
              <w:wordWrap w:val="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5635" w:type="dxa"/>
            <w:vAlign w:val="center"/>
          </w:tcPr>
          <w:p w14:paraId="524C0879">
            <w:pPr>
              <w:wordWrap w:val="0"/>
              <w:rPr>
                <w:rFonts w:hint="default" w:ascii="宋体" w:hAnsi="宋体" w:eastAsia="宋体" w:cs="宋体"/>
                <w:color w:val="auto"/>
                <w:sz w:val="21"/>
                <w:szCs w:val="21"/>
              </w:rPr>
            </w:pPr>
            <w:r>
              <w:rPr>
                <w:rFonts w:hint="eastAsia" w:ascii="宋体" w:hAnsi="宋体" w:eastAsia="宋体" w:cs="宋体"/>
                <w:color w:val="auto"/>
                <w:sz w:val="21"/>
                <w:szCs w:val="21"/>
              </w:rPr>
              <w:t>承诺按时足额发放员工工资及补贴福利，并购买“五险”的得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分。(须提供加盖供应商公章得承诺书扫描件，</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提供的不得分)</w:t>
            </w:r>
          </w:p>
        </w:tc>
        <w:tc>
          <w:tcPr>
            <w:tcW w:w="1277" w:type="dxa"/>
            <w:vAlign w:val="center"/>
          </w:tcPr>
          <w:p w14:paraId="4D1E70CC">
            <w:pPr>
              <w:wordWrap w:val="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bl>
    <w:p w14:paraId="4966B055">
      <w:pPr>
        <w:pStyle w:val="45"/>
        <w:numPr>
          <w:ilvl w:val="0"/>
          <w:numId w:val="46"/>
        </w:numPr>
        <w:spacing w:line="360" w:lineRule="auto"/>
        <w:ind w:left="240" w:hanging="247" w:firstLineChars="0"/>
        <w:rPr>
          <w:b/>
          <w:color w:val="auto"/>
          <w:szCs w:val="24"/>
          <w:lang w:val="zh-CN"/>
        </w:rPr>
      </w:pPr>
      <w:bookmarkStart w:id="409" w:name="_Toc102119888"/>
      <w:bookmarkStart w:id="410" w:name="_Toc102114955"/>
      <w:bookmarkStart w:id="411" w:name="_Toc102116187"/>
      <w:bookmarkStart w:id="412" w:name="_Toc102056253"/>
      <w:bookmarkStart w:id="413" w:name="_Toc102057753"/>
      <w:bookmarkStart w:id="414" w:name="_Toc102116057"/>
      <w:r>
        <w:rPr>
          <w:rFonts w:hint="eastAsia"/>
          <w:b/>
          <w:color w:val="auto"/>
          <w:szCs w:val="24"/>
          <w:lang w:val="zh-CN"/>
        </w:rPr>
        <w:t>技术评分（</w:t>
      </w:r>
      <w:r>
        <w:rPr>
          <w:rFonts w:hint="eastAsia"/>
          <w:b/>
          <w:color w:val="auto"/>
          <w:szCs w:val="24"/>
          <w:lang w:val="en-US" w:eastAsia="zh-CN"/>
        </w:rPr>
        <w:t>65</w:t>
      </w:r>
      <w:r>
        <w:rPr>
          <w:rFonts w:hint="eastAsia"/>
          <w:b/>
          <w:color w:val="auto"/>
          <w:szCs w:val="24"/>
          <w:lang w:val="zh-CN"/>
        </w:rPr>
        <w:t>分）</w:t>
      </w:r>
      <w:bookmarkEnd w:id="409"/>
      <w:bookmarkEnd w:id="410"/>
      <w:bookmarkEnd w:id="411"/>
      <w:bookmarkEnd w:id="412"/>
      <w:bookmarkEnd w:id="413"/>
      <w:bookmarkEnd w:id="414"/>
    </w:p>
    <w:tbl>
      <w:tblPr>
        <w:tblStyle w:val="31"/>
        <w:tblW w:w="496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3"/>
        <w:gridCol w:w="1168"/>
        <w:gridCol w:w="769"/>
        <w:gridCol w:w="5560"/>
        <w:gridCol w:w="1298"/>
      </w:tblGrid>
      <w:tr w14:paraId="48156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83" w:type="dxa"/>
            <w:tcBorders>
              <w:top w:val="single" w:color="auto" w:sz="12" w:space="0"/>
              <w:bottom w:val="single" w:color="auto" w:sz="2" w:space="0"/>
            </w:tcBorders>
            <w:shd w:val="pct10" w:color="C3BD96" w:themeColor="background2" w:themeShade="BF" w:fill="DDD9C4" w:themeFill="background2" w:themeFillShade="E6"/>
            <w:vAlign w:val="center"/>
          </w:tcPr>
          <w:p w14:paraId="1B3A3589">
            <w:pPr>
              <w:ind w:left="-89" w:leftChars="-37" w:right="-98" w:rightChars="-41"/>
              <w:jc w:val="center"/>
              <w:rPr>
                <w:b/>
                <w:color w:val="auto"/>
                <w:sz w:val="21"/>
                <w:szCs w:val="21"/>
              </w:rPr>
            </w:pPr>
            <w:r>
              <w:rPr>
                <w:rFonts w:hint="eastAsia"/>
                <w:b/>
                <w:color w:val="auto"/>
                <w:sz w:val="21"/>
                <w:szCs w:val="21"/>
              </w:rPr>
              <w:t>序号</w:t>
            </w:r>
          </w:p>
        </w:tc>
        <w:tc>
          <w:tcPr>
            <w:tcW w:w="1168" w:type="dxa"/>
            <w:tcBorders>
              <w:top w:val="single" w:color="auto" w:sz="12" w:space="0"/>
              <w:bottom w:val="single" w:color="auto" w:sz="2" w:space="0"/>
            </w:tcBorders>
            <w:shd w:val="pct10" w:color="C3BD96" w:themeColor="background2" w:themeShade="BF" w:fill="DDD9C4" w:themeFill="background2" w:themeFillShade="E6"/>
            <w:vAlign w:val="center"/>
          </w:tcPr>
          <w:p w14:paraId="494A4FEB">
            <w:pPr>
              <w:ind w:left="-89" w:leftChars="-37" w:right="-98" w:rightChars="-41"/>
              <w:jc w:val="center"/>
              <w:rPr>
                <w:b/>
                <w:color w:val="auto"/>
                <w:sz w:val="21"/>
                <w:szCs w:val="21"/>
              </w:rPr>
            </w:pPr>
            <w:r>
              <w:rPr>
                <w:rFonts w:hint="eastAsia"/>
                <w:b/>
                <w:color w:val="auto"/>
                <w:sz w:val="21"/>
                <w:szCs w:val="21"/>
              </w:rPr>
              <w:t>评审因素</w:t>
            </w:r>
          </w:p>
        </w:tc>
        <w:tc>
          <w:tcPr>
            <w:tcW w:w="769" w:type="dxa"/>
            <w:tcBorders>
              <w:top w:val="single" w:color="auto" w:sz="12" w:space="0"/>
              <w:bottom w:val="single" w:color="auto" w:sz="2" w:space="0"/>
            </w:tcBorders>
            <w:shd w:val="pct10" w:color="C3BD96" w:themeColor="background2" w:themeShade="BF" w:fill="DDD9C4" w:themeFill="background2" w:themeFillShade="E6"/>
            <w:vAlign w:val="center"/>
          </w:tcPr>
          <w:p w14:paraId="03E347F8">
            <w:pPr>
              <w:ind w:left="-84" w:leftChars="-35" w:right="-91" w:rightChars="-38"/>
              <w:jc w:val="center"/>
              <w:rPr>
                <w:b/>
                <w:color w:val="auto"/>
                <w:sz w:val="21"/>
                <w:szCs w:val="21"/>
              </w:rPr>
            </w:pPr>
            <w:r>
              <w:rPr>
                <w:rFonts w:hint="eastAsia"/>
                <w:b/>
                <w:color w:val="auto"/>
                <w:sz w:val="21"/>
                <w:szCs w:val="21"/>
              </w:rPr>
              <w:t>分值</w:t>
            </w:r>
          </w:p>
        </w:tc>
        <w:tc>
          <w:tcPr>
            <w:tcW w:w="5560" w:type="dxa"/>
            <w:tcBorders>
              <w:top w:val="single" w:color="auto" w:sz="12" w:space="0"/>
              <w:bottom w:val="single" w:color="auto" w:sz="2" w:space="0"/>
            </w:tcBorders>
            <w:shd w:val="pct10" w:color="C3BD96" w:themeColor="background2" w:themeShade="BF" w:fill="DDD9C4" w:themeFill="background2" w:themeFillShade="E6"/>
            <w:vAlign w:val="center"/>
          </w:tcPr>
          <w:p w14:paraId="1588F825">
            <w:pPr>
              <w:ind w:left="-89" w:leftChars="-37" w:right="-98" w:rightChars="-41"/>
              <w:jc w:val="center"/>
              <w:rPr>
                <w:b/>
                <w:color w:val="auto"/>
                <w:sz w:val="21"/>
                <w:szCs w:val="21"/>
              </w:rPr>
            </w:pPr>
            <w:r>
              <w:rPr>
                <w:rFonts w:hint="eastAsia"/>
                <w:b/>
                <w:color w:val="auto"/>
                <w:sz w:val="21"/>
                <w:szCs w:val="21"/>
              </w:rPr>
              <w:t>评分标准</w:t>
            </w:r>
          </w:p>
        </w:tc>
        <w:tc>
          <w:tcPr>
            <w:tcW w:w="1298" w:type="dxa"/>
            <w:tcBorders>
              <w:top w:val="single" w:color="auto" w:sz="12" w:space="0"/>
              <w:bottom w:val="single" w:color="auto" w:sz="2" w:space="0"/>
            </w:tcBorders>
            <w:shd w:val="pct10" w:color="C3BD96" w:themeColor="background2" w:themeShade="BF" w:fill="DDD9C4" w:themeFill="background2" w:themeFillShade="E6"/>
            <w:vAlign w:val="center"/>
          </w:tcPr>
          <w:p w14:paraId="0FB639C6">
            <w:pPr>
              <w:jc w:val="center"/>
              <w:rPr>
                <w:b/>
                <w:color w:val="auto"/>
                <w:sz w:val="21"/>
                <w:szCs w:val="21"/>
              </w:rPr>
            </w:pPr>
            <w:r>
              <w:rPr>
                <w:rFonts w:hint="eastAsia"/>
                <w:b/>
                <w:color w:val="auto"/>
                <w:sz w:val="21"/>
                <w:szCs w:val="21"/>
              </w:rPr>
              <w:t>因素来源</w:t>
            </w:r>
          </w:p>
        </w:tc>
      </w:tr>
      <w:tr w14:paraId="14429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tcBorders>
              <w:top w:val="single" w:color="auto" w:sz="2" w:space="0"/>
            </w:tcBorders>
            <w:vAlign w:val="center"/>
          </w:tcPr>
          <w:p w14:paraId="0E80555B">
            <w:pPr>
              <w:numPr>
                <w:ilvl w:val="0"/>
                <w:numId w:val="48"/>
              </w:numPr>
              <w:tabs>
                <w:tab w:val="left" w:pos="447"/>
              </w:tabs>
              <w:ind w:left="-42"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tcBorders>
              <w:top w:val="single" w:color="auto" w:sz="2" w:space="0"/>
            </w:tcBorders>
            <w:vAlign w:val="center"/>
          </w:tcPr>
          <w:p w14:paraId="5D4F0972">
            <w:pPr>
              <w:ind w:left="-24" w:leftChars="-10" w:right="-24" w:rightChars="-10"/>
              <w:jc w:val="center"/>
              <w:rPr>
                <w:rFonts w:hint="eastAsia" w:asciiTheme="minorEastAsia" w:hAnsiTheme="minorEastAsia" w:eastAsiaTheme="minorEastAsia" w:cstheme="minorEastAsia"/>
                <w:color w:val="auto"/>
                <w:sz w:val="21"/>
                <w:szCs w:val="21"/>
                <w:lang w:eastAsia="zh-CN" w:bidi="ar"/>
              </w:rPr>
            </w:pPr>
            <w:r>
              <w:rPr>
                <w:rStyle w:val="67"/>
                <w:rFonts w:hint="eastAsia" w:asciiTheme="minorEastAsia" w:hAnsiTheme="minorEastAsia" w:eastAsiaTheme="minorEastAsia" w:cstheme="minorEastAsia"/>
                <w:color w:val="auto"/>
                <w:sz w:val="21"/>
                <w:szCs w:val="21"/>
              </w:rPr>
              <w:t>总体模式及方案</w:t>
            </w:r>
          </w:p>
        </w:tc>
        <w:tc>
          <w:tcPr>
            <w:tcW w:w="769" w:type="dxa"/>
            <w:tcBorders>
              <w:top w:val="single" w:color="auto" w:sz="2" w:space="0"/>
            </w:tcBorders>
            <w:vAlign w:val="center"/>
          </w:tcPr>
          <w:p w14:paraId="4AD175ED">
            <w:pPr>
              <w:wordWrap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5560" w:type="dxa"/>
            <w:tcBorders>
              <w:top w:val="single" w:color="auto" w:sz="2" w:space="0"/>
            </w:tcBorders>
            <w:vAlign w:val="center"/>
          </w:tcPr>
          <w:p w14:paraId="7B0B61E3">
            <w:pPr>
              <w:wordWrap w:val="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根据投标人针对本项目的总体方案打分，整体方案细致，运作流程制作科学，管理制度完善的得15分，较完善的得10分，基本完善的得5分。</w:t>
            </w:r>
          </w:p>
        </w:tc>
        <w:tc>
          <w:tcPr>
            <w:tcW w:w="1298" w:type="dxa"/>
            <w:tcBorders>
              <w:top w:val="single" w:color="auto" w:sz="2" w:space="0"/>
            </w:tcBorders>
            <w:vAlign w:val="center"/>
          </w:tcPr>
          <w:p w14:paraId="2C9EFBD0">
            <w:pPr>
              <w:ind w:left="-74" w:leftChars="-31" w:right="-41" w:rightChars="-17"/>
              <w:jc w:val="center"/>
              <w:rPr>
                <w:color w:val="auto"/>
                <w:sz w:val="21"/>
                <w:szCs w:val="21"/>
              </w:rPr>
            </w:pPr>
            <w:r>
              <w:rPr>
                <w:rFonts w:hint="eastAsia"/>
                <w:color w:val="auto"/>
                <w:sz w:val="21"/>
                <w:szCs w:val="21"/>
              </w:rPr>
              <w:t>技术要求</w:t>
            </w:r>
          </w:p>
        </w:tc>
      </w:tr>
      <w:tr w14:paraId="09E2B3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3" w:type="dxa"/>
            <w:vAlign w:val="center"/>
          </w:tcPr>
          <w:p w14:paraId="4F6578D8">
            <w:pPr>
              <w:numPr>
                <w:ilvl w:val="0"/>
                <w:numId w:val="48"/>
              </w:numPr>
              <w:tabs>
                <w:tab w:val="left" w:pos="447"/>
              </w:tabs>
              <w:ind w:left="-42"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7BB72EF4">
            <w:pPr>
              <w:ind w:left="-24" w:leftChars="-10" w:right="-24" w:rightChars="-10"/>
              <w:jc w:val="center"/>
              <w:rPr>
                <w:rFonts w:hint="eastAsia" w:asciiTheme="minorEastAsia" w:hAnsiTheme="minorEastAsia" w:eastAsiaTheme="minorEastAsia" w:cstheme="minorEastAsia"/>
                <w:color w:val="auto"/>
                <w:sz w:val="21"/>
                <w:szCs w:val="21"/>
                <w:lang w:bidi="ar"/>
              </w:rPr>
            </w:pPr>
            <w:r>
              <w:rPr>
                <w:rStyle w:val="67"/>
                <w:rFonts w:hint="eastAsia" w:asciiTheme="minorEastAsia" w:hAnsiTheme="minorEastAsia" w:eastAsiaTheme="minorEastAsia" w:cstheme="minorEastAsia"/>
                <w:color w:val="auto"/>
                <w:sz w:val="21"/>
                <w:szCs w:val="21"/>
              </w:rPr>
              <w:t>机构设置</w:t>
            </w:r>
          </w:p>
        </w:tc>
        <w:tc>
          <w:tcPr>
            <w:tcW w:w="769" w:type="dxa"/>
            <w:vAlign w:val="center"/>
          </w:tcPr>
          <w:p w14:paraId="7F3A8FDA">
            <w:pPr>
              <w:wordWrap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60" w:type="dxa"/>
            <w:vAlign w:val="center"/>
          </w:tcPr>
          <w:p w14:paraId="0C4DC64F">
            <w:pPr>
              <w:spacing w:line="36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①投标人根据各自实际情况，搭配安排合理，提供详细的岗位人员安排表得1分；</w:t>
            </w:r>
          </w:p>
          <w:p w14:paraId="42C4D5C7">
            <w:pPr>
              <w:spacing w:line="36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②岗位职责及工作标准表述清晰、合理、可行的得4分，较合理的得2分，基本合理得1分。</w:t>
            </w:r>
          </w:p>
          <w:p w14:paraId="38CBB6A6">
            <w:pPr>
              <w:wordWrap w:val="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未提供不得分（以安排方案为准）。</w:t>
            </w:r>
          </w:p>
        </w:tc>
        <w:tc>
          <w:tcPr>
            <w:tcW w:w="1298" w:type="dxa"/>
            <w:tcBorders>
              <w:top w:val="single" w:color="auto" w:sz="2" w:space="0"/>
            </w:tcBorders>
            <w:vAlign w:val="center"/>
          </w:tcPr>
          <w:p w14:paraId="5B5D27A4">
            <w:pPr>
              <w:ind w:left="-74" w:leftChars="-31" w:right="-41" w:rightChars="-17"/>
              <w:jc w:val="center"/>
              <w:rPr>
                <w:rFonts w:hint="eastAsia" w:eastAsia="宋体"/>
                <w:color w:val="auto"/>
                <w:sz w:val="21"/>
                <w:szCs w:val="21"/>
                <w:lang w:eastAsia="zh-CN"/>
              </w:rPr>
            </w:pPr>
            <w:r>
              <w:rPr>
                <w:rFonts w:hint="eastAsia"/>
                <w:color w:val="auto"/>
                <w:sz w:val="21"/>
                <w:szCs w:val="21"/>
              </w:rPr>
              <w:t>技术要求</w:t>
            </w:r>
          </w:p>
        </w:tc>
      </w:tr>
      <w:tr w14:paraId="1DF42C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restart"/>
            <w:vAlign w:val="center"/>
          </w:tcPr>
          <w:p w14:paraId="402E6031">
            <w:pPr>
              <w:numPr>
                <w:ilvl w:val="0"/>
                <w:numId w:val="48"/>
              </w:numPr>
              <w:tabs>
                <w:tab w:val="left" w:pos="447"/>
              </w:tabs>
              <w:ind w:left="-42"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Merge w:val="restart"/>
            <w:vAlign w:val="center"/>
          </w:tcPr>
          <w:p w14:paraId="73F3F0F1">
            <w:pPr>
              <w:ind w:left="-24" w:leftChars="-10" w:right="-24" w:rightChars="-10"/>
              <w:jc w:val="center"/>
              <w:rPr>
                <w:rFonts w:hint="eastAsia" w:asciiTheme="minorEastAsia" w:hAnsiTheme="minorEastAsia" w:eastAsiaTheme="minorEastAsia" w:cstheme="minorEastAsia"/>
                <w:color w:val="auto"/>
                <w:sz w:val="21"/>
                <w:szCs w:val="21"/>
                <w:lang w:bidi="ar"/>
              </w:rPr>
            </w:pPr>
            <w:r>
              <w:rPr>
                <w:rStyle w:val="67"/>
                <w:rFonts w:hint="eastAsia" w:asciiTheme="minorEastAsia" w:hAnsiTheme="minorEastAsia" w:eastAsiaTheme="minorEastAsia" w:cstheme="minorEastAsia"/>
                <w:color w:val="auto"/>
                <w:sz w:val="21"/>
                <w:szCs w:val="21"/>
              </w:rPr>
              <w:t>具体实施方案</w:t>
            </w:r>
          </w:p>
        </w:tc>
        <w:tc>
          <w:tcPr>
            <w:tcW w:w="769" w:type="dxa"/>
            <w:vAlign w:val="center"/>
          </w:tcPr>
          <w:p w14:paraId="1180D202">
            <w:pPr>
              <w:ind w:left="-55" w:leftChars="-23" w:right="-41" w:rightChars="-17"/>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80B2433">
            <w:pP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根据投标人服务质量标准及保证措施打分，措施科学、合理、可行的得5分，较合理的得3分，基本合理得1分，未提供不得分。</w:t>
            </w:r>
          </w:p>
        </w:tc>
        <w:tc>
          <w:tcPr>
            <w:tcW w:w="1298" w:type="dxa"/>
            <w:vMerge w:val="restart"/>
            <w:vAlign w:val="center"/>
          </w:tcPr>
          <w:p w14:paraId="3694F00A">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3602AE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continue"/>
            <w:vAlign w:val="center"/>
          </w:tcPr>
          <w:p w14:paraId="34693ABE">
            <w:pPr>
              <w:jc w:val="center"/>
              <w:rPr>
                <w:rFonts w:hint="eastAsia" w:asciiTheme="minorEastAsia" w:hAnsiTheme="minorEastAsia" w:eastAsiaTheme="minorEastAsia" w:cstheme="minorEastAsia"/>
                <w:color w:val="auto"/>
                <w:sz w:val="21"/>
                <w:szCs w:val="21"/>
              </w:rPr>
            </w:pPr>
          </w:p>
        </w:tc>
        <w:tc>
          <w:tcPr>
            <w:tcW w:w="1168" w:type="dxa"/>
            <w:vMerge w:val="continue"/>
            <w:vAlign w:val="center"/>
          </w:tcPr>
          <w:p w14:paraId="6A6FC731">
            <w:pPr>
              <w:rPr>
                <w:rFonts w:hint="eastAsia" w:asciiTheme="minorEastAsia" w:hAnsiTheme="minorEastAsia" w:eastAsiaTheme="minorEastAsia" w:cstheme="minorEastAsia"/>
                <w:color w:val="auto"/>
                <w:sz w:val="21"/>
                <w:szCs w:val="21"/>
              </w:rPr>
            </w:pPr>
          </w:p>
        </w:tc>
        <w:tc>
          <w:tcPr>
            <w:tcW w:w="769" w:type="dxa"/>
            <w:vAlign w:val="center"/>
          </w:tcPr>
          <w:p w14:paraId="3DBC35C5">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60" w:type="dxa"/>
            <w:vAlign w:val="center"/>
          </w:tcPr>
          <w:p w14:paraId="127AEE92">
            <w:pP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投标人提供保安、保洁服务培训计划、措施打分，措施合理有效的得5分，较合理得3分，基本合理得1分，</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Merge w:val="continue"/>
            <w:vAlign w:val="center"/>
          </w:tcPr>
          <w:p w14:paraId="455FD3C1">
            <w:pPr>
              <w:rPr>
                <w:rFonts w:hint="eastAsia" w:asciiTheme="minorEastAsia" w:hAnsiTheme="minorEastAsia" w:eastAsiaTheme="minorEastAsia" w:cstheme="minorEastAsia"/>
                <w:color w:val="auto"/>
                <w:sz w:val="21"/>
                <w:szCs w:val="21"/>
                <w:lang w:val="en-US" w:eastAsia="zh-CN" w:bidi="ar"/>
              </w:rPr>
            </w:pPr>
          </w:p>
        </w:tc>
      </w:tr>
      <w:tr w14:paraId="769DD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continue"/>
            <w:vAlign w:val="center"/>
          </w:tcPr>
          <w:p w14:paraId="5F8843A3">
            <w:pPr>
              <w:jc w:val="center"/>
              <w:rPr>
                <w:rFonts w:hint="eastAsia" w:asciiTheme="minorEastAsia" w:hAnsiTheme="minorEastAsia" w:eastAsiaTheme="minorEastAsia" w:cstheme="minorEastAsia"/>
                <w:color w:val="auto"/>
                <w:sz w:val="21"/>
                <w:szCs w:val="21"/>
                <w:lang w:val="en-US" w:eastAsia="zh-CN" w:bidi="ar"/>
              </w:rPr>
            </w:pPr>
          </w:p>
        </w:tc>
        <w:tc>
          <w:tcPr>
            <w:tcW w:w="1168" w:type="dxa"/>
            <w:vMerge w:val="continue"/>
            <w:vAlign w:val="center"/>
          </w:tcPr>
          <w:p w14:paraId="61222C8F">
            <w:pPr>
              <w:rPr>
                <w:rFonts w:hint="eastAsia" w:asciiTheme="minorEastAsia" w:hAnsiTheme="minorEastAsia" w:eastAsiaTheme="minorEastAsia" w:cstheme="minorEastAsia"/>
                <w:color w:val="auto"/>
                <w:sz w:val="21"/>
                <w:szCs w:val="21"/>
                <w:lang w:val="en-US" w:eastAsia="zh-CN" w:bidi="ar"/>
              </w:rPr>
            </w:pPr>
          </w:p>
        </w:tc>
        <w:tc>
          <w:tcPr>
            <w:tcW w:w="769" w:type="dxa"/>
            <w:vAlign w:val="center"/>
          </w:tcPr>
          <w:p w14:paraId="69B955B1">
            <w:pPr>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1000FD4E">
            <w:pP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根据投标人物资装备配置方案打分，方案合理可行的得5分，较可行的得3分，基本可行1分，未提供不得分。</w:t>
            </w:r>
          </w:p>
        </w:tc>
        <w:tc>
          <w:tcPr>
            <w:tcW w:w="1298" w:type="dxa"/>
            <w:vMerge w:val="continue"/>
            <w:vAlign w:val="center"/>
          </w:tcPr>
          <w:p w14:paraId="54A64920">
            <w:pPr>
              <w:rPr>
                <w:rFonts w:hint="eastAsia" w:asciiTheme="minorEastAsia" w:hAnsiTheme="minorEastAsia" w:eastAsiaTheme="minorEastAsia" w:cstheme="minorEastAsia"/>
                <w:color w:val="auto"/>
                <w:sz w:val="21"/>
                <w:szCs w:val="21"/>
                <w:lang w:val="en-US" w:eastAsia="zh-CN" w:bidi="ar"/>
              </w:rPr>
            </w:pPr>
          </w:p>
        </w:tc>
      </w:tr>
      <w:tr w14:paraId="28F5C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78466DC1">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5F6A976C">
            <w:pPr>
              <w:ind w:left="-24" w:leftChars="-10" w:right="-24" w:rightChars="-10"/>
              <w:jc w:val="center"/>
              <w:rPr>
                <w:rFonts w:hint="eastAsia" w:asciiTheme="minorEastAsia" w:hAnsiTheme="minorEastAsia" w:eastAsiaTheme="minorEastAsia" w:cstheme="minorEastAsia"/>
                <w:color w:val="auto"/>
                <w:sz w:val="21"/>
                <w:szCs w:val="21"/>
                <w:lang w:bidi="ar"/>
              </w:rPr>
            </w:pPr>
            <w:r>
              <w:rPr>
                <w:rStyle w:val="67"/>
                <w:rFonts w:hint="eastAsia" w:asciiTheme="minorEastAsia" w:hAnsiTheme="minorEastAsia" w:eastAsiaTheme="minorEastAsia" w:cstheme="minorEastAsia"/>
                <w:color w:val="auto"/>
                <w:sz w:val="21"/>
                <w:szCs w:val="21"/>
              </w:rPr>
              <w:t>应急预案</w:t>
            </w:r>
          </w:p>
        </w:tc>
        <w:tc>
          <w:tcPr>
            <w:tcW w:w="769" w:type="dxa"/>
            <w:vAlign w:val="center"/>
          </w:tcPr>
          <w:p w14:paraId="3BA87B0A">
            <w:pPr>
              <w:ind w:left="-24" w:leftChars="-10" w:right="-24" w:rightChars="-10"/>
              <w:jc w:val="center"/>
              <w:rPr>
                <w:rFonts w:hint="eastAsia"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2F9AA3C6">
            <w:pPr>
              <w:ind w:left="-24" w:leftChars="-10" w:right="-24" w:rightChars="-10"/>
              <w:jc w:val="left"/>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根据投标人的应急预案打分，方案合理可行的得5分，较合理的得3分，基本合理的1分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44469740">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6DBC6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4A3DD4B8">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7C36F6B5">
            <w:pPr>
              <w:ind w:left="-24" w:leftChars="-10" w:right="-24" w:rightChars="-10"/>
              <w:jc w:val="center"/>
              <w:rPr>
                <w:rStyle w:val="67"/>
                <w:rFonts w:hint="eastAsia" w:asciiTheme="minorEastAsia" w:hAnsiTheme="minorEastAsia" w:eastAsiaTheme="minorEastAsia" w:cstheme="minorEastAsia"/>
                <w:color w:val="auto"/>
                <w:sz w:val="21"/>
                <w:szCs w:val="21"/>
              </w:rPr>
            </w:pPr>
            <w:r>
              <w:rPr>
                <w:rStyle w:val="67"/>
                <w:rFonts w:hint="eastAsia" w:asciiTheme="minorEastAsia" w:hAnsiTheme="minorEastAsia" w:eastAsiaTheme="minorEastAsia" w:cstheme="minorEastAsia"/>
                <w:color w:val="auto"/>
                <w:sz w:val="21"/>
                <w:szCs w:val="21"/>
              </w:rPr>
              <w:t>管理制度</w:t>
            </w:r>
          </w:p>
        </w:tc>
        <w:tc>
          <w:tcPr>
            <w:tcW w:w="769" w:type="dxa"/>
            <w:vAlign w:val="center"/>
          </w:tcPr>
          <w:p w14:paraId="68C1BDD9">
            <w:pPr>
              <w:ind w:left="-24" w:leftChars="-10" w:right="-24"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E0D5C9C">
            <w:pPr>
              <w:ind w:left="-24" w:leftChars="-10" w:right="-24"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针对本项目设定规章管理制度和档案管理制度，描述清晰，工作运作流程清晰、规范，且有检查、有整改，最健全的得5分，较健全的得3分，基本健全的得1分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199346E0">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22DDB2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31363CD3">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695FECBC">
            <w:pPr>
              <w:ind w:left="-24" w:leftChars="-10" w:right="-24" w:rightChars="-10"/>
              <w:jc w:val="center"/>
              <w:rPr>
                <w:rStyle w:val="67"/>
                <w:rFonts w:hint="eastAsia" w:asciiTheme="minorEastAsia" w:hAnsiTheme="minorEastAsia" w:eastAsiaTheme="minorEastAsia" w:cstheme="minorEastAsia"/>
                <w:color w:val="auto"/>
                <w:sz w:val="21"/>
                <w:szCs w:val="21"/>
              </w:rPr>
            </w:pPr>
            <w:r>
              <w:rPr>
                <w:rStyle w:val="67"/>
                <w:rFonts w:hint="eastAsia" w:asciiTheme="minorEastAsia" w:hAnsiTheme="minorEastAsia" w:eastAsiaTheme="minorEastAsia" w:cstheme="minorEastAsia"/>
                <w:color w:val="auto"/>
                <w:sz w:val="21"/>
                <w:szCs w:val="21"/>
              </w:rPr>
              <w:t>保密措施</w:t>
            </w:r>
          </w:p>
        </w:tc>
        <w:tc>
          <w:tcPr>
            <w:tcW w:w="769" w:type="dxa"/>
            <w:vAlign w:val="center"/>
          </w:tcPr>
          <w:p w14:paraId="714C8698">
            <w:pPr>
              <w:ind w:left="-24" w:leftChars="-10" w:right="-24"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6D381846">
            <w:pPr>
              <w:ind w:left="-24" w:leftChars="-10" w:right="-24"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制定了针对性的安全保密工作流程和措施得2分；有泄露处罚措施得3分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5DA7F2D9">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5354A1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497C1B63">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7A0AF1AB">
            <w:pPr>
              <w:ind w:left="-24" w:leftChars="-10" w:right="-24" w:rightChars="-10"/>
              <w:jc w:val="center"/>
              <w:rPr>
                <w:rStyle w:val="67"/>
                <w:rFonts w:hint="eastAsia" w:asciiTheme="minorEastAsia" w:hAnsiTheme="minorEastAsia" w:eastAsiaTheme="minorEastAsia" w:cstheme="minorEastAsia"/>
                <w:color w:val="auto"/>
                <w:sz w:val="21"/>
                <w:szCs w:val="21"/>
              </w:rPr>
            </w:pPr>
            <w:r>
              <w:rPr>
                <w:rStyle w:val="67"/>
                <w:rFonts w:hint="eastAsia" w:asciiTheme="minorEastAsia" w:hAnsiTheme="minorEastAsia" w:eastAsiaTheme="minorEastAsia" w:cstheme="minorEastAsia"/>
                <w:color w:val="auto"/>
                <w:sz w:val="21"/>
                <w:szCs w:val="21"/>
              </w:rPr>
              <w:t>配合抽查及考核措施</w:t>
            </w:r>
          </w:p>
        </w:tc>
        <w:tc>
          <w:tcPr>
            <w:tcW w:w="769" w:type="dxa"/>
            <w:vAlign w:val="center"/>
          </w:tcPr>
          <w:p w14:paraId="6B40DF9A">
            <w:pPr>
              <w:ind w:left="-24" w:leftChars="-10" w:right="-24"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204902BE">
            <w:pPr>
              <w:ind w:left="-24" w:leftChars="-10" w:right="-24"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投标人提供配合采购人抽查及制定定期考核方案。方案合理可行的得5分，较合理的得3分，基本合理的1分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00B3D5F8">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287C0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511D1AB1">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2B6082B1">
            <w:pPr>
              <w:ind w:left="-24" w:leftChars="-10" w:right="-24" w:rightChars="-10"/>
              <w:jc w:val="center"/>
              <w:rPr>
                <w:rStyle w:val="67"/>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特色服务</w:t>
            </w:r>
          </w:p>
        </w:tc>
        <w:tc>
          <w:tcPr>
            <w:tcW w:w="769" w:type="dxa"/>
            <w:vAlign w:val="center"/>
          </w:tcPr>
          <w:p w14:paraId="13B3C7A1">
            <w:pPr>
              <w:ind w:left="-24" w:leftChars="-10" w:right="-24"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1A1DDE17">
            <w:pPr>
              <w:ind w:left="-24" w:leftChars="-10" w:right="-24" w:rightChars="-1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根据投标人针对本项目的特色服务打分，服务最可行的得5分，较可行的得3分，基本可行的得1分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30A3CE07">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0FE2C6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492CE78F">
            <w:pPr>
              <w:numPr>
                <w:ilvl w:val="0"/>
                <w:numId w:val="48"/>
              </w:numPr>
              <w:tabs>
                <w:tab w:val="left" w:pos="447"/>
              </w:tabs>
              <w:ind w:left="240" w:leftChars="0" w:right="-48" w:rightChars="-20" w:firstLine="0" w:firstLineChars="0"/>
              <w:jc w:val="center"/>
              <w:rPr>
                <w:rFonts w:hint="eastAsia" w:asciiTheme="minorEastAsia" w:hAnsiTheme="minorEastAsia" w:eastAsiaTheme="minorEastAsia" w:cstheme="minorEastAsia"/>
                <w:b/>
                <w:color w:val="auto"/>
                <w:sz w:val="21"/>
                <w:szCs w:val="21"/>
              </w:rPr>
            </w:pPr>
          </w:p>
        </w:tc>
        <w:tc>
          <w:tcPr>
            <w:tcW w:w="1168" w:type="dxa"/>
            <w:vAlign w:val="center"/>
          </w:tcPr>
          <w:p w14:paraId="3E1D07B8">
            <w:pPr>
              <w:ind w:left="-24" w:leftChars="-10" w:right="-24" w:rightChars="-10"/>
              <w:jc w:val="center"/>
              <w:rPr>
                <w:rFonts w:hint="eastAsia" w:asciiTheme="minorEastAsia" w:hAnsiTheme="minorEastAsia" w:eastAsiaTheme="minorEastAsia" w:cstheme="minorEastAsia"/>
                <w:color w:val="auto"/>
                <w:sz w:val="21"/>
                <w:szCs w:val="21"/>
              </w:rPr>
            </w:pPr>
            <w:r>
              <w:rPr>
                <w:rStyle w:val="67"/>
                <w:rFonts w:hint="eastAsia" w:asciiTheme="minorEastAsia" w:hAnsiTheme="minorEastAsia" w:eastAsiaTheme="minorEastAsia" w:cstheme="minorEastAsia"/>
                <w:color w:val="auto"/>
                <w:sz w:val="21"/>
                <w:szCs w:val="21"/>
              </w:rPr>
              <w:t>惩罚措施</w:t>
            </w:r>
          </w:p>
        </w:tc>
        <w:tc>
          <w:tcPr>
            <w:tcW w:w="769" w:type="dxa"/>
            <w:vAlign w:val="center"/>
          </w:tcPr>
          <w:p w14:paraId="24860260">
            <w:pPr>
              <w:ind w:left="-24" w:leftChars="-10" w:right="-24"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35AA4D03">
            <w:pPr>
              <w:ind w:left="-24" w:leftChars="-10" w:right="-24"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根据投标人在未能如约完成项目内容时的惩罚措施及承诺打分，惩罚措施完善，承诺合理可行的得5分，较可行的得3分，基本可行的得1分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088E78E2">
            <w:pPr>
              <w:ind w:left="-74" w:leftChars="-31" w:right="-41"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bl>
    <w:p w14:paraId="6A567E6F">
      <w:pPr>
        <w:pStyle w:val="45"/>
        <w:numPr>
          <w:ilvl w:val="0"/>
          <w:numId w:val="0"/>
        </w:numPr>
        <w:spacing w:line="360" w:lineRule="auto"/>
        <w:ind w:left="-7" w:leftChars="0"/>
        <w:rPr>
          <w:b/>
          <w:color w:val="auto"/>
          <w:szCs w:val="24"/>
          <w:lang w:val="zh-CN"/>
        </w:rPr>
      </w:pPr>
    </w:p>
    <w:p w14:paraId="2BBB30C9">
      <w:pPr>
        <w:pStyle w:val="45"/>
        <w:numPr>
          <w:ilvl w:val="0"/>
          <w:numId w:val="46"/>
        </w:numPr>
        <w:spacing w:line="360" w:lineRule="auto"/>
        <w:ind w:left="240" w:hanging="247" w:firstLineChars="0"/>
        <w:rPr>
          <w:b/>
          <w:color w:val="auto"/>
          <w:szCs w:val="24"/>
          <w:lang w:val="zh-CN"/>
        </w:rPr>
      </w:pPr>
      <w:bookmarkStart w:id="415" w:name="_Toc102116188"/>
      <w:bookmarkStart w:id="416" w:name="_Toc102116058"/>
      <w:bookmarkStart w:id="417" w:name="_Toc102114956"/>
      <w:bookmarkStart w:id="418" w:name="_Toc102057754"/>
      <w:bookmarkStart w:id="419" w:name="_Toc102119889"/>
      <w:bookmarkStart w:id="420" w:name="_Toc102056254"/>
      <w:r>
        <w:rPr>
          <w:rFonts w:hint="eastAsia"/>
          <w:b/>
          <w:color w:val="auto"/>
          <w:szCs w:val="24"/>
          <w:lang w:val="zh-CN"/>
        </w:rPr>
        <w:t>报价评分（</w:t>
      </w:r>
      <w:r>
        <w:rPr>
          <w:rFonts w:hint="eastAsia"/>
          <w:b/>
          <w:color w:val="auto"/>
          <w:szCs w:val="24"/>
          <w:lang w:val="en-US" w:eastAsia="zh-CN"/>
        </w:rPr>
        <w:t>1</w:t>
      </w:r>
      <w:r>
        <w:rPr>
          <w:rFonts w:hint="eastAsia"/>
          <w:b/>
          <w:color w:val="auto"/>
          <w:szCs w:val="24"/>
        </w:rPr>
        <w:t>0</w:t>
      </w:r>
      <w:r>
        <w:rPr>
          <w:rFonts w:hint="eastAsia"/>
          <w:b/>
          <w:color w:val="auto"/>
          <w:szCs w:val="24"/>
          <w:lang w:val="zh-CN"/>
        </w:rPr>
        <w:t xml:space="preserve"> 分</w:t>
      </w:r>
      <w:bookmarkEnd w:id="415"/>
      <w:bookmarkEnd w:id="416"/>
      <w:bookmarkEnd w:id="417"/>
      <w:bookmarkEnd w:id="418"/>
      <w:bookmarkEnd w:id="419"/>
      <w:bookmarkEnd w:id="420"/>
      <w:r>
        <w:rPr>
          <w:rFonts w:hint="eastAsia"/>
          <w:b/>
          <w:color w:val="auto"/>
          <w:szCs w:val="24"/>
          <w:lang w:val="zh-CN"/>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32F245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AA199F9">
            <w:pPr>
              <w:wordWrap w:val="0"/>
              <w:spacing w:line="360" w:lineRule="auto"/>
              <w:ind w:left="-89" w:leftChars="-37" w:right="-98"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41297690">
            <w:pPr>
              <w:wordWrap w:val="0"/>
              <w:spacing w:line="360" w:lineRule="auto"/>
              <w:ind w:left="-89" w:leftChars="-37" w:right="-98"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06EE12FD">
            <w:pPr>
              <w:wordWrap w:val="0"/>
              <w:spacing w:line="360" w:lineRule="auto"/>
              <w:ind w:left="-84" w:leftChars="-35" w:right="-91"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5C9E395A">
            <w:pPr>
              <w:wordWrap w:val="0"/>
              <w:spacing w:line="360" w:lineRule="auto"/>
              <w:jc w:val="center"/>
              <w:rPr>
                <w:rFonts w:cs="Courier New"/>
                <w:b/>
                <w:bCs/>
                <w:color w:val="auto"/>
                <w:szCs w:val="24"/>
              </w:rPr>
            </w:pPr>
            <w:r>
              <w:rPr>
                <w:rFonts w:hint="eastAsia" w:cs="Courier New"/>
                <w:b/>
                <w:bCs/>
                <w:color w:val="auto"/>
                <w:szCs w:val="24"/>
              </w:rPr>
              <w:t>评分标准</w:t>
            </w:r>
          </w:p>
        </w:tc>
      </w:tr>
      <w:tr w14:paraId="3569A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415B156">
            <w:pPr>
              <w:numPr>
                <w:ilvl w:val="0"/>
                <w:numId w:val="49"/>
              </w:numPr>
              <w:tabs>
                <w:tab w:val="left" w:pos="447"/>
              </w:tabs>
              <w:wordWrap w:val="0"/>
              <w:spacing w:line="360" w:lineRule="auto"/>
              <w:ind w:left="-40" w:right="-48" w:rightChars="-20" w:firstLine="0"/>
              <w:jc w:val="center"/>
              <w:rPr>
                <w:b/>
                <w:bCs/>
                <w:color w:val="auto"/>
                <w:szCs w:val="24"/>
              </w:rPr>
            </w:pPr>
          </w:p>
        </w:tc>
        <w:tc>
          <w:tcPr>
            <w:tcW w:w="1155" w:type="dxa"/>
            <w:tcBorders>
              <w:top w:val="single" w:color="auto" w:sz="2" w:space="0"/>
            </w:tcBorders>
            <w:vAlign w:val="center"/>
          </w:tcPr>
          <w:p w14:paraId="6C5C59E7">
            <w:pPr>
              <w:wordWrap w:val="0"/>
              <w:spacing w:line="360" w:lineRule="auto"/>
              <w:ind w:left="-89" w:leftChars="-37" w:right="-98" w:rightChars="-41"/>
              <w:jc w:val="center"/>
              <w:rPr>
                <w:bCs/>
                <w:color w:val="auto"/>
                <w:szCs w:val="24"/>
              </w:rPr>
            </w:pPr>
            <w:r>
              <w:rPr>
                <w:rFonts w:hint="eastAsia"/>
                <w:bCs/>
                <w:color w:val="auto"/>
                <w:szCs w:val="24"/>
              </w:rPr>
              <w:t>价格评审</w:t>
            </w:r>
          </w:p>
        </w:tc>
        <w:tc>
          <w:tcPr>
            <w:tcW w:w="642" w:type="dxa"/>
            <w:tcBorders>
              <w:top w:val="single" w:color="auto" w:sz="2" w:space="0"/>
            </w:tcBorders>
            <w:vAlign w:val="center"/>
          </w:tcPr>
          <w:p w14:paraId="1A457A92">
            <w:pPr>
              <w:wordWrap w:val="0"/>
              <w:spacing w:line="360" w:lineRule="auto"/>
              <w:jc w:val="center"/>
              <w:rPr>
                <w:color w:val="auto"/>
                <w:szCs w:val="24"/>
              </w:rPr>
            </w:pPr>
            <w:r>
              <w:rPr>
                <w:rFonts w:hint="eastAsia"/>
                <w:color w:val="auto"/>
                <w:szCs w:val="24"/>
                <w:lang w:val="en-US" w:eastAsia="zh-CN"/>
              </w:rPr>
              <w:t>1</w:t>
            </w:r>
            <w:r>
              <w:rPr>
                <w:rFonts w:hint="eastAsia"/>
                <w:color w:val="auto"/>
                <w:szCs w:val="24"/>
              </w:rPr>
              <w:t>0</w:t>
            </w:r>
          </w:p>
        </w:tc>
        <w:tc>
          <w:tcPr>
            <w:tcW w:w="7229" w:type="dxa"/>
            <w:tcBorders>
              <w:top w:val="single" w:color="auto" w:sz="2" w:space="0"/>
            </w:tcBorders>
            <w:vAlign w:val="center"/>
          </w:tcPr>
          <w:p w14:paraId="7D618E8C">
            <w:pPr>
              <w:wordWrap w:val="0"/>
              <w:adjustRightInd w:val="0"/>
              <w:snapToGrid w:val="0"/>
              <w:spacing w:line="360" w:lineRule="auto"/>
              <w:rPr>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1</w:t>
            </w:r>
            <w:r>
              <w:rPr>
                <w:rFonts w:hint="eastAsia"/>
                <w:color w:val="auto"/>
              </w:rPr>
              <w:t>0分</w:t>
            </w:r>
          </w:p>
        </w:tc>
      </w:tr>
    </w:tbl>
    <w:p w14:paraId="781050A6">
      <w:pPr>
        <w:rPr>
          <w:color w:val="auto"/>
        </w:rPr>
      </w:pPr>
    </w:p>
    <w:p w14:paraId="1C3E4596">
      <w:pPr>
        <w:rPr>
          <w:color w:val="auto"/>
        </w:rPr>
      </w:pPr>
    </w:p>
    <w:p w14:paraId="58A75A93">
      <w:pPr>
        <w:widowControl/>
        <w:jc w:val="left"/>
        <w:rPr>
          <w:b/>
          <w:bCs/>
          <w:color w:val="auto"/>
          <w:kern w:val="44"/>
          <w:sz w:val="36"/>
          <w:szCs w:val="36"/>
        </w:rPr>
      </w:pPr>
      <w:r>
        <w:rPr>
          <w:color w:val="auto"/>
          <w:sz w:val="36"/>
          <w:szCs w:val="36"/>
        </w:rPr>
        <w:br w:type="page"/>
      </w:r>
    </w:p>
    <w:p w14:paraId="665C8131">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1" w:name="_Toc122527544"/>
      <w:r>
        <w:rPr>
          <w:rFonts w:hint="eastAsia"/>
          <w:color w:val="auto"/>
          <w:sz w:val="36"/>
          <w:szCs w:val="36"/>
        </w:rPr>
        <w:t>合同文本格式（参考）</w:t>
      </w:r>
      <w:bookmarkEnd w:id="400"/>
      <w:bookmarkEnd w:id="401"/>
      <w:bookmarkEnd w:id="402"/>
      <w:bookmarkEnd w:id="403"/>
      <w:bookmarkEnd w:id="404"/>
      <w:bookmarkEnd w:id="405"/>
      <w:bookmarkEnd w:id="406"/>
      <w:bookmarkEnd w:id="407"/>
      <w:bookmarkEnd w:id="408"/>
      <w:bookmarkEnd w:id="421"/>
    </w:p>
    <w:p w14:paraId="75A7937C">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3DAB2584">
      <w:pPr>
        <w:wordWrap w:val="0"/>
        <w:spacing w:line="360" w:lineRule="auto"/>
        <w:jc w:val="left"/>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66C42577">
      <w:pPr>
        <w:wordWrap w:val="0"/>
        <w:spacing w:line="360" w:lineRule="auto"/>
        <w:jc w:val="center"/>
        <w:rPr>
          <w:bCs/>
          <w:color w:val="auto"/>
          <w:sz w:val="36"/>
          <w:szCs w:val="36"/>
        </w:rPr>
      </w:pPr>
    </w:p>
    <w:p w14:paraId="0F1A485F">
      <w:pPr>
        <w:wordWrap w:val="0"/>
        <w:spacing w:line="360" w:lineRule="auto"/>
        <w:jc w:val="center"/>
        <w:rPr>
          <w:bCs/>
          <w:color w:val="auto"/>
          <w:sz w:val="36"/>
          <w:szCs w:val="36"/>
        </w:rPr>
      </w:pPr>
    </w:p>
    <w:p w14:paraId="228D946D">
      <w:pPr>
        <w:wordWrap w:val="0"/>
        <w:spacing w:line="360" w:lineRule="auto"/>
        <w:jc w:val="center"/>
        <w:rPr>
          <w:b/>
          <w:bCs/>
          <w:color w:val="auto"/>
          <w:sz w:val="72"/>
          <w:szCs w:val="72"/>
        </w:rPr>
      </w:pPr>
      <w:r>
        <w:rPr>
          <w:rFonts w:hint="eastAsia"/>
          <w:b/>
          <w:bCs/>
          <w:color w:val="auto"/>
          <w:sz w:val="72"/>
          <w:szCs w:val="72"/>
        </w:rPr>
        <w:t>合   同   书</w:t>
      </w:r>
    </w:p>
    <w:p w14:paraId="25F4CD92">
      <w:pPr>
        <w:wordWrap w:val="0"/>
        <w:spacing w:line="360" w:lineRule="auto"/>
        <w:jc w:val="center"/>
        <w:rPr>
          <w:bCs/>
          <w:color w:val="auto"/>
          <w:sz w:val="10"/>
          <w:szCs w:val="10"/>
        </w:rPr>
      </w:pPr>
    </w:p>
    <w:p w14:paraId="596FC5E7">
      <w:pPr>
        <w:wordWrap w:val="0"/>
        <w:spacing w:line="360" w:lineRule="auto"/>
        <w:rPr>
          <w:color w:val="auto"/>
        </w:rPr>
      </w:pPr>
    </w:p>
    <w:p w14:paraId="597C21A1">
      <w:pPr>
        <w:wordWrap w:val="0"/>
        <w:spacing w:line="360" w:lineRule="auto"/>
        <w:rPr>
          <w:color w:val="auto"/>
        </w:rPr>
      </w:pPr>
    </w:p>
    <w:p w14:paraId="41CF89A0">
      <w:pPr>
        <w:wordWrap w:val="0"/>
        <w:spacing w:line="360" w:lineRule="auto"/>
        <w:rPr>
          <w:color w:val="auto"/>
          <w:sz w:val="28"/>
          <w:szCs w:val="28"/>
        </w:rPr>
      </w:pPr>
    </w:p>
    <w:p w14:paraId="72FC4F65">
      <w:pPr>
        <w:wordWrap w:val="0"/>
        <w:spacing w:before="78"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AEAC336">
      <w:pPr>
        <w:wordWrap w:val="0"/>
        <w:spacing w:before="78" w:beforeLines="25" w:line="360" w:lineRule="auto"/>
        <w:rPr>
          <w:rFonts w:cs="Helvetica"/>
          <w:b/>
          <w:color w:val="auto"/>
          <w:sz w:val="28"/>
          <w:szCs w:val="28"/>
          <w:lang w:val="zh-CN"/>
        </w:rPr>
      </w:pPr>
    </w:p>
    <w:p w14:paraId="3C3CFC0F">
      <w:pPr>
        <w:wordWrap w:val="0"/>
        <w:spacing w:before="78" w:beforeLines="25" w:line="360" w:lineRule="auto"/>
        <w:rPr>
          <w:rFonts w:cs="Helvetica"/>
          <w:b/>
          <w:color w:val="auto"/>
          <w:sz w:val="28"/>
          <w:szCs w:val="28"/>
          <w:lang w:val="zh-CN"/>
        </w:rPr>
      </w:pPr>
    </w:p>
    <w:p w14:paraId="57566ED2">
      <w:pPr>
        <w:wordWrap w:val="0"/>
        <w:spacing w:before="78"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71536DB5">
      <w:pPr>
        <w:wordWrap w:val="0"/>
        <w:spacing w:before="78" w:beforeLines="25" w:line="360" w:lineRule="auto"/>
        <w:rPr>
          <w:rFonts w:cs="Helvetica"/>
          <w:b/>
          <w:color w:val="auto"/>
          <w:sz w:val="28"/>
          <w:szCs w:val="28"/>
          <w:lang w:val="zh-CN"/>
        </w:rPr>
      </w:pPr>
    </w:p>
    <w:p w14:paraId="27C9E5AC">
      <w:pPr>
        <w:wordWrap w:val="0"/>
        <w:spacing w:before="78"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14:paraId="0DE4F207">
      <w:pPr>
        <w:wordWrap w:val="0"/>
        <w:spacing w:before="78" w:beforeLines="25" w:line="360" w:lineRule="auto"/>
        <w:rPr>
          <w:b/>
          <w:color w:val="auto"/>
          <w:sz w:val="28"/>
          <w:szCs w:val="28"/>
          <w:u w:val="single"/>
        </w:rPr>
      </w:pPr>
    </w:p>
    <w:p w14:paraId="739D6620">
      <w:pPr>
        <w:wordWrap w:val="0"/>
        <w:spacing w:before="78" w:beforeLines="25" w:line="360" w:lineRule="auto"/>
        <w:ind w:firstLine="1124" w:firstLineChars="400"/>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7C94FBA">
      <w:pPr>
        <w:wordWrap w:val="0"/>
        <w:spacing w:before="78" w:beforeLines="25" w:line="360" w:lineRule="auto"/>
        <w:rPr>
          <w:color w:val="auto"/>
          <w:u w:val="single"/>
        </w:rPr>
      </w:pPr>
    </w:p>
    <w:p w14:paraId="58092C98">
      <w:pPr>
        <w:pStyle w:val="11"/>
        <w:spacing w:line="360" w:lineRule="auto"/>
        <w:rPr>
          <w:color w:val="auto"/>
        </w:rPr>
      </w:pPr>
    </w:p>
    <w:p w14:paraId="4B2C4229">
      <w:pPr>
        <w:wordWrap w:val="0"/>
        <w:spacing w:before="78"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194DAFBF">
      <w:pPr>
        <w:wordWrap w:val="0"/>
        <w:spacing w:before="78" w:beforeLines="25" w:line="360" w:lineRule="auto"/>
        <w:rPr>
          <w:b/>
          <w:color w:val="auto"/>
        </w:rPr>
      </w:pPr>
      <w:r>
        <w:rPr>
          <w:rFonts w:hint="eastAsia"/>
          <w:b/>
          <w:color w:val="auto"/>
        </w:rPr>
        <w:t xml:space="preserve">                                                 </w:t>
      </w:r>
    </w:p>
    <w:p w14:paraId="2BD69EF2">
      <w:pPr>
        <w:widowControl/>
        <w:wordWrap w:val="0"/>
        <w:spacing w:line="360" w:lineRule="auto"/>
        <w:jc w:val="left"/>
        <w:rPr>
          <w:rFonts w:cs="宋体"/>
          <w:color w:val="auto"/>
          <w:szCs w:val="24"/>
        </w:rPr>
      </w:pPr>
      <w:r>
        <w:rPr>
          <w:rFonts w:cs="宋体"/>
          <w:color w:val="auto"/>
          <w:szCs w:val="24"/>
        </w:rPr>
        <w:br w:type="page"/>
      </w:r>
    </w:p>
    <w:p w14:paraId="41533CF3">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06B220AF">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项目基本情况</w:t>
      </w:r>
    </w:p>
    <w:p w14:paraId="6B29AA5B">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547299FC">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4FA14294">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28D4183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(见竞争性磋商文件)</w:t>
      </w:r>
      <w:r>
        <w:rPr>
          <w:rFonts w:hint="eastAsia" w:cs="Helvetica"/>
          <w:color w:val="auto"/>
          <w:szCs w:val="24"/>
          <w:u w:val="single"/>
          <w:lang w:val="zh-CN"/>
        </w:rPr>
        <w:t xml:space="preserve">          </w:t>
      </w:r>
      <w:r>
        <w:rPr>
          <w:rFonts w:hint="eastAsia" w:cs="Helvetica"/>
          <w:color w:val="auto"/>
          <w:szCs w:val="24"/>
          <w:lang w:val="zh-CN"/>
        </w:rPr>
        <w:t xml:space="preserve">  </w:t>
      </w:r>
    </w:p>
    <w:p w14:paraId="6D0C4C03">
      <w:pPr>
        <w:pStyle w:val="45"/>
        <w:numPr>
          <w:ilvl w:val="0"/>
          <w:numId w:val="50"/>
        </w:numPr>
        <w:wordWrap w:val="0"/>
        <w:spacing w:before="78" w:beforeLines="25" w:line="360" w:lineRule="auto"/>
        <w:ind w:firstLineChars="0"/>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54E05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050F159A">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14:paraId="0C0E64B6">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14:paraId="2DC496F0">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4DE52A47">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14:paraId="11A7C27B">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14:paraId="4C77D3BF">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14:paraId="1713A5F6">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14:paraId="503EAD54">
            <w:pPr>
              <w:wordWrap w:val="0"/>
              <w:spacing w:line="360" w:lineRule="auto"/>
              <w:ind w:left="-26" w:leftChars="-11" w:right="-74" w:rightChars="-31"/>
              <w:jc w:val="center"/>
              <w:rPr>
                <w:rFonts w:cs="宋体"/>
                <w:b/>
                <w:color w:val="auto"/>
              </w:rPr>
            </w:pPr>
            <w:r>
              <w:rPr>
                <w:rFonts w:hint="eastAsia" w:cs="宋体"/>
                <w:b/>
                <w:color w:val="auto"/>
              </w:rPr>
              <w:t>制造厂家（全称）</w:t>
            </w:r>
          </w:p>
        </w:tc>
      </w:tr>
      <w:tr w14:paraId="361258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58363A6C">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14:paraId="0A012656">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0EEDA873">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4EBF6D48">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1756A60">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14:paraId="3D9B54DE">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181B4A02">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19A741AA">
            <w:pPr>
              <w:wordWrap w:val="0"/>
              <w:spacing w:line="360" w:lineRule="auto"/>
              <w:ind w:left="-55" w:leftChars="-23" w:right="-74" w:rightChars="-31"/>
              <w:jc w:val="center"/>
              <w:rPr>
                <w:rFonts w:cs="宋体"/>
                <w:color w:val="auto"/>
                <w:szCs w:val="24"/>
              </w:rPr>
            </w:pPr>
          </w:p>
        </w:tc>
      </w:tr>
      <w:tr w14:paraId="4A408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13CBE39">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14:paraId="0E4AEAB9">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1B4EF7E">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0258CC57">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407CBCDF">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14:paraId="2E3BC3DF">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0BF36743">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67AD7C03">
            <w:pPr>
              <w:wordWrap w:val="0"/>
              <w:spacing w:line="360" w:lineRule="auto"/>
              <w:ind w:left="-55" w:leftChars="-23" w:right="-74" w:rightChars="-31"/>
              <w:jc w:val="center"/>
              <w:rPr>
                <w:rFonts w:cs="宋体"/>
                <w:color w:val="auto"/>
                <w:szCs w:val="24"/>
              </w:rPr>
            </w:pPr>
          </w:p>
        </w:tc>
      </w:tr>
      <w:tr w14:paraId="19E72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4ED4557D">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14:paraId="7EE1418B">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2CB03D1E">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7998AF0B">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028962CA">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2789B0EF">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E57A0E1">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14:paraId="271C5709">
            <w:pPr>
              <w:wordWrap w:val="0"/>
              <w:spacing w:line="360" w:lineRule="auto"/>
              <w:ind w:left="-55" w:leftChars="-23" w:right="-74" w:rightChars="-31"/>
              <w:jc w:val="center"/>
              <w:rPr>
                <w:rFonts w:cs="宋体"/>
                <w:color w:val="auto"/>
                <w:szCs w:val="24"/>
              </w:rPr>
            </w:pPr>
            <w:r>
              <w:rPr>
                <w:rFonts w:hint="eastAsia"/>
                <w:color w:val="auto"/>
              </w:rPr>
              <w:t>…</w:t>
            </w:r>
          </w:p>
        </w:tc>
      </w:tr>
      <w:tr w14:paraId="4786C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533406A">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4FAC7DB6">
            <w:pPr>
              <w:wordWrap w:val="0"/>
              <w:spacing w:line="360" w:lineRule="auto"/>
              <w:ind w:left="-55" w:leftChars="-23" w:right="-74" w:rightChars="-31"/>
              <w:jc w:val="left"/>
              <w:rPr>
                <w:rFonts w:cs="宋体"/>
                <w:color w:val="auto"/>
                <w:szCs w:val="24"/>
              </w:rPr>
            </w:pPr>
          </w:p>
        </w:tc>
      </w:tr>
    </w:tbl>
    <w:p w14:paraId="54985823">
      <w:pPr>
        <w:pStyle w:val="45"/>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货物（服务）质量</w:t>
      </w:r>
    </w:p>
    <w:p w14:paraId="3ADA671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(以竞争性磋商文件要求以及磋商文件的响应)</w:t>
      </w:r>
      <w:r>
        <w:rPr>
          <w:rFonts w:hint="eastAsia" w:cs="Helvetica"/>
          <w:iCs/>
          <w:color w:val="auto"/>
          <w:szCs w:val="24"/>
          <w:u w:val="single"/>
        </w:rPr>
        <w:t xml:space="preserve">                    </w:t>
      </w:r>
      <w:r>
        <w:rPr>
          <w:rFonts w:hint="eastAsia" w:cs="Helvetica"/>
          <w:iCs/>
          <w:color w:val="auto"/>
          <w:szCs w:val="24"/>
        </w:rPr>
        <w:t xml:space="preserve">。  </w:t>
      </w:r>
    </w:p>
    <w:p w14:paraId="0CDF3398">
      <w:pPr>
        <w:pStyle w:val="45"/>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14:paraId="24A901AD">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0B0623E4">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(见竞争性磋商文件)</w:t>
      </w:r>
      <w:r>
        <w:rPr>
          <w:rFonts w:hint="eastAsia" w:cs="宋体"/>
          <w:color w:val="auto"/>
          <w:szCs w:val="24"/>
          <w:u w:val="single"/>
        </w:rPr>
        <w:t xml:space="preserve">                     </w:t>
      </w:r>
      <w:r>
        <w:rPr>
          <w:rFonts w:hint="eastAsia"/>
          <w:i/>
          <w:color w:val="auto"/>
        </w:rPr>
        <w:t>。</w:t>
      </w:r>
    </w:p>
    <w:p w14:paraId="22F1EBF0">
      <w:pPr>
        <w:pStyle w:val="45"/>
        <w:numPr>
          <w:ilvl w:val="0"/>
          <w:numId w:val="50"/>
        </w:numPr>
        <w:wordWrap w:val="0"/>
        <w:spacing w:before="78" w:beforeLines="25" w:line="360" w:lineRule="auto"/>
        <w:ind w:firstLineChars="0"/>
        <w:rPr>
          <w:rFonts w:cs="Helvetica"/>
          <w:bCs/>
          <w:color w:val="auto"/>
          <w:szCs w:val="24"/>
          <w:lang w:val="zh-CN"/>
        </w:rPr>
      </w:pPr>
      <w:r>
        <w:rPr>
          <w:rFonts w:hint="eastAsia"/>
          <w:b/>
          <w:iCs/>
          <w:color w:val="auto"/>
          <w:szCs w:val="24"/>
        </w:rPr>
        <w:t>包装及运输</w:t>
      </w:r>
    </w:p>
    <w:p w14:paraId="47DC63D5">
      <w:pPr>
        <w:numPr>
          <w:ilvl w:val="255"/>
          <w:numId w:val="0"/>
        </w:numPr>
        <w:tabs>
          <w:tab w:val="left" w:pos="980"/>
        </w:tabs>
        <w:wordWrap w:val="0"/>
        <w:autoSpaceDE w:val="0"/>
        <w:autoSpaceDN w:val="0"/>
        <w:spacing w:before="78" w:beforeLines="25" w:line="360" w:lineRule="auto"/>
        <w:ind w:firstLine="960" w:firstLineChars="40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14:paraId="490AEB9D">
      <w:pPr>
        <w:pStyle w:val="45"/>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14:paraId="3BB3DEB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(见磋商文件)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19E6582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4EC32CF">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4DEFF3B3">
      <w:pPr>
        <w:pStyle w:val="45"/>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14:paraId="79DCD806">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hint="eastAsia" w:cs="Helvetica"/>
          <w:bCs/>
          <w:iCs/>
          <w:color w:val="auto"/>
          <w:szCs w:val="24"/>
        </w:rPr>
        <w:t>。</w:t>
      </w:r>
    </w:p>
    <w:p w14:paraId="5B323D3C">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14:paraId="76D16F1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(见竞争性磋商文件)</w:t>
      </w:r>
      <w:r>
        <w:rPr>
          <w:rFonts w:hint="eastAsia" w:cs="Helvetica"/>
          <w:bCs/>
          <w:color w:val="auto"/>
          <w:szCs w:val="24"/>
          <w:u w:val="single"/>
          <w:lang w:val="zh-CN"/>
        </w:rPr>
        <w:t xml:space="preserve">                         </w:t>
      </w:r>
      <w:r>
        <w:rPr>
          <w:rFonts w:hint="eastAsia" w:cs="Helvetica"/>
          <w:bCs/>
          <w:color w:val="auto"/>
          <w:szCs w:val="24"/>
          <w:lang w:val="zh-CN"/>
        </w:rPr>
        <w:t>；</w:t>
      </w:r>
    </w:p>
    <w:p w14:paraId="15B9092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4FFACCB9">
      <w:pPr>
        <w:pStyle w:val="45"/>
        <w:numPr>
          <w:ilvl w:val="0"/>
          <w:numId w:val="50"/>
        </w:numPr>
        <w:wordWrap w:val="0"/>
        <w:spacing w:before="78"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14:paraId="10A3C880">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51111FF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14:paraId="0974629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14:paraId="1EF85AD8">
      <w:pPr>
        <w:pStyle w:val="45"/>
        <w:numPr>
          <w:ilvl w:val="0"/>
          <w:numId w:val="50"/>
        </w:numPr>
        <w:wordWrap w:val="0"/>
        <w:spacing w:before="78" w:beforeLines="25" w:line="360" w:lineRule="auto"/>
        <w:ind w:firstLineChars="0"/>
        <w:rPr>
          <w:rFonts w:cs="Helvetica"/>
          <w:bCs/>
          <w:color w:val="auto"/>
          <w:szCs w:val="24"/>
          <w:lang w:val="zh-CN"/>
        </w:rPr>
      </w:pPr>
      <w:r>
        <w:rPr>
          <w:rFonts w:hint="eastAsia" w:cs="Helvetica"/>
          <w:b/>
          <w:bCs/>
          <w:color w:val="auto"/>
          <w:szCs w:val="24"/>
          <w:lang w:val="zh-CN"/>
        </w:rPr>
        <w:t>项目培训</w:t>
      </w:r>
    </w:p>
    <w:p w14:paraId="742155C8">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(见磋商文件)</w:t>
      </w:r>
      <w:r>
        <w:rPr>
          <w:rFonts w:hint="eastAsia" w:cs="Helvetica"/>
          <w:bCs/>
          <w:color w:val="auto"/>
          <w:szCs w:val="24"/>
          <w:u w:val="single"/>
        </w:rPr>
        <w:t xml:space="preserve">                         </w:t>
      </w:r>
      <w:r>
        <w:rPr>
          <w:rFonts w:hint="eastAsia" w:cs="Helvetica"/>
          <w:bCs/>
          <w:color w:val="auto"/>
          <w:szCs w:val="24"/>
        </w:rPr>
        <w:t>。</w:t>
      </w:r>
    </w:p>
    <w:p w14:paraId="5317F058">
      <w:pPr>
        <w:pStyle w:val="45"/>
        <w:numPr>
          <w:ilvl w:val="0"/>
          <w:numId w:val="50"/>
        </w:numPr>
        <w:wordWrap w:val="0"/>
        <w:spacing w:before="78"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14:paraId="47ABD8D2">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(见竞争性磋商文件)                          </w:t>
      </w:r>
      <w:r>
        <w:rPr>
          <w:rFonts w:hint="eastAsia" w:cs="Helvetica"/>
          <w:bCs/>
          <w:i/>
          <w:iCs/>
          <w:color w:val="auto"/>
          <w:szCs w:val="24"/>
        </w:rPr>
        <w:t>。</w:t>
      </w:r>
    </w:p>
    <w:p w14:paraId="77D0F150">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双方的权利和义务</w:t>
      </w:r>
    </w:p>
    <w:p w14:paraId="2C66034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14:paraId="556F72D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14:paraId="2A12365D">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违约责任</w:t>
      </w:r>
    </w:p>
    <w:p w14:paraId="2D72439C">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6C32FFD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14:paraId="57D946F5">
      <w:pPr>
        <w:pStyle w:val="45"/>
        <w:numPr>
          <w:ilvl w:val="0"/>
          <w:numId w:val="50"/>
        </w:numPr>
        <w:wordWrap w:val="0"/>
        <w:spacing w:before="78"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14:paraId="2364C32B">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(见竞争性磋商文件)                      </w:t>
      </w:r>
      <w:r>
        <w:rPr>
          <w:rFonts w:hint="eastAsia" w:cs="Helvetica"/>
          <w:bCs/>
          <w:color w:val="auto"/>
          <w:szCs w:val="24"/>
        </w:rPr>
        <w:t>。</w:t>
      </w:r>
    </w:p>
    <w:p w14:paraId="6EDDBDAA">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其它补充条款</w:t>
      </w:r>
    </w:p>
    <w:p w14:paraId="2757F185">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24EFF397">
      <w:pPr>
        <w:pStyle w:val="45"/>
        <w:numPr>
          <w:ilvl w:val="0"/>
          <w:numId w:val="50"/>
        </w:numPr>
        <w:wordWrap w:val="0"/>
        <w:spacing w:before="78" w:beforeLines="25" w:line="360" w:lineRule="auto"/>
        <w:ind w:firstLineChars="0"/>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14:paraId="18183E5A">
      <w:pPr>
        <w:wordWrap w:val="0"/>
        <w:spacing w:before="78"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14:paraId="3841202F">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解决争议的方法</w:t>
      </w:r>
    </w:p>
    <w:p w14:paraId="21FB7B18">
      <w:pPr>
        <w:numPr>
          <w:ilvl w:val="255"/>
          <w:numId w:val="0"/>
        </w:numPr>
        <w:tabs>
          <w:tab w:val="left" w:pos="980"/>
        </w:tabs>
        <w:wordWrap w:val="0"/>
        <w:autoSpaceDE w:val="0"/>
        <w:autoSpaceDN w:val="0"/>
        <w:spacing w:before="78"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27492021">
      <w:pPr>
        <w:pStyle w:val="45"/>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合同组成</w:t>
      </w:r>
    </w:p>
    <w:p w14:paraId="2B062D06">
      <w:pPr>
        <w:wordWrap w:val="0"/>
        <w:spacing w:before="78" w:beforeLines="25" w:line="360" w:lineRule="auto"/>
        <w:ind w:firstLine="960" w:firstLineChars="400"/>
        <w:rPr>
          <w:rFonts w:cs="Helvetica"/>
          <w:color w:val="auto"/>
          <w:szCs w:val="24"/>
          <w:lang w:val="zh-CN"/>
        </w:rPr>
      </w:pPr>
      <w:r>
        <w:rPr>
          <w:rFonts w:hint="eastAsia"/>
          <w:color w:val="auto"/>
        </w:rPr>
        <w:t>下列文件为本合同不可分割的部分：</w:t>
      </w:r>
    </w:p>
    <w:p w14:paraId="5B63E95D">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1D719AA0">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r>
        <w:rPr>
          <w:color w:val="auto"/>
        </w:rPr>
        <w:t xml:space="preserve"> </w:t>
      </w:r>
    </w:p>
    <w:p w14:paraId="6B808DD9">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21463195">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乙方的磋商或响应文件（含附件、补充文件、图纸等）；</w:t>
      </w:r>
    </w:p>
    <w:p w14:paraId="41744C77">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658C092D">
      <w:pPr>
        <w:pStyle w:val="45"/>
        <w:numPr>
          <w:ilvl w:val="0"/>
          <w:numId w:val="50"/>
        </w:numPr>
        <w:wordWrap w:val="0"/>
        <w:spacing w:before="78" w:beforeLines="25" w:line="360" w:lineRule="auto"/>
        <w:ind w:firstLineChars="0"/>
        <w:rPr>
          <w:b/>
          <w:color w:val="auto"/>
        </w:rPr>
      </w:pPr>
      <w:r>
        <w:rPr>
          <w:rFonts w:hint="eastAsia" w:cs="Helvetica"/>
          <w:b/>
          <w:color w:val="auto"/>
          <w:szCs w:val="24"/>
          <w:lang w:val="zh-CN"/>
        </w:rPr>
        <w:t>合同生效与终止</w:t>
      </w:r>
    </w:p>
    <w:p w14:paraId="2A61ECC5">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1．本合同经甲乙双方授权代表签字和加盖公章（或合同专用章）后生效。如竞争性磋商申请公证的，合同需经公证机构公证后生效；</w:t>
      </w:r>
    </w:p>
    <w:p w14:paraId="31494175">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2．双方履行完各自权利和义务后合同自行终止；</w:t>
      </w:r>
    </w:p>
    <w:p w14:paraId="67630DFC">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3．本合同规定可以终止合同的情形。</w:t>
      </w:r>
    </w:p>
    <w:p w14:paraId="002ACB50">
      <w:pPr>
        <w:pStyle w:val="45"/>
        <w:numPr>
          <w:ilvl w:val="0"/>
          <w:numId w:val="50"/>
        </w:numPr>
        <w:wordWrap w:val="0"/>
        <w:spacing w:before="78" w:beforeLines="25" w:line="360" w:lineRule="auto"/>
        <w:ind w:firstLineChars="0"/>
        <w:rPr>
          <w:b/>
          <w:bCs/>
          <w:color w:val="auto"/>
        </w:rPr>
      </w:pPr>
      <w:r>
        <w:rPr>
          <w:rFonts w:hint="eastAsia"/>
          <w:b/>
          <w:bCs/>
          <w:color w:val="auto"/>
        </w:rPr>
        <w:t>通知与送达</w:t>
      </w:r>
    </w:p>
    <w:p w14:paraId="2C593A0C">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BE4B0F6">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7029339C">
      <w:pPr>
        <w:pStyle w:val="45"/>
        <w:numPr>
          <w:ilvl w:val="0"/>
          <w:numId w:val="50"/>
        </w:numPr>
        <w:wordWrap w:val="0"/>
        <w:spacing w:before="78" w:beforeLines="25" w:line="360" w:lineRule="auto"/>
        <w:ind w:firstLineChars="0"/>
        <w:rPr>
          <w:b/>
          <w:bCs/>
          <w:color w:val="auto"/>
        </w:rPr>
      </w:pPr>
      <w:r>
        <w:rPr>
          <w:rFonts w:hint="eastAsia"/>
          <w:b/>
          <w:bCs/>
          <w:color w:val="auto"/>
        </w:rPr>
        <w:t>其它</w:t>
      </w:r>
    </w:p>
    <w:p w14:paraId="0DF2D4D5">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26D21C9B">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p>
    <w:p w14:paraId="7D3BB58F">
      <w:pPr>
        <w:wordWrap w:val="0"/>
        <w:spacing w:before="78" w:beforeLines="25" w:line="360" w:lineRule="auto"/>
        <w:ind w:firstLine="489" w:firstLineChars="204"/>
        <w:contextualSpacing/>
        <w:jc w:val="left"/>
        <w:rPr>
          <w:color w:val="auto"/>
        </w:rPr>
      </w:pPr>
      <w:r>
        <w:rPr>
          <w:rFonts w:hint="eastAsia"/>
          <w:color w:val="auto"/>
        </w:rPr>
        <w:t xml:space="preserve">    </w:t>
      </w:r>
    </w:p>
    <w:p w14:paraId="43044EB1">
      <w:pPr>
        <w:wordWrap w:val="0"/>
        <w:spacing w:before="78"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14:paraId="0B27BDB3">
      <w:pPr>
        <w:wordWrap w:val="0"/>
        <w:spacing w:before="78"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14:paraId="5B308214">
      <w:pPr>
        <w:wordWrap w:val="0"/>
        <w:spacing w:before="78"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14:paraId="22691905">
      <w:pPr>
        <w:wordWrap w:val="0"/>
        <w:spacing w:before="78"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32CE4B30">
      <w:pPr>
        <w:wordWrap w:val="0"/>
        <w:spacing w:before="78"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14:paraId="65C234DF">
      <w:pPr>
        <w:wordWrap w:val="0"/>
        <w:spacing w:before="78"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14:paraId="2C6BEE1A">
      <w:pPr>
        <w:wordWrap w:val="0"/>
        <w:spacing w:before="78"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14:paraId="4BDEC4CA">
      <w:pPr>
        <w:wordWrap w:val="0"/>
        <w:spacing w:before="78"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14:paraId="58179DFE">
      <w:pPr>
        <w:wordWrap w:val="0"/>
        <w:spacing w:before="78"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14:paraId="44D1C70C">
      <w:pPr>
        <w:wordWrap w:val="0"/>
        <w:spacing w:before="78"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14:paraId="24FC4B99">
      <w:pPr>
        <w:wordWrap w:val="0"/>
        <w:spacing w:before="78"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14:paraId="41A7F7B5">
      <w:pPr>
        <w:wordWrap w:val="0"/>
        <w:spacing w:line="360" w:lineRule="auto"/>
        <w:ind w:firstLine="480" w:firstLineChars="200"/>
        <w:rPr>
          <w:strike/>
          <w:color w:val="auto"/>
          <w:szCs w:val="24"/>
        </w:rPr>
      </w:pPr>
    </w:p>
    <w:p w14:paraId="66870E72">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 w:linePitch="312" w:charSpace="0"/>
        </w:sectPr>
      </w:pPr>
    </w:p>
    <w:p w14:paraId="37001634">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2" w:name="_Toc494721094"/>
      <w:bookmarkStart w:id="423" w:name="_Toc102056256"/>
      <w:bookmarkStart w:id="424" w:name="_Toc102057756"/>
      <w:bookmarkStart w:id="425" w:name="_Toc102116190"/>
      <w:bookmarkStart w:id="426" w:name="_Toc494664994"/>
      <w:bookmarkStart w:id="427" w:name="_Toc494745311"/>
      <w:bookmarkStart w:id="428" w:name="_Toc102114958"/>
      <w:bookmarkStart w:id="429" w:name="_Toc494665547"/>
      <w:bookmarkStart w:id="430" w:name="_Toc102119891"/>
      <w:bookmarkStart w:id="431" w:name="_Toc494665944"/>
      <w:bookmarkStart w:id="432" w:name="_Toc511894521"/>
      <w:bookmarkStart w:id="433" w:name="_Toc117244373"/>
      <w:bookmarkStart w:id="434" w:name="_Toc117244488"/>
      <w:bookmarkStart w:id="435" w:name="_Toc494702264"/>
      <w:bookmarkStart w:id="436" w:name="_Toc122527545"/>
      <w:bookmarkStart w:id="437" w:name="_Toc102116060"/>
      <w:r>
        <w:rPr>
          <w:rFonts w:hint="eastAsia"/>
          <w:color w:val="auto"/>
          <w:sz w:val="36"/>
          <w:szCs w:val="36"/>
        </w:rPr>
        <w:t>响应文件格式（参考）</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89B1650">
      <w:pPr>
        <w:wordWrap w:val="0"/>
        <w:spacing w:line="360" w:lineRule="auto"/>
        <w:rPr>
          <w:color w:val="auto"/>
        </w:rPr>
      </w:pPr>
    </w:p>
    <w:p w14:paraId="0895843E">
      <w:pPr>
        <w:wordWrap w:val="0"/>
        <w:spacing w:line="360" w:lineRule="auto"/>
        <w:jc w:val="center"/>
        <w:rPr>
          <w:b/>
          <w:color w:val="auto"/>
          <w:sz w:val="72"/>
          <w:szCs w:val="72"/>
        </w:rPr>
      </w:pPr>
      <w:r>
        <w:rPr>
          <w:rFonts w:hint="eastAsia"/>
          <w:b/>
          <w:color w:val="auto"/>
          <w:sz w:val="72"/>
          <w:szCs w:val="72"/>
        </w:rPr>
        <w:t>随县县级政府采购</w:t>
      </w:r>
    </w:p>
    <w:p w14:paraId="2B4084E5">
      <w:pPr>
        <w:pStyle w:val="11"/>
        <w:spacing w:line="360" w:lineRule="auto"/>
        <w:rPr>
          <w:color w:val="auto"/>
          <w:sz w:val="72"/>
          <w:szCs w:val="72"/>
        </w:rPr>
      </w:pPr>
    </w:p>
    <w:p w14:paraId="5C4873E9">
      <w:pPr>
        <w:wordWrap w:val="0"/>
        <w:spacing w:after="624" w:afterLines="200" w:line="360" w:lineRule="auto"/>
        <w:jc w:val="center"/>
        <w:rPr>
          <w:b/>
          <w:color w:val="auto"/>
          <w:sz w:val="84"/>
          <w:szCs w:val="84"/>
        </w:rPr>
      </w:pPr>
      <w:r>
        <w:rPr>
          <w:rFonts w:hint="eastAsia"/>
          <w:b/>
          <w:color w:val="auto"/>
          <w:sz w:val="84"/>
          <w:szCs w:val="84"/>
        </w:rPr>
        <w:t>响 应 文 件</w:t>
      </w:r>
    </w:p>
    <w:p w14:paraId="0E4C465D">
      <w:pPr>
        <w:spacing w:line="360" w:lineRule="auto"/>
        <w:ind w:left="2241" w:leftChars="619" w:right="1486" w:rightChars="619" w:hanging="755" w:hangingChars="209"/>
        <w:jc w:val="left"/>
        <w:rPr>
          <w:b/>
          <w:bCs/>
          <w:color w:val="auto"/>
          <w:sz w:val="36"/>
          <w:szCs w:val="24"/>
        </w:rPr>
      </w:pPr>
    </w:p>
    <w:p w14:paraId="24B60F18">
      <w:pPr>
        <w:pStyle w:val="11"/>
        <w:spacing w:line="360" w:lineRule="auto"/>
        <w:jc w:val="left"/>
        <w:rPr>
          <w:color w:val="auto"/>
        </w:rPr>
      </w:pPr>
      <w:r>
        <w:rPr>
          <w:rFonts w:hint="eastAsia"/>
          <w:color w:val="auto"/>
        </w:rPr>
        <w:t xml:space="preserve">           </w:t>
      </w:r>
    </w:p>
    <w:p w14:paraId="1E1E6444">
      <w:pPr>
        <w:wordWrap w:val="0"/>
        <w:spacing w:line="360" w:lineRule="auto"/>
        <w:ind w:firstLine="1687" w:firstLineChars="600"/>
        <w:rPr>
          <w:b/>
          <w:bCs/>
          <w:color w:val="auto"/>
          <w:sz w:val="28"/>
          <w:szCs w:val="28"/>
        </w:rPr>
      </w:pPr>
      <w:r>
        <w:rPr>
          <w:rFonts w:hint="eastAsia"/>
          <w:b/>
          <w:bCs/>
          <w:color w:val="auto"/>
          <w:sz w:val="28"/>
          <w:szCs w:val="28"/>
        </w:rPr>
        <w:t>项目编号：</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14:paraId="3DEB2547">
      <w:pPr>
        <w:wordWrap w:val="0"/>
        <w:spacing w:line="360" w:lineRule="auto"/>
        <w:ind w:firstLine="1687" w:firstLineChars="600"/>
        <w:rPr>
          <w:b/>
          <w:bCs/>
          <w:color w:val="auto"/>
          <w:sz w:val="28"/>
          <w:szCs w:val="28"/>
          <w:lang w:val="zh-CN"/>
        </w:rPr>
      </w:pPr>
      <w:r>
        <w:rPr>
          <w:rFonts w:hint="eastAsia"/>
          <w:b/>
          <w:bCs/>
          <w:color w:val="auto"/>
          <w:sz w:val="28"/>
          <w:szCs w:val="28"/>
        </w:rPr>
        <w:t>项目名称：</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14:paraId="3068AB6B">
      <w:pPr>
        <w:wordWrap w:val="0"/>
        <w:spacing w:line="360" w:lineRule="auto"/>
        <w:ind w:firstLine="1687" w:firstLineChars="600"/>
        <w:rPr>
          <w:b/>
          <w:color w:val="auto"/>
          <w:sz w:val="36"/>
          <w:szCs w:val="36"/>
        </w:rPr>
      </w:pPr>
      <w:r>
        <w:rPr>
          <w:rFonts w:hint="eastAsia"/>
          <w:b/>
          <w:bCs/>
          <w:color w:val="auto"/>
          <w:sz w:val="28"/>
          <w:szCs w:val="28"/>
        </w:rPr>
        <w:t>响应内容：</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rFonts w:hint="eastAsia"/>
          <w:b/>
          <w:color w:val="auto"/>
          <w:sz w:val="36"/>
          <w:szCs w:val="36"/>
          <w:u w:val="single"/>
        </w:rPr>
        <w:t xml:space="preserve"> </w:t>
      </w:r>
    </w:p>
    <w:p w14:paraId="7A865B07">
      <w:pPr>
        <w:wordWrap w:val="0"/>
        <w:spacing w:line="360" w:lineRule="auto"/>
        <w:ind w:left="2018" w:leftChars="841" w:right="1471" w:rightChars="613" w:firstLine="1606" w:firstLineChars="500"/>
        <w:rPr>
          <w:b/>
          <w:bCs/>
          <w:color w:val="auto"/>
          <w:sz w:val="32"/>
          <w:szCs w:val="32"/>
        </w:rPr>
      </w:pPr>
    </w:p>
    <w:p w14:paraId="65C0E2C6">
      <w:pPr>
        <w:wordWrap w:val="0"/>
        <w:spacing w:line="360" w:lineRule="auto"/>
        <w:ind w:left="2018" w:leftChars="841" w:right="1471" w:rightChars="613" w:firstLine="1606" w:firstLineChars="500"/>
        <w:rPr>
          <w:b/>
          <w:bCs/>
          <w:color w:val="auto"/>
          <w:sz w:val="32"/>
          <w:szCs w:val="32"/>
        </w:rPr>
      </w:pPr>
    </w:p>
    <w:p w14:paraId="0A1A3953">
      <w:pPr>
        <w:wordWrap w:val="0"/>
        <w:spacing w:line="360" w:lineRule="auto"/>
        <w:ind w:left="2018" w:leftChars="841" w:right="1471" w:rightChars="613" w:firstLine="1606" w:firstLineChars="500"/>
        <w:rPr>
          <w:b/>
          <w:bCs/>
          <w:color w:val="auto"/>
          <w:sz w:val="32"/>
          <w:szCs w:val="32"/>
        </w:rPr>
      </w:pPr>
    </w:p>
    <w:p w14:paraId="41602737">
      <w:pPr>
        <w:wordWrap w:val="0"/>
        <w:spacing w:line="360" w:lineRule="auto"/>
        <w:ind w:left="2018" w:leftChars="841" w:right="1471" w:rightChars="613" w:firstLine="1606" w:firstLineChars="500"/>
        <w:rPr>
          <w:b/>
          <w:bCs/>
          <w:color w:val="auto"/>
          <w:sz w:val="32"/>
          <w:szCs w:val="32"/>
        </w:rPr>
      </w:pPr>
    </w:p>
    <w:p w14:paraId="5DF1DF26">
      <w:pPr>
        <w:wordWrap w:val="0"/>
        <w:spacing w:line="360" w:lineRule="auto"/>
        <w:ind w:left="2018" w:leftChars="841" w:right="1471" w:rightChars="613" w:firstLine="1606" w:firstLineChars="500"/>
        <w:rPr>
          <w:b/>
          <w:bCs/>
          <w:color w:val="auto"/>
          <w:sz w:val="32"/>
          <w:szCs w:val="32"/>
        </w:rPr>
      </w:pPr>
    </w:p>
    <w:p w14:paraId="40F42339">
      <w:pPr>
        <w:wordWrap w:val="0"/>
        <w:spacing w:line="360" w:lineRule="auto"/>
        <w:ind w:firstLine="1687" w:firstLineChars="600"/>
        <w:rPr>
          <w:b/>
          <w:bCs/>
          <w:color w:val="auto"/>
          <w:sz w:val="28"/>
          <w:szCs w:val="28"/>
        </w:rPr>
      </w:pPr>
      <w:r>
        <w:rPr>
          <w:rFonts w:hint="eastAsia"/>
          <w:b/>
          <w:bCs/>
          <w:color w:val="auto"/>
          <w:sz w:val="28"/>
          <w:szCs w:val="28"/>
        </w:rPr>
        <w:t>供应商（公章）：</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p>
    <w:p w14:paraId="40EFDA09">
      <w:pPr>
        <w:wordWrap w:val="0"/>
        <w:spacing w:before="312" w:beforeLines="100" w:after="312"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14:paraId="2AEFD8A6">
      <w:pPr>
        <w:pStyle w:val="11"/>
        <w:rPr>
          <w:color w:val="auto"/>
        </w:rPr>
      </w:pPr>
      <w:r>
        <w:rPr>
          <w:color w:val="auto"/>
        </w:rPr>
        <w:br w:type="page"/>
      </w:r>
    </w:p>
    <w:p w14:paraId="5D24B182">
      <w:pPr>
        <w:pStyle w:val="2"/>
        <w:jc w:val="center"/>
        <w:rPr>
          <w:rFonts w:ascii="宋体" w:hAnsi="宋体" w:eastAsia="宋体" w:cs="Times New Roman"/>
          <w:bCs w:val="0"/>
          <w:color w:val="auto"/>
          <w:sz w:val="36"/>
          <w:szCs w:val="36"/>
          <w:lang w:val="zh-CN"/>
        </w:rPr>
      </w:pPr>
      <w:bookmarkStart w:id="438" w:name="_Toc122527546"/>
      <w:bookmarkStart w:id="439" w:name="_Toc117244489"/>
      <w:bookmarkStart w:id="440" w:name="_Toc117244374"/>
      <w:r>
        <w:rPr>
          <w:rFonts w:hint="eastAsia" w:ascii="宋体" w:hAnsi="宋体" w:eastAsia="宋体" w:cs="Times New Roman"/>
          <w:bCs w:val="0"/>
          <w:color w:val="auto"/>
          <w:sz w:val="36"/>
          <w:szCs w:val="36"/>
          <w:lang w:val="zh-CN"/>
        </w:rPr>
        <w:t>目       录</w:t>
      </w:r>
      <w:bookmarkEnd w:id="438"/>
      <w:bookmarkEnd w:id="439"/>
      <w:bookmarkEnd w:id="440"/>
    </w:p>
    <w:p w14:paraId="566C7E63">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696293D2">
      <w:pPr>
        <w:pStyle w:val="11"/>
        <w:spacing w:line="360" w:lineRule="auto"/>
        <w:rPr>
          <w:color w:val="auto"/>
          <w:lang w:val="zh-CN"/>
        </w:rPr>
      </w:pPr>
    </w:p>
    <w:p w14:paraId="56ED8CB1">
      <w:pPr>
        <w:widowControl/>
        <w:numPr>
          <w:ilvl w:val="0"/>
          <w:numId w:val="51"/>
        </w:numPr>
        <w:tabs>
          <w:tab w:val="left" w:pos="966"/>
        </w:tabs>
        <w:wordWrap w:val="0"/>
        <w:autoSpaceDE w:val="0"/>
        <w:autoSpaceDN w:val="0"/>
        <w:adjustRightInd w:val="0"/>
        <w:spacing w:line="360" w:lineRule="auto"/>
        <w:ind w:left="1060" w:hanging="625"/>
        <w:jc w:val="left"/>
        <w:rPr>
          <w:bCs/>
          <w:color w:val="auto"/>
        </w:rPr>
      </w:pPr>
      <w:bookmarkStart w:id="441" w:name="_Toc107561297"/>
      <w:bookmarkStart w:id="442" w:name="_Toc494745315"/>
      <w:bookmarkStart w:id="443" w:name="_Toc102056259"/>
      <w:bookmarkStart w:id="444" w:name="_Toc102119894"/>
      <w:bookmarkStart w:id="445" w:name="_Toc511894525"/>
      <w:bookmarkStart w:id="446" w:name="_Toc494665551"/>
      <w:bookmarkStart w:id="447" w:name="_Toc494721098"/>
      <w:bookmarkStart w:id="448" w:name="_Toc102114961"/>
      <w:bookmarkStart w:id="449" w:name="_Toc102116193"/>
      <w:bookmarkStart w:id="450" w:name="_Toc102057759"/>
      <w:bookmarkStart w:id="451" w:name="_Toc494665948"/>
      <w:bookmarkStart w:id="452" w:name="_Toc494664998"/>
      <w:bookmarkStart w:id="453" w:name="_Toc102116063"/>
      <w:bookmarkStart w:id="454" w:name="_Toc494702268"/>
      <w:r>
        <w:rPr>
          <w:bCs/>
          <w:color w:val="auto"/>
        </w:rPr>
        <w:br w:type="page"/>
      </w:r>
    </w:p>
    <w:p w14:paraId="5DE12B1B">
      <w:pPr>
        <w:pStyle w:val="2"/>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5" w:name="_Toc122527547"/>
      <w:r>
        <w:rPr>
          <w:rFonts w:hint="eastAsia"/>
          <w:color w:val="auto"/>
          <w:sz w:val="24"/>
          <w:szCs w:val="21"/>
        </w:rPr>
        <w:t>资格性检查和符合性检查表</w:t>
      </w:r>
      <w:bookmarkEnd w:id="455"/>
    </w:p>
    <w:p w14:paraId="54AC323D">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180869BD">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44E3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7C8BA8FB">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324288BB">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14:paraId="0C4A5B13">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6E784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495B57EA">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1E7C604A">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14:paraId="26CE496C">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14:paraId="167FB1C3">
            <w:pPr>
              <w:wordWrap w:val="0"/>
              <w:spacing w:before="100" w:beforeAutospacing="1" w:after="100" w:afterAutospacing="1" w:line="360" w:lineRule="auto"/>
              <w:ind w:left="-60" w:leftChars="-25" w:right="-60" w:rightChars="-25"/>
              <w:jc w:val="center"/>
              <w:rPr>
                <w:rFonts w:cs="仿宋_GB2312"/>
                <w:color w:val="auto"/>
                <w:szCs w:val="24"/>
              </w:rPr>
            </w:pPr>
          </w:p>
        </w:tc>
      </w:tr>
      <w:tr w14:paraId="5C5DC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01E6FC19">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6A5F34B0">
            <w:pPr>
              <w:wordWrap w:val="0"/>
              <w:spacing w:line="360" w:lineRule="auto"/>
              <w:jc w:val="center"/>
              <w:rPr>
                <w:rFonts w:cs="仿宋_GB2312"/>
                <w:color w:val="auto"/>
                <w:szCs w:val="24"/>
              </w:rPr>
            </w:pPr>
          </w:p>
        </w:tc>
        <w:tc>
          <w:tcPr>
            <w:tcW w:w="2035" w:type="pct"/>
            <w:vAlign w:val="center"/>
          </w:tcPr>
          <w:p w14:paraId="36967EB0">
            <w:pPr>
              <w:wordWrap w:val="0"/>
              <w:spacing w:line="360" w:lineRule="auto"/>
              <w:jc w:val="center"/>
              <w:rPr>
                <w:rFonts w:cs="仿宋_GB2312"/>
                <w:color w:val="auto"/>
                <w:szCs w:val="24"/>
              </w:rPr>
            </w:pPr>
          </w:p>
        </w:tc>
        <w:tc>
          <w:tcPr>
            <w:tcW w:w="615" w:type="pct"/>
            <w:vAlign w:val="center"/>
          </w:tcPr>
          <w:p w14:paraId="00F91287">
            <w:pPr>
              <w:wordWrap w:val="0"/>
              <w:spacing w:line="360" w:lineRule="auto"/>
              <w:jc w:val="center"/>
              <w:rPr>
                <w:rFonts w:cs="仿宋_GB2312"/>
                <w:color w:val="auto"/>
                <w:szCs w:val="24"/>
              </w:rPr>
            </w:pPr>
          </w:p>
        </w:tc>
      </w:tr>
      <w:tr w14:paraId="2BCC5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5E5763F1">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080A0B47">
            <w:pPr>
              <w:wordWrap w:val="0"/>
              <w:spacing w:line="360" w:lineRule="auto"/>
              <w:jc w:val="center"/>
              <w:rPr>
                <w:rFonts w:cs="仿宋_GB2312"/>
                <w:color w:val="auto"/>
                <w:szCs w:val="24"/>
              </w:rPr>
            </w:pPr>
          </w:p>
        </w:tc>
        <w:tc>
          <w:tcPr>
            <w:tcW w:w="2035" w:type="pct"/>
            <w:vAlign w:val="center"/>
          </w:tcPr>
          <w:p w14:paraId="0BC68556">
            <w:pPr>
              <w:wordWrap w:val="0"/>
              <w:spacing w:line="360" w:lineRule="auto"/>
              <w:jc w:val="center"/>
              <w:rPr>
                <w:rFonts w:cs="仿宋_GB2312"/>
                <w:color w:val="auto"/>
                <w:szCs w:val="24"/>
              </w:rPr>
            </w:pPr>
          </w:p>
        </w:tc>
        <w:tc>
          <w:tcPr>
            <w:tcW w:w="615" w:type="pct"/>
            <w:vAlign w:val="center"/>
          </w:tcPr>
          <w:p w14:paraId="735D13FC">
            <w:pPr>
              <w:wordWrap w:val="0"/>
              <w:spacing w:line="360" w:lineRule="auto"/>
              <w:jc w:val="center"/>
              <w:rPr>
                <w:rFonts w:cs="仿宋_GB2312"/>
                <w:color w:val="auto"/>
                <w:szCs w:val="24"/>
              </w:rPr>
            </w:pPr>
          </w:p>
        </w:tc>
      </w:tr>
      <w:tr w14:paraId="2BBB0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04D0CC4E">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0EEB30AD">
            <w:pPr>
              <w:wordWrap w:val="0"/>
              <w:spacing w:line="360" w:lineRule="auto"/>
              <w:jc w:val="center"/>
              <w:rPr>
                <w:rFonts w:cs="仿宋_GB2312"/>
                <w:color w:val="auto"/>
                <w:szCs w:val="24"/>
              </w:rPr>
            </w:pPr>
          </w:p>
        </w:tc>
        <w:tc>
          <w:tcPr>
            <w:tcW w:w="2035" w:type="pct"/>
            <w:vAlign w:val="center"/>
          </w:tcPr>
          <w:p w14:paraId="5C696382">
            <w:pPr>
              <w:wordWrap w:val="0"/>
              <w:spacing w:line="360" w:lineRule="auto"/>
              <w:jc w:val="center"/>
              <w:rPr>
                <w:rFonts w:cs="仿宋_GB2312"/>
                <w:color w:val="auto"/>
                <w:szCs w:val="24"/>
              </w:rPr>
            </w:pPr>
          </w:p>
        </w:tc>
        <w:tc>
          <w:tcPr>
            <w:tcW w:w="615" w:type="pct"/>
            <w:vAlign w:val="center"/>
          </w:tcPr>
          <w:p w14:paraId="17AC667F">
            <w:pPr>
              <w:wordWrap w:val="0"/>
              <w:spacing w:line="360" w:lineRule="auto"/>
              <w:jc w:val="center"/>
              <w:rPr>
                <w:rFonts w:cs="仿宋_GB2312"/>
                <w:color w:val="auto"/>
                <w:szCs w:val="24"/>
              </w:rPr>
            </w:pPr>
          </w:p>
        </w:tc>
      </w:tr>
      <w:tr w14:paraId="27E59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787DF0F9">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14:paraId="623BE0A6">
            <w:pPr>
              <w:wordWrap w:val="0"/>
              <w:spacing w:line="360" w:lineRule="auto"/>
              <w:jc w:val="center"/>
              <w:rPr>
                <w:rFonts w:cs="仿宋_GB2312"/>
                <w:color w:val="auto"/>
                <w:szCs w:val="24"/>
              </w:rPr>
            </w:pPr>
          </w:p>
        </w:tc>
        <w:tc>
          <w:tcPr>
            <w:tcW w:w="2035" w:type="pct"/>
            <w:vAlign w:val="center"/>
          </w:tcPr>
          <w:p w14:paraId="360F3BAF">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14:paraId="6AB810A0">
            <w:pPr>
              <w:wordWrap w:val="0"/>
              <w:spacing w:line="360" w:lineRule="auto"/>
              <w:jc w:val="center"/>
              <w:rPr>
                <w:rFonts w:cs="仿宋_GB2312"/>
                <w:color w:val="auto"/>
                <w:szCs w:val="24"/>
              </w:rPr>
            </w:pPr>
            <w:r>
              <w:rPr>
                <w:rFonts w:hint="eastAsia" w:cs="宋体"/>
                <w:color w:val="auto"/>
                <w:szCs w:val="24"/>
              </w:rPr>
              <w:t>……</w:t>
            </w:r>
          </w:p>
        </w:tc>
      </w:tr>
    </w:tbl>
    <w:p w14:paraId="4E4F380A">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应按竞争性磋商文件第三章“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14:paraId="37C34DE1">
      <w:pPr>
        <w:wordWrap w:val="0"/>
        <w:spacing w:line="360" w:lineRule="auto"/>
        <w:ind w:left="1080" w:leftChars="300" w:hanging="360" w:hangingChars="15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14:paraId="31A72C93">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154D20B8">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06847014">
      <w:pPr>
        <w:pStyle w:val="23"/>
        <w:rPr>
          <w:color w:val="auto"/>
          <w:u w:val="single"/>
        </w:rPr>
      </w:pPr>
    </w:p>
    <w:p w14:paraId="6797D3FA">
      <w:pPr>
        <w:rPr>
          <w:bCs/>
          <w:color w:val="auto"/>
          <w:u w:val="single"/>
        </w:rPr>
      </w:pPr>
    </w:p>
    <w:p w14:paraId="626A1EE2">
      <w:pPr>
        <w:pStyle w:val="23"/>
        <w:rPr>
          <w:color w:val="auto"/>
          <w:u w:val="single"/>
        </w:rPr>
      </w:pPr>
    </w:p>
    <w:p w14:paraId="4B4BD13A">
      <w:pPr>
        <w:rPr>
          <w:bCs/>
          <w:color w:val="auto"/>
          <w:u w:val="single"/>
        </w:rPr>
      </w:pPr>
    </w:p>
    <w:p w14:paraId="2AFB5552">
      <w:pPr>
        <w:pStyle w:val="23"/>
        <w:rPr>
          <w:color w:val="auto"/>
          <w:u w:val="single"/>
        </w:rPr>
      </w:pPr>
    </w:p>
    <w:p w14:paraId="1A9A064E">
      <w:pPr>
        <w:rPr>
          <w:bCs/>
          <w:color w:val="auto"/>
          <w:u w:val="single"/>
        </w:rPr>
      </w:pPr>
    </w:p>
    <w:p w14:paraId="51C1BABD">
      <w:pPr>
        <w:pStyle w:val="23"/>
        <w:rPr>
          <w:color w:val="auto"/>
          <w:u w:val="single"/>
        </w:rPr>
      </w:pPr>
    </w:p>
    <w:p w14:paraId="410E4C1B">
      <w:pPr>
        <w:rPr>
          <w:bCs/>
          <w:color w:val="auto"/>
          <w:u w:val="single"/>
        </w:rPr>
      </w:pPr>
    </w:p>
    <w:p w14:paraId="5460B437">
      <w:pPr>
        <w:pStyle w:val="23"/>
        <w:rPr>
          <w:color w:val="auto"/>
          <w:u w:val="single"/>
        </w:rPr>
      </w:pPr>
    </w:p>
    <w:p w14:paraId="57A580A7">
      <w:pPr>
        <w:rPr>
          <w:bCs/>
          <w:color w:val="auto"/>
          <w:u w:val="single"/>
        </w:rPr>
      </w:pPr>
    </w:p>
    <w:p w14:paraId="04BFB8D6">
      <w:pPr>
        <w:pStyle w:val="23"/>
        <w:rPr>
          <w:color w:val="auto"/>
          <w:u w:val="single"/>
        </w:rPr>
      </w:pPr>
    </w:p>
    <w:p w14:paraId="6A69339D">
      <w:pPr>
        <w:rPr>
          <w:bCs/>
          <w:color w:val="auto"/>
          <w:u w:val="single"/>
        </w:rPr>
      </w:pPr>
    </w:p>
    <w:p w14:paraId="7937DE9F">
      <w:pPr>
        <w:pStyle w:val="23"/>
        <w:rPr>
          <w:color w:val="auto"/>
          <w:u w:val="single"/>
        </w:rPr>
      </w:pPr>
    </w:p>
    <w:p w14:paraId="6073AF04">
      <w:pPr>
        <w:rPr>
          <w:color w:val="auto"/>
        </w:rPr>
      </w:pPr>
    </w:p>
    <w:p w14:paraId="7C8B2215">
      <w:pPr>
        <w:pStyle w:val="2"/>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lang w:val="zh-CN"/>
        </w:rPr>
      </w:pPr>
      <w:bookmarkStart w:id="456" w:name="_Toc117244492"/>
      <w:bookmarkStart w:id="457" w:name="_Toc122527548"/>
      <w:bookmarkStart w:id="458" w:name="_Toc117244377"/>
      <w:r>
        <w:rPr>
          <w:rFonts w:hint="eastAsia" w:ascii="宋体" w:hAnsi="宋体" w:eastAsia="宋体" w:cs="Times New Roman"/>
          <w:color w:val="auto"/>
          <w:sz w:val="24"/>
          <w:szCs w:val="24"/>
          <w:lang w:val="zh-CN"/>
        </w:rPr>
        <w:t>具备</w:t>
      </w:r>
      <w:r>
        <w:rPr>
          <w:rFonts w:hint="eastAsia"/>
          <w:color w:val="auto"/>
          <w:sz w:val="24"/>
          <w:szCs w:val="21"/>
        </w:rPr>
        <w:t>《政府采购法》</w:t>
      </w:r>
      <w:r>
        <w:rPr>
          <w:rFonts w:hint="eastAsia" w:ascii="宋体" w:hAnsi="宋体" w:eastAsia="宋体" w:cs="Times New Roman"/>
          <w:color w:val="auto"/>
          <w:sz w:val="24"/>
          <w:szCs w:val="24"/>
          <w:lang w:val="zh-CN"/>
        </w:rPr>
        <w:t>第二十二条第一款规定的条件</w:t>
      </w:r>
      <w:r>
        <w:rPr>
          <w:rFonts w:hint="eastAsia" w:ascii="宋体" w:hAnsi="宋体" w:eastAsia="宋体"/>
          <w:color w:val="auto"/>
          <w:sz w:val="24"/>
          <w:szCs w:val="24"/>
        </w:rPr>
        <w:t>提供的材料</w:t>
      </w:r>
      <w:bookmarkEnd w:id="456"/>
      <w:bookmarkEnd w:id="457"/>
      <w:bookmarkEnd w:id="458"/>
    </w:p>
    <w:p w14:paraId="4ABEC3A7">
      <w:pPr>
        <w:pStyle w:val="45"/>
        <w:numPr>
          <w:ilvl w:val="0"/>
          <w:numId w:val="54"/>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14:paraId="36F0718B">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607DF8B7">
      <w:pPr>
        <w:pStyle w:val="45"/>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14:paraId="6BC8E0E5">
      <w:pPr>
        <w:pStyle w:val="45"/>
        <w:spacing w:line="360" w:lineRule="auto"/>
        <w:ind w:left="993" w:firstLine="0" w:firstLineChars="0"/>
        <w:jc w:val="left"/>
        <w:rPr>
          <w:color w:val="auto"/>
          <w:szCs w:val="24"/>
        </w:rPr>
      </w:pPr>
      <w:r>
        <w:rPr>
          <w:rFonts w:hint="eastAsia"/>
          <w:color w:val="auto"/>
          <w:szCs w:val="24"/>
        </w:rPr>
        <w:t>（2）事业单位法人应提供有效的“事业单位法人证书”；</w:t>
      </w:r>
    </w:p>
    <w:p w14:paraId="1AD3D7A1">
      <w:pPr>
        <w:pStyle w:val="45"/>
        <w:spacing w:line="360" w:lineRule="auto"/>
        <w:ind w:left="993" w:firstLine="0" w:firstLineChars="0"/>
        <w:jc w:val="left"/>
        <w:rPr>
          <w:color w:val="auto"/>
          <w:szCs w:val="24"/>
        </w:rPr>
      </w:pPr>
      <w:r>
        <w:rPr>
          <w:rFonts w:hint="eastAsia"/>
          <w:color w:val="auto"/>
          <w:szCs w:val="24"/>
        </w:rPr>
        <w:t>（3）非企业专业服务机构应提供执业许可证等证明文件；</w:t>
      </w:r>
    </w:p>
    <w:p w14:paraId="76196C16">
      <w:pPr>
        <w:pStyle w:val="45"/>
        <w:spacing w:line="360" w:lineRule="auto"/>
        <w:ind w:left="993" w:firstLine="0" w:firstLineChars="0"/>
        <w:jc w:val="left"/>
        <w:rPr>
          <w:color w:val="auto"/>
          <w:szCs w:val="24"/>
        </w:rPr>
      </w:pPr>
      <w:r>
        <w:rPr>
          <w:rFonts w:hint="eastAsia"/>
          <w:color w:val="auto"/>
          <w:szCs w:val="24"/>
        </w:rPr>
        <w:t>（4）个体工商户应提供有效的“个体工商户营业执照”；</w:t>
      </w:r>
    </w:p>
    <w:p w14:paraId="64537501">
      <w:pPr>
        <w:pStyle w:val="45"/>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14:paraId="4E510B06">
      <w:pPr>
        <w:widowControl/>
        <w:jc w:val="left"/>
        <w:rPr>
          <w:color w:val="auto"/>
          <w:lang w:val="zh-CN"/>
        </w:rPr>
      </w:pPr>
      <w:r>
        <w:rPr>
          <w:color w:val="auto"/>
          <w:lang w:val="zh-CN"/>
        </w:rPr>
        <w:br w:type="page"/>
      </w:r>
    </w:p>
    <w:p w14:paraId="67B97CC9">
      <w:pPr>
        <w:pStyle w:val="45"/>
        <w:spacing w:line="360" w:lineRule="auto"/>
        <w:ind w:left="993" w:firstLine="0" w:firstLineChars="0"/>
        <w:jc w:val="left"/>
        <w:rPr>
          <w:color w:val="auto"/>
          <w:lang w:val="zh-CN"/>
        </w:rPr>
      </w:pPr>
    </w:p>
    <w:p w14:paraId="2CFC45B1">
      <w:pPr>
        <w:pStyle w:val="45"/>
        <w:numPr>
          <w:ilvl w:val="0"/>
          <w:numId w:val="54"/>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41"/>
    </w:p>
    <w:p w14:paraId="370D2158">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14:paraId="791A6901">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0C58C0F7">
      <w:pPr>
        <w:numPr>
          <w:ilvl w:val="0"/>
          <w:numId w:val="55"/>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14:paraId="436A3A5F">
      <w:pPr>
        <w:numPr>
          <w:ilvl w:val="0"/>
          <w:numId w:val="55"/>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6054FD2C">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40ECB8A4">
      <w:pPr>
        <w:widowControl/>
        <w:wordWrap w:val="0"/>
        <w:spacing w:line="360" w:lineRule="auto"/>
        <w:ind w:firstLine="3360" w:firstLineChars="1400"/>
        <w:jc w:val="left"/>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4F2089B">
      <w:pPr>
        <w:pStyle w:val="23"/>
        <w:rPr>
          <w:color w:val="auto"/>
          <w:szCs w:val="21"/>
          <w:u w:val="single"/>
          <w:lang w:val="zh-CN"/>
        </w:rPr>
      </w:pPr>
    </w:p>
    <w:p w14:paraId="7E077589">
      <w:pPr>
        <w:rPr>
          <w:bCs/>
          <w:color w:val="auto"/>
          <w:szCs w:val="21"/>
          <w:u w:val="single"/>
          <w:lang w:val="zh-CN"/>
        </w:rPr>
      </w:pPr>
    </w:p>
    <w:p w14:paraId="620289A5">
      <w:pPr>
        <w:pStyle w:val="23"/>
        <w:rPr>
          <w:color w:val="auto"/>
          <w:szCs w:val="21"/>
          <w:u w:val="single"/>
          <w:lang w:val="zh-CN"/>
        </w:rPr>
      </w:pPr>
    </w:p>
    <w:p w14:paraId="61F4788B">
      <w:pPr>
        <w:rPr>
          <w:bCs/>
          <w:color w:val="auto"/>
          <w:szCs w:val="21"/>
          <w:u w:val="single"/>
          <w:lang w:val="zh-CN"/>
        </w:rPr>
      </w:pPr>
    </w:p>
    <w:p w14:paraId="6D5EE576">
      <w:pPr>
        <w:pStyle w:val="23"/>
        <w:rPr>
          <w:color w:val="auto"/>
          <w:szCs w:val="21"/>
          <w:u w:val="single"/>
          <w:lang w:val="zh-CN"/>
        </w:rPr>
      </w:pPr>
    </w:p>
    <w:p w14:paraId="18F7BA63">
      <w:pPr>
        <w:rPr>
          <w:bCs/>
          <w:color w:val="auto"/>
          <w:szCs w:val="21"/>
          <w:u w:val="single"/>
          <w:lang w:val="zh-CN"/>
        </w:rPr>
      </w:pPr>
    </w:p>
    <w:p w14:paraId="703CC2E0">
      <w:pPr>
        <w:pStyle w:val="23"/>
        <w:rPr>
          <w:color w:val="auto"/>
          <w:szCs w:val="21"/>
          <w:u w:val="single"/>
          <w:lang w:val="zh-CN"/>
        </w:rPr>
      </w:pPr>
    </w:p>
    <w:p w14:paraId="0E5652D6">
      <w:pPr>
        <w:rPr>
          <w:bCs/>
          <w:color w:val="auto"/>
          <w:szCs w:val="21"/>
          <w:u w:val="single"/>
          <w:lang w:val="zh-CN"/>
        </w:rPr>
      </w:pPr>
    </w:p>
    <w:p w14:paraId="5652E24E">
      <w:pPr>
        <w:pStyle w:val="23"/>
        <w:rPr>
          <w:color w:val="auto"/>
          <w:szCs w:val="21"/>
          <w:u w:val="single"/>
          <w:lang w:val="zh-CN"/>
        </w:rPr>
      </w:pPr>
    </w:p>
    <w:p w14:paraId="275A27F9">
      <w:pPr>
        <w:rPr>
          <w:bCs/>
          <w:color w:val="auto"/>
          <w:szCs w:val="21"/>
          <w:u w:val="single"/>
          <w:lang w:val="zh-CN"/>
        </w:rPr>
      </w:pPr>
    </w:p>
    <w:p w14:paraId="7CB4A974">
      <w:pPr>
        <w:pStyle w:val="23"/>
        <w:rPr>
          <w:color w:val="auto"/>
          <w:szCs w:val="21"/>
          <w:u w:val="single"/>
          <w:lang w:val="zh-CN"/>
        </w:rPr>
      </w:pPr>
    </w:p>
    <w:p w14:paraId="1B68C583">
      <w:pPr>
        <w:rPr>
          <w:bCs/>
          <w:color w:val="auto"/>
          <w:szCs w:val="21"/>
          <w:u w:val="single"/>
          <w:lang w:val="zh-CN"/>
        </w:rPr>
      </w:pPr>
    </w:p>
    <w:p w14:paraId="2683242F">
      <w:pPr>
        <w:pStyle w:val="23"/>
        <w:rPr>
          <w:color w:val="auto"/>
          <w:szCs w:val="21"/>
          <w:u w:val="single"/>
          <w:lang w:val="zh-CN"/>
        </w:rPr>
      </w:pPr>
    </w:p>
    <w:p w14:paraId="03D1009A">
      <w:pPr>
        <w:rPr>
          <w:bCs/>
          <w:color w:val="auto"/>
          <w:szCs w:val="21"/>
          <w:u w:val="single"/>
          <w:lang w:val="zh-CN"/>
        </w:rPr>
      </w:pPr>
    </w:p>
    <w:p w14:paraId="1BCA72E5">
      <w:pPr>
        <w:pStyle w:val="23"/>
        <w:rPr>
          <w:color w:val="auto"/>
          <w:szCs w:val="21"/>
          <w:u w:val="single"/>
          <w:lang w:val="zh-CN"/>
        </w:rPr>
      </w:pPr>
    </w:p>
    <w:p w14:paraId="31A37A3C">
      <w:pPr>
        <w:rPr>
          <w:bCs/>
          <w:color w:val="auto"/>
          <w:szCs w:val="21"/>
          <w:u w:val="single"/>
          <w:lang w:val="zh-CN"/>
        </w:rPr>
      </w:pPr>
    </w:p>
    <w:p w14:paraId="6FB97D44">
      <w:pPr>
        <w:pStyle w:val="23"/>
        <w:rPr>
          <w:color w:val="auto"/>
          <w:szCs w:val="21"/>
          <w:u w:val="single"/>
          <w:lang w:val="zh-CN"/>
        </w:rPr>
      </w:pPr>
    </w:p>
    <w:p w14:paraId="459FBD3B">
      <w:pPr>
        <w:rPr>
          <w:bCs/>
          <w:color w:val="auto"/>
          <w:szCs w:val="21"/>
          <w:u w:val="single"/>
          <w:lang w:val="zh-CN"/>
        </w:rPr>
      </w:pPr>
    </w:p>
    <w:p w14:paraId="5EA6B381">
      <w:pPr>
        <w:pStyle w:val="23"/>
        <w:rPr>
          <w:color w:val="auto"/>
          <w:szCs w:val="21"/>
          <w:u w:val="single"/>
          <w:lang w:val="zh-CN"/>
        </w:rPr>
      </w:pPr>
    </w:p>
    <w:p w14:paraId="47FE3DD7">
      <w:pPr>
        <w:rPr>
          <w:bCs/>
          <w:color w:val="auto"/>
          <w:szCs w:val="21"/>
          <w:u w:val="single"/>
          <w:lang w:val="zh-CN"/>
        </w:rPr>
      </w:pPr>
    </w:p>
    <w:p w14:paraId="64B25A65">
      <w:pPr>
        <w:pStyle w:val="23"/>
        <w:rPr>
          <w:color w:val="auto"/>
          <w:szCs w:val="21"/>
          <w:u w:val="single"/>
          <w:lang w:val="zh-CN"/>
        </w:rPr>
      </w:pPr>
    </w:p>
    <w:p w14:paraId="62F3ADF9">
      <w:pPr>
        <w:pStyle w:val="23"/>
        <w:rPr>
          <w:color w:val="auto"/>
          <w:lang w:val="zh-CN"/>
        </w:rPr>
      </w:pPr>
    </w:p>
    <w:p w14:paraId="0825EB1C">
      <w:pPr>
        <w:pStyle w:val="45"/>
        <w:numPr>
          <w:ilvl w:val="0"/>
          <w:numId w:val="54"/>
        </w:numPr>
        <w:wordWrap w:val="0"/>
        <w:spacing w:line="360" w:lineRule="auto"/>
        <w:ind w:left="1134" w:hanging="566" w:firstLineChars="0"/>
        <w:outlineLvl w:val="2"/>
        <w:rPr>
          <w:color w:val="auto"/>
          <w:szCs w:val="24"/>
          <w:lang w:val="zh-CN"/>
        </w:rPr>
      </w:pPr>
      <w:bookmarkStart w:id="459" w:name="_Toc107561298"/>
      <w:r>
        <w:rPr>
          <w:rFonts w:hint="eastAsia"/>
          <w:b/>
          <w:color w:val="auto"/>
          <w:szCs w:val="24"/>
          <w:lang w:val="zh-CN"/>
        </w:rPr>
        <w:t>履行</w:t>
      </w:r>
      <w:r>
        <w:rPr>
          <w:rFonts w:hint="eastAsia"/>
          <w:b/>
          <w:color w:val="auto"/>
          <w:szCs w:val="24"/>
        </w:rPr>
        <w:t>合同所必需的设备和专业技术能力声明函</w:t>
      </w:r>
    </w:p>
    <w:p w14:paraId="4298F42C">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14:paraId="1900AF8E">
      <w:pPr>
        <w:wordWrap w:val="0"/>
        <w:spacing w:line="360" w:lineRule="auto"/>
        <w:ind w:firstLine="480" w:firstLineChars="200"/>
        <w:rPr>
          <w:color w:val="auto"/>
        </w:rPr>
      </w:pPr>
    </w:p>
    <w:p w14:paraId="39863068">
      <w:pPr>
        <w:pStyle w:val="23"/>
        <w:rPr>
          <w:color w:val="auto"/>
        </w:rPr>
      </w:pPr>
    </w:p>
    <w:p w14:paraId="5C209410">
      <w:pPr>
        <w:rPr>
          <w:color w:val="auto"/>
        </w:rPr>
      </w:pPr>
    </w:p>
    <w:p w14:paraId="4CC45BC3">
      <w:pPr>
        <w:pStyle w:val="23"/>
        <w:rPr>
          <w:color w:val="auto"/>
        </w:rPr>
      </w:pPr>
    </w:p>
    <w:p w14:paraId="31E0FA4D">
      <w:pPr>
        <w:rPr>
          <w:color w:val="auto"/>
        </w:rPr>
      </w:pPr>
    </w:p>
    <w:p w14:paraId="02FFA961">
      <w:pPr>
        <w:pStyle w:val="23"/>
        <w:rPr>
          <w:color w:val="auto"/>
        </w:rPr>
      </w:pPr>
    </w:p>
    <w:p w14:paraId="6F46D6CF">
      <w:pPr>
        <w:rPr>
          <w:color w:val="auto"/>
        </w:rPr>
      </w:pPr>
    </w:p>
    <w:p w14:paraId="6C204E95">
      <w:pPr>
        <w:pStyle w:val="23"/>
        <w:rPr>
          <w:color w:val="auto"/>
        </w:rPr>
      </w:pPr>
    </w:p>
    <w:p w14:paraId="53CA17D6">
      <w:pPr>
        <w:rPr>
          <w:color w:val="auto"/>
        </w:rPr>
      </w:pPr>
    </w:p>
    <w:p w14:paraId="286CD38D">
      <w:pPr>
        <w:pStyle w:val="23"/>
        <w:rPr>
          <w:color w:val="auto"/>
        </w:rPr>
      </w:pPr>
    </w:p>
    <w:p w14:paraId="62BFFB66">
      <w:pPr>
        <w:rPr>
          <w:color w:val="auto"/>
        </w:rPr>
      </w:pPr>
    </w:p>
    <w:p w14:paraId="3E87DE7D">
      <w:pPr>
        <w:pStyle w:val="23"/>
        <w:rPr>
          <w:color w:val="auto"/>
        </w:rPr>
      </w:pPr>
    </w:p>
    <w:p w14:paraId="456031CF">
      <w:pPr>
        <w:rPr>
          <w:color w:val="auto"/>
        </w:rPr>
      </w:pPr>
    </w:p>
    <w:p w14:paraId="721CA373">
      <w:pPr>
        <w:pStyle w:val="23"/>
        <w:rPr>
          <w:color w:val="auto"/>
        </w:rPr>
      </w:pPr>
    </w:p>
    <w:p w14:paraId="56C7DC15">
      <w:pPr>
        <w:rPr>
          <w:color w:val="auto"/>
        </w:rPr>
      </w:pPr>
    </w:p>
    <w:p w14:paraId="35266E9E">
      <w:pPr>
        <w:pStyle w:val="23"/>
        <w:rPr>
          <w:color w:val="auto"/>
        </w:rPr>
      </w:pPr>
    </w:p>
    <w:p w14:paraId="53A6C56F">
      <w:pPr>
        <w:rPr>
          <w:color w:val="auto"/>
        </w:rPr>
      </w:pPr>
    </w:p>
    <w:p w14:paraId="0E720D44">
      <w:pPr>
        <w:pStyle w:val="23"/>
        <w:rPr>
          <w:color w:val="auto"/>
        </w:rPr>
      </w:pPr>
    </w:p>
    <w:p w14:paraId="19674876">
      <w:pPr>
        <w:rPr>
          <w:color w:val="auto"/>
        </w:rPr>
      </w:pPr>
    </w:p>
    <w:p w14:paraId="54926AE7">
      <w:pPr>
        <w:pStyle w:val="23"/>
        <w:rPr>
          <w:color w:val="auto"/>
        </w:rPr>
      </w:pPr>
    </w:p>
    <w:p w14:paraId="74C6CE5F">
      <w:pPr>
        <w:rPr>
          <w:color w:val="auto"/>
        </w:rPr>
      </w:pPr>
    </w:p>
    <w:p w14:paraId="41DC0F20">
      <w:pPr>
        <w:pStyle w:val="23"/>
        <w:rPr>
          <w:color w:val="auto"/>
        </w:rPr>
      </w:pPr>
    </w:p>
    <w:p w14:paraId="2BE8777D">
      <w:pPr>
        <w:rPr>
          <w:color w:val="auto"/>
        </w:rPr>
      </w:pPr>
    </w:p>
    <w:p w14:paraId="3F170587">
      <w:pPr>
        <w:pStyle w:val="23"/>
        <w:rPr>
          <w:color w:val="auto"/>
        </w:rPr>
      </w:pPr>
    </w:p>
    <w:p w14:paraId="1F717652">
      <w:pPr>
        <w:rPr>
          <w:color w:val="auto"/>
        </w:rPr>
      </w:pPr>
    </w:p>
    <w:p w14:paraId="2D7E9596">
      <w:pPr>
        <w:pStyle w:val="23"/>
        <w:rPr>
          <w:color w:val="auto"/>
        </w:rPr>
      </w:pPr>
    </w:p>
    <w:p w14:paraId="24080547">
      <w:pPr>
        <w:rPr>
          <w:color w:val="auto"/>
        </w:rPr>
      </w:pPr>
    </w:p>
    <w:p w14:paraId="690D3157">
      <w:pPr>
        <w:pStyle w:val="23"/>
        <w:rPr>
          <w:color w:val="auto"/>
        </w:rPr>
      </w:pPr>
    </w:p>
    <w:p w14:paraId="56C51324">
      <w:pPr>
        <w:rPr>
          <w:color w:val="auto"/>
        </w:rPr>
      </w:pPr>
    </w:p>
    <w:p w14:paraId="6A7FF9B8">
      <w:pPr>
        <w:pStyle w:val="23"/>
        <w:rPr>
          <w:color w:val="auto"/>
        </w:rPr>
      </w:pPr>
    </w:p>
    <w:p w14:paraId="3C92ECF5">
      <w:pPr>
        <w:pStyle w:val="45"/>
        <w:numPr>
          <w:ilvl w:val="0"/>
          <w:numId w:val="54"/>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59"/>
    </w:p>
    <w:p w14:paraId="2FE3DAAF">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14:paraId="5F9ADEAE">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250AD610">
      <w:pPr>
        <w:numPr>
          <w:ilvl w:val="0"/>
          <w:numId w:val="56"/>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14:paraId="2154203A">
      <w:pPr>
        <w:numPr>
          <w:ilvl w:val="0"/>
          <w:numId w:val="56"/>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（或期限已满）</w:t>
      </w:r>
      <w:r>
        <w:rPr>
          <w:color w:val="auto"/>
          <w:szCs w:val="24"/>
        </w:rPr>
        <w:t>等行政处罚决定</w:t>
      </w:r>
      <w:r>
        <w:rPr>
          <w:rFonts w:hint="eastAsia"/>
          <w:color w:val="auto"/>
          <w:szCs w:val="24"/>
        </w:rPr>
        <w:t>；</w:t>
      </w:r>
    </w:p>
    <w:p w14:paraId="48A84232">
      <w:pPr>
        <w:numPr>
          <w:ilvl w:val="0"/>
          <w:numId w:val="56"/>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757E97A3">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7EDA108E">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3549A503">
      <w:pPr>
        <w:pStyle w:val="23"/>
        <w:rPr>
          <w:color w:val="auto"/>
          <w:szCs w:val="21"/>
          <w:u w:val="single"/>
          <w:lang w:val="zh-CN"/>
        </w:rPr>
      </w:pPr>
    </w:p>
    <w:p w14:paraId="64DB0A99">
      <w:pPr>
        <w:rPr>
          <w:bCs/>
          <w:color w:val="auto"/>
          <w:szCs w:val="21"/>
          <w:u w:val="single"/>
          <w:lang w:val="zh-CN"/>
        </w:rPr>
      </w:pPr>
    </w:p>
    <w:p w14:paraId="54B3599A">
      <w:pPr>
        <w:pStyle w:val="23"/>
        <w:rPr>
          <w:color w:val="auto"/>
          <w:szCs w:val="21"/>
          <w:u w:val="single"/>
          <w:lang w:val="zh-CN"/>
        </w:rPr>
      </w:pPr>
    </w:p>
    <w:p w14:paraId="07DBBB94">
      <w:pPr>
        <w:rPr>
          <w:bCs/>
          <w:color w:val="auto"/>
          <w:szCs w:val="21"/>
          <w:u w:val="single"/>
          <w:lang w:val="zh-CN"/>
        </w:rPr>
      </w:pPr>
    </w:p>
    <w:p w14:paraId="62FED425">
      <w:pPr>
        <w:pStyle w:val="23"/>
        <w:rPr>
          <w:color w:val="auto"/>
          <w:szCs w:val="21"/>
          <w:u w:val="single"/>
          <w:lang w:val="zh-CN"/>
        </w:rPr>
      </w:pPr>
    </w:p>
    <w:p w14:paraId="199B963C">
      <w:pPr>
        <w:rPr>
          <w:bCs/>
          <w:color w:val="auto"/>
          <w:szCs w:val="21"/>
          <w:u w:val="single"/>
          <w:lang w:val="zh-CN"/>
        </w:rPr>
      </w:pPr>
    </w:p>
    <w:p w14:paraId="6F4D50C8">
      <w:pPr>
        <w:pStyle w:val="23"/>
        <w:rPr>
          <w:color w:val="auto"/>
          <w:szCs w:val="21"/>
          <w:u w:val="single"/>
          <w:lang w:val="zh-CN"/>
        </w:rPr>
      </w:pPr>
    </w:p>
    <w:p w14:paraId="5969262E">
      <w:pPr>
        <w:rPr>
          <w:bCs/>
          <w:color w:val="auto"/>
          <w:szCs w:val="21"/>
          <w:u w:val="single"/>
          <w:lang w:val="zh-CN"/>
        </w:rPr>
      </w:pPr>
    </w:p>
    <w:p w14:paraId="62B83388">
      <w:pPr>
        <w:pStyle w:val="23"/>
        <w:rPr>
          <w:color w:val="auto"/>
          <w:szCs w:val="21"/>
          <w:u w:val="single"/>
          <w:lang w:val="zh-CN"/>
        </w:rPr>
      </w:pPr>
    </w:p>
    <w:p w14:paraId="2F5693D2">
      <w:pPr>
        <w:rPr>
          <w:bCs/>
          <w:color w:val="auto"/>
          <w:szCs w:val="21"/>
          <w:u w:val="single"/>
          <w:lang w:val="zh-CN"/>
        </w:rPr>
      </w:pPr>
    </w:p>
    <w:p w14:paraId="2C459F4D">
      <w:pPr>
        <w:pStyle w:val="23"/>
        <w:rPr>
          <w:color w:val="auto"/>
          <w:szCs w:val="21"/>
          <w:u w:val="single"/>
          <w:lang w:val="zh-CN"/>
        </w:rPr>
      </w:pPr>
    </w:p>
    <w:p w14:paraId="09B681DD">
      <w:pPr>
        <w:rPr>
          <w:bCs/>
          <w:color w:val="auto"/>
          <w:szCs w:val="21"/>
          <w:u w:val="single"/>
          <w:lang w:val="zh-CN"/>
        </w:rPr>
      </w:pPr>
    </w:p>
    <w:p w14:paraId="431C26A9">
      <w:pPr>
        <w:pStyle w:val="23"/>
        <w:rPr>
          <w:color w:val="auto"/>
          <w:szCs w:val="21"/>
          <w:u w:val="single"/>
          <w:lang w:val="zh-CN"/>
        </w:rPr>
      </w:pPr>
    </w:p>
    <w:p w14:paraId="423DC7B7">
      <w:pPr>
        <w:rPr>
          <w:bCs/>
          <w:color w:val="auto"/>
          <w:szCs w:val="21"/>
          <w:u w:val="single"/>
          <w:lang w:val="zh-CN"/>
        </w:rPr>
      </w:pPr>
    </w:p>
    <w:p w14:paraId="0B80B014">
      <w:pPr>
        <w:pStyle w:val="23"/>
        <w:rPr>
          <w:color w:val="auto"/>
          <w:szCs w:val="21"/>
          <w:u w:val="single"/>
          <w:lang w:val="zh-CN"/>
        </w:rPr>
      </w:pPr>
    </w:p>
    <w:p w14:paraId="66966C70">
      <w:pPr>
        <w:rPr>
          <w:bCs/>
          <w:color w:val="auto"/>
          <w:szCs w:val="21"/>
          <w:u w:val="single"/>
          <w:lang w:val="zh-CN"/>
        </w:rPr>
      </w:pPr>
    </w:p>
    <w:p w14:paraId="423275CF">
      <w:pPr>
        <w:pStyle w:val="23"/>
        <w:rPr>
          <w:color w:val="auto"/>
          <w:szCs w:val="21"/>
          <w:u w:val="single"/>
          <w:lang w:val="zh-CN"/>
        </w:rPr>
      </w:pPr>
    </w:p>
    <w:p w14:paraId="790BEF69">
      <w:pPr>
        <w:rPr>
          <w:bCs/>
          <w:color w:val="auto"/>
          <w:szCs w:val="21"/>
          <w:u w:val="single"/>
          <w:lang w:val="zh-CN"/>
        </w:rPr>
      </w:pPr>
    </w:p>
    <w:p w14:paraId="1328FC57">
      <w:pPr>
        <w:rPr>
          <w:bCs/>
          <w:color w:val="auto"/>
          <w:szCs w:val="21"/>
          <w:u w:val="single"/>
          <w:lang w:val="zh-CN"/>
        </w:rPr>
      </w:pPr>
    </w:p>
    <w:p w14:paraId="19DBAFAA">
      <w:pPr>
        <w:pStyle w:val="23"/>
        <w:rPr>
          <w:color w:val="auto"/>
          <w:lang w:val="zh-CN"/>
        </w:rPr>
      </w:pPr>
    </w:p>
    <w:p w14:paraId="40EA50F2">
      <w:pPr>
        <w:pStyle w:val="45"/>
        <w:numPr>
          <w:ilvl w:val="0"/>
          <w:numId w:val="54"/>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14:paraId="3B0092C0">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提供无竞争性磋商文件要求之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14:paraId="74FF52F4">
      <w:pPr>
        <w:pStyle w:val="2"/>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0" w:name="_Toc117244493"/>
      <w:bookmarkStart w:id="461" w:name="_Toc117244378"/>
      <w:bookmarkStart w:id="462" w:name="_Toc122527549"/>
      <w:bookmarkStart w:id="463" w:name="_Toc107561299"/>
      <w:r>
        <w:rPr>
          <w:rFonts w:hint="eastAsia" w:ascii="宋体" w:hAnsi="宋体" w:eastAsia="宋体" w:cs="Times New Roman"/>
          <w:bCs w:val="0"/>
          <w:color w:val="auto"/>
          <w:sz w:val="24"/>
          <w:szCs w:val="24"/>
        </w:rPr>
        <w:t>未与有关系的其它供应商参加同一合同采购活动的声明函</w:t>
      </w:r>
      <w:bookmarkEnd w:id="460"/>
      <w:bookmarkEnd w:id="461"/>
      <w:bookmarkEnd w:id="462"/>
      <w:bookmarkEnd w:id="463"/>
    </w:p>
    <w:p w14:paraId="6DEBD63F">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4D5E3500">
      <w:pPr>
        <w:numPr>
          <w:ilvl w:val="0"/>
          <w:numId w:val="57"/>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14:paraId="6ED08DD4">
      <w:pPr>
        <w:numPr>
          <w:ilvl w:val="0"/>
          <w:numId w:val="5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43AF6908">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2805E0E7">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71C90FF1">
      <w:pPr>
        <w:pStyle w:val="23"/>
        <w:rPr>
          <w:color w:val="auto"/>
          <w:szCs w:val="21"/>
          <w:u w:val="single"/>
          <w:lang w:val="zh-CN"/>
        </w:rPr>
      </w:pPr>
    </w:p>
    <w:p w14:paraId="353F7430">
      <w:pPr>
        <w:rPr>
          <w:bCs/>
          <w:color w:val="auto"/>
          <w:szCs w:val="21"/>
          <w:u w:val="single"/>
          <w:lang w:val="zh-CN"/>
        </w:rPr>
      </w:pPr>
    </w:p>
    <w:p w14:paraId="4419E2E0">
      <w:pPr>
        <w:pStyle w:val="23"/>
        <w:rPr>
          <w:color w:val="auto"/>
          <w:szCs w:val="21"/>
          <w:u w:val="single"/>
          <w:lang w:val="zh-CN"/>
        </w:rPr>
      </w:pPr>
    </w:p>
    <w:p w14:paraId="53A6D626">
      <w:pPr>
        <w:rPr>
          <w:bCs/>
          <w:color w:val="auto"/>
          <w:szCs w:val="21"/>
          <w:u w:val="single"/>
          <w:lang w:val="zh-CN"/>
        </w:rPr>
      </w:pPr>
    </w:p>
    <w:p w14:paraId="5C51660F">
      <w:pPr>
        <w:pStyle w:val="23"/>
        <w:rPr>
          <w:color w:val="auto"/>
          <w:szCs w:val="21"/>
          <w:u w:val="single"/>
          <w:lang w:val="zh-CN"/>
        </w:rPr>
      </w:pPr>
    </w:p>
    <w:p w14:paraId="236DBBF4">
      <w:pPr>
        <w:rPr>
          <w:bCs/>
          <w:color w:val="auto"/>
          <w:szCs w:val="21"/>
          <w:u w:val="single"/>
          <w:lang w:val="zh-CN"/>
        </w:rPr>
      </w:pPr>
    </w:p>
    <w:p w14:paraId="41A3B782">
      <w:pPr>
        <w:pStyle w:val="23"/>
        <w:rPr>
          <w:color w:val="auto"/>
          <w:szCs w:val="21"/>
          <w:u w:val="single"/>
          <w:lang w:val="zh-CN"/>
        </w:rPr>
      </w:pPr>
    </w:p>
    <w:p w14:paraId="37CDA901">
      <w:pPr>
        <w:rPr>
          <w:bCs/>
          <w:color w:val="auto"/>
          <w:szCs w:val="21"/>
          <w:u w:val="single"/>
          <w:lang w:val="zh-CN"/>
        </w:rPr>
      </w:pPr>
    </w:p>
    <w:p w14:paraId="2757FBDE">
      <w:pPr>
        <w:pStyle w:val="23"/>
        <w:rPr>
          <w:color w:val="auto"/>
          <w:szCs w:val="21"/>
          <w:u w:val="single"/>
          <w:lang w:val="zh-CN"/>
        </w:rPr>
      </w:pPr>
    </w:p>
    <w:p w14:paraId="0B04D143">
      <w:pPr>
        <w:rPr>
          <w:bCs/>
          <w:color w:val="auto"/>
          <w:szCs w:val="21"/>
          <w:u w:val="single"/>
          <w:lang w:val="zh-CN"/>
        </w:rPr>
      </w:pPr>
    </w:p>
    <w:p w14:paraId="625073D6">
      <w:pPr>
        <w:pStyle w:val="23"/>
        <w:rPr>
          <w:color w:val="auto"/>
          <w:szCs w:val="21"/>
          <w:u w:val="single"/>
          <w:lang w:val="zh-CN"/>
        </w:rPr>
      </w:pPr>
    </w:p>
    <w:p w14:paraId="37A6F1A2">
      <w:pPr>
        <w:rPr>
          <w:bCs/>
          <w:color w:val="auto"/>
          <w:szCs w:val="21"/>
          <w:u w:val="single"/>
          <w:lang w:val="zh-CN"/>
        </w:rPr>
      </w:pPr>
    </w:p>
    <w:p w14:paraId="6D2B91A4">
      <w:pPr>
        <w:pStyle w:val="23"/>
        <w:rPr>
          <w:color w:val="auto"/>
          <w:szCs w:val="21"/>
          <w:u w:val="single"/>
          <w:lang w:val="zh-CN"/>
        </w:rPr>
      </w:pPr>
    </w:p>
    <w:p w14:paraId="4BDA77EE">
      <w:pPr>
        <w:rPr>
          <w:bCs/>
          <w:color w:val="auto"/>
          <w:szCs w:val="21"/>
          <w:u w:val="single"/>
          <w:lang w:val="zh-CN"/>
        </w:rPr>
      </w:pPr>
    </w:p>
    <w:p w14:paraId="33E31680">
      <w:pPr>
        <w:pStyle w:val="23"/>
        <w:rPr>
          <w:color w:val="auto"/>
          <w:szCs w:val="21"/>
          <w:u w:val="single"/>
          <w:lang w:val="zh-CN"/>
        </w:rPr>
      </w:pPr>
    </w:p>
    <w:p w14:paraId="135A3DFA">
      <w:pPr>
        <w:rPr>
          <w:bCs/>
          <w:color w:val="auto"/>
          <w:szCs w:val="21"/>
          <w:u w:val="single"/>
          <w:lang w:val="zh-CN"/>
        </w:rPr>
      </w:pPr>
    </w:p>
    <w:p w14:paraId="79C9F6EC">
      <w:pPr>
        <w:pStyle w:val="23"/>
        <w:rPr>
          <w:color w:val="auto"/>
          <w:szCs w:val="21"/>
          <w:u w:val="single"/>
          <w:lang w:val="zh-CN"/>
        </w:rPr>
      </w:pPr>
    </w:p>
    <w:p w14:paraId="41DE6714">
      <w:pPr>
        <w:rPr>
          <w:bCs/>
          <w:color w:val="auto"/>
          <w:szCs w:val="21"/>
          <w:u w:val="single"/>
          <w:lang w:val="zh-CN"/>
        </w:rPr>
      </w:pPr>
    </w:p>
    <w:p w14:paraId="48ED7C69">
      <w:pPr>
        <w:pStyle w:val="23"/>
        <w:rPr>
          <w:color w:val="auto"/>
          <w:szCs w:val="21"/>
          <w:u w:val="single"/>
          <w:lang w:val="zh-CN"/>
        </w:rPr>
      </w:pPr>
    </w:p>
    <w:p w14:paraId="30A764A9">
      <w:pPr>
        <w:rPr>
          <w:bCs/>
          <w:color w:val="auto"/>
          <w:szCs w:val="21"/>
          <w:u w:val="single"/>
          <w:lang w:val="zh-CN"/>
        </w:rPr>
      </w:pPr>
    </w:p>
    <w:p w14:paraId="21F4A542">
      <w:pPr>
        <w:pStyle w:val="23"/>
        <w:rPr>
          <w:color w:val="auto"/>
          <w:lang w:val="zh-CN"/>
        </w:rPr>
      </w:pPr>
    </w:p>
    <w:p w14:paraId="7524B7B2">
      <w:pPr>
        <w:pStyle w:val="2"/>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4" w:name="_Toc117244379"/>
      <w:bookmarkStart w:id="465" w:name="_Toc117244494"/>
      <w:bookmarkStart w:id="466" w:name="_Toc107561300"/>
      <w:bookmarkStart w:id="467" w:name="_Toc122527550"/>
      <w:r>
        <w:rPr>
          <w:rFonts w:hint="eastAsia" w:ascii="宋体" w:hAnsi="宋体" w:eastAsia="宋体" w:cs="Times New Roman"/>
          <w:bCs w:val="0"/>
          <w:color w:val="auto"/>
          <w:sz w:val="24"/>
          <w:szCs w:val="24"/>
        </w:rPr>
        <w:t>未为本</w:t>
      </w:r>
      <w:r>
        <w:rPr>
          <w:rFonts w:hint="eastAsia"/>
          <w:color w:val="auto"/>
          <w:sz w:val="24"/>
          <w:szCs w:val="21"/>
        </w:rPr>
        <w:t>项目</w:t>
      </w:r>
      <w:r>
        <w:rPr>
          <w:rFonts w:hint="eastAsia" w:ascii="宋体" w:hAnsi="宋体" w:eastAsia="宋体" w:cs="Times New Roman"/>
          <w:bCs w:val="0"/>
          <w:color w:val="auto"/>
          <w:sz w:val="24"/>
          <w:szCs w:val="24"/>
        </w:rPr>
        <w:t>提供相关服务的声明函</w:t>
      </w:r>
      <w:bookmarkEnd w:id="464"/>
      <w:bookmarkEnd w:id="465"/>
      <w:bookmarkEnd w:id="466"/>
      <w:bookmarkEnd w:id="467"/>
      <w:r>
        <w:rPr>
          <w:rFonts w:hint="eastAsia" w:ascii="宋体" w:hAnsi="宋体" w:eastAsia="宋体" w:cs="Times New Roman"/>
          <w:bCs w:val="0"/>
          <w:color w:val="auto"/>
          <w:sz w:val="24"/>
          <w:szCs w:val="24"/>
        </w:rPr>
        <w:t xml:space="preserve"> </w:t>
      </w:r>
    </w:p>
    <w:p w14:paraId="25302224">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21B01C32">
      <w:pPr>
        <w:numPr>
          <w:ilvl w:val="0"/>
          <w:numId w:val="58"/>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14:paraId="758AC3CF">
      <w:pPr>
        <w:numPr>
          <w:ilvl w:val="0"/>
          <w:numId w:val="58"/>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14:paraId="7F74567B">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62BF5E72">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1F59E223">
      <w:pPr>
        <w:pStyle w:val="23"/>
        <w:rPr>
          <w:color w:val="auto"/>
          <w:szCs w:val="21"/>
          <w:u w:val="single"/>
          <w:lang w:val="zh-CN"/>
        </w:rPr>
      </w:pPr>
    </w:p>
    <w:p w14:paraId="526DBB5A">
      <w:pPr>
        <w:rPr>
          <w:bCs/>
          <w:color w:val="auto"/>
          <w:szCs w:val="21"/>
          <w:u w:val="single"/>
          <w:lang w:val="zh-CN"/>
        </w:rPr>
      </w:pPr>
    </w:p>
    <w:p w14:paraId="4FE84456">
      <w:pPr>
        <w:pStyle w:val="23"/>
        <w:rPr>
          <w:color w:val="auto"/>
          <w:szCs w:val="21"/>
          <w:u w:val="single"/>
          <w:lang w:val="zh-CN"/>
        </w:rPr>
      </w:pPr>
    </w:p>
    <w:p w14:paraId="42497229">
      <w:pPr>
        <w:rPr>
          <w:bCs/>
          <w:color w:val="auto"/>
          <w:szCs w:val="21"/>
          <w:u w:val="single"/>
          <w:lang w:val="zh-CN"/>
        </w:rPr>
      </w:pPr>
    </w:p>
    <w:p w14:paraId="30E99233">
      <w:pPr>
        <w:pStyle w:val="23"/>
        <w:rPr>
          <w:color w:val="auto"/>
          <w:szCs w:val="21"/>
          <w:u w:val="single"/>
          <w:lang w:val="zh-CN"/>
        </w:rPr>
      </w:pPr>
    </w:p>
    <w:p w14:paraId="25BE5475">
      <w:pPr>
        <w:rPr>
          <w:bCs/>
          <w:color w:val="auto"/>
          <w:szCs w:val="21"/>
          <w:u w:val="single"/>
          <w:lang w:val="zh-CN"/>
        </w:rPr>
      </w:pPr>
    </w:p>
    <w:p w14:paraId="6924291D">
      <w:pPr>
        <w:pStyle w:val="23"/>
        <w:rPr>
          <w:color w:val="auto"/>
          <w:szCs w:val="21"/>
          <w:u w:val="single"/>
          <w:lang w:val="zh-CN"/>
        </w:rPr>
      </w:pPr>
    </w:p>
    <w:p w14:paraId="64BC7D92">
      <w:pPr>
        <w:rPr>
          <w:bCs/>
          <w:color w:val="auto"/>
          <w:szCs w:val="21"/>
          <w:u w:val="single"/>
          <w:lang w:val="zh-CN"/>
        </w:rPr>
      </w:pPr>
    </w:p>
    <w:p w14:paraId="66571A83">
      <w:pPr>
        <w:pStyle w:val="23"/>
        <w:rPr>
          <w:color w:val="auto"/>
          <w:szCs w:val="21"/>
          <w:u w:val="single"/>
          <w:lang w:val="zh-CN"/>
        </w:rPr>
      </w:pPr>
    </w:p>
    <w:p w14:paraId="46F91DA2">
      <w:pPr>
        <w:rPr>
          <w:bCs/>
          <w:color w:val="auto"/>
          <w:szCs w:val="21"/>
          <w:u w:val="single"/>
          <w:lang w:val="zh-CN"/>
        </w:rPr>
      </w:pPr>
    </w:p>
    <w:p w14:paraId="2E1AA48D">
      <w:pPr>
        <w:pStyle w:val="23"/>
        <w:rPr>
          <w:color w:val="auto"/>
          <w:szCs w:val="21"/>
          <w:u w:val="single"/>
          <w:lang w:val="zh-CN"/>
        </w:rPr>
      </w:pPr>
    </w:p>
    <w:p w14:paraId="6FF81C38">
      <w:pPr>
        <w:rPr>
          <w:bCs/>
          <w:color w:val="auto"/>
          <w:szCs w:val="21"/>
          <w:u w:val="single"/>
          <w:lang w:val="zh-CN"/>
        </w:rPr>
      </w:pPr>
    </w:p>
    <w:p w14:paraId="5CB8438D">
      <w:pPr>
        <w:pStyle w:val="23"/>
        <w:rPr>
          <w:color w:val="auto"/>
          <w:szCs w:val="21"/>
          <w:u w:val="single"/>
          <w:lang w:val="zh-CN"/>
        </w:rPr>
      </w:pPr>
    </w:p>
    <w:p w14:paraId="4E130643">
      <w:pPr>
        <w:rPr>
          <w:bCs/>
          <w:color w:val="auto"/>
          <w:szCs w:val="21"/>
          <w:u w:val="single"/>
          <w:lang w:val="zh-CN"/>
        </w:rPr>
      </w:pPr>
    </w:p>
    <w:p w14:paraId="483715A4">
      <w:pPr>
        <w:pStyle w:val="23"/>
        <w:rPr>
          <w:color w:val="auto"/>
          <w:szCs w:val="21"/>
          <w:u w:val="single"/>
          <w:lang w:val="zh-CN"/>
        </w:rPr>
      </w:pPr>
    </w:p>
    <w:p w14:paraId="07C5E543">
      <w:pPr>
        <w:rPr>
          <w:bCs/>
          <w:color w:val="auto"/>
          <w:szCs w:val="21"/>
          <w:u w:val="single"/>
          <w:lang w:val="zh-CN"/>
        </w:rPr>
      </w:pPr>
    </w:p>
    <w:p w14:paraId="27E6830B">
      <w:pPr>
        <w:pStyle w:val="23"/>
        <w:rPr>
          <w:color w:val="auto"/>
          <w:szCs w:val="21"/>
          <w:u w:val="single"/>
          <w:lang w:val="zh-CN"/>
        </w:rPr>
      </w:pPr>
    </w:p>
    <w:p w14:paraId="076A3749">
      <w:pPr>
        <w:rPr>
          <w:bCs/>
          <w:color w:val="auto"/>
          <w:szCs w:val="21"/>
          <w:u w:val="single"/>
          <w:lang w:val="zh-CN"/>
        </w:rPr>
      </w:pPr>
    </w:p>
    <w:p w14:paraId="6D92E950">
      <w:pPr>
        <w:pStyle w:val="23"/>
        <w:rPr>
          <w:color w:val="auto"/>
          <w:szCs w:val="21"/>
          <w:u w:val="single"/>
          <w:lang w:val="zh-CN"/>
        </w:rPr>
      </w:pPr>
    </w:p>
    <w:p w14:paraId="3AD04DF1">
      <w:pPr>
        <w:rPr>
          <w:bCs/>
          <w:color w:val="auto"/>
          <w:szCs w:val="21"/>
          <w:u w:val="single"/>
          <w:lang w:val="zh-CN"/>
        </w:rPr>
      </w:pPr>
    </w:p>
    <w:p w14:paraId="5C634301">
      <w:pPr>
        <w:pStyle w:val="23"/>
        <w:rPr>
          <w:color w:val="auto"/>
          <w:szCs w:val="21"/>
          <w:u w:val="single"/>
          <w:lang w:val="zh-CN"/>
        </w:rPr>
      </w:pPr>
    </w:p>
    <w:p w14:paraId="4DCAA4A0">
      <w:pPr>
        <w:rPr>
          <w:bCs/>
          <w:color w:val="auto"/>
          <w:szCs w:val="21"/>
          <w:u w:val="single"/>
          <w:lang w:val="zh-CN"/>
        </w:rPr>
      </w:pPr>
    </w:p>
    <w:p w14:paraId="3A1488C2">
      <w:pPr>
        <w:pStyle w:val="23"/>
        <w:rPr>
          <w:color w:val="auto"/>
          <w:lang w:val="zh-CN"/>
        </w:rPr>
      </w:pPr>
    </w:p>
    <w:p w14:paraId="1369B277">
      <w:pPr>
        <w:pStyle w:val="2"/>
        <w:numPr>
          <w:ilvl w:val="0"/>
          <w:numId w:val="52"/>
        </w:numPr>
        <w:tabs>
          <w:tab w:val="left" w:pos="567"/>
        </w:tabs>
        <w:spacing w:before="0" w:after="0" w:line="360" w:lineRule="auto"/>
        <w:ind w:left="482" w:hanging="482" w:hangingChars="200"/>
        <w:jc w:val="left"/>
        <w:rPr>
          <w:rFonts w:cs="Times New Roman" w:asciiTheme="majorEastAsia" w:hAnsiTheme="majorEastAsia"/>
          <w:bCs w:val="0"/>
          <w:color w:val="auto"/>
          <w:sz w:val="28"/>
          <w:szCs w:val="28"/>
        </w:rPr>
      </w:pPr>
      <w:bookmarkStart w:id="468" w:name="_Toc122527551"/>
      <w:bookmarkStart w:id="469" w:name="_Toc107561301"/>
      <w:bookmarkStart w:id="470" w:name="_Toc117244380"/>
      <w:bookmarkStart w:id="471" w:name="_Toc117244495"/>
      <w:r>
        <w:rPr>
          <w:rFonts w:hint="eastAsia" w:ascii="宋体" w:hAnsi="宋体" w:eastAsia="宋体" w:cs="Times New Roman"/>
          <w:bCs w:val="0"/>
          <w:color w:val="auto"/>
          <w:sz w:val="24"/>
          <w:szCs w:val="24"/>
        </w:rPr>
        <w:t>未被列入</w:t>
      </w:r>
      <w:r>
        <w:rPr>
          <w:rFonts w:hint="eastAsia"/>
          <w:color w:val="auto"/>
          <w:sz w:val="24"/>
          <w:szCs w:val="21"/>
        </w:rPr>
        <w:t>违法</w:t>
      </w:r>
      <w:r>
        <w:rPr>
          <w:rFonts w:hint="eastAsia" w:ascii="宋体" w:hAnsi="宋体" w:eastAsia="宋体" w:cs="Times New Roman"/>
          <w:bCs w:val="0"/>
          <w:color w:val="auto"/>
          <w:sz w:val="24"/>
          <w:szCs w:val="24"/>
        </w:rPr>
        <w:t>失信行为记录名单的声明函</w:t>
      </w:r>
      <w:bookmarkEnd w:id="468"/>
      <w:bookmarkEnd w:id="469"/>
    </w:p>
    <w:p w14:paraId="1ECF968C">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70"/>
      <w:bookmarkEnd w:id="471"/>
    </w:p>
    <w:p w14:paraId="6C6D36D4">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29C955EF">
      <w:pPr>
        <w:numPr>
          <w:ilvl w:val="0"/>
          <w:numId w:val="59"/>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14:paraId="2A478EDA">
      <w:pPr>
        <w:numPr>
          <w:ilvl w:val="0"/>
          <w:numId w:val="59"/>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14:paraId="38AE3EF1">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7F882AE3">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40742704">
      <w:pPr>
        <w:pStyle w:val="2"/>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8"/>
          <w:szCs w:val="28"/>
        </w:rPr>
      </w:pPr>
      <w:bookmarkStart w:id="472" w:name="_Toc107561302"/>
      <w:r>
        <w:rPr>
          <w:rFonts w:hint="eastAsia" w:ascii="宋体" w:hAnsi="宋体" w:eastAsia="宋体" w:cs="Times New Roman"/>
          <w:bCs w:val="0"/>
          <w:color w:val="auto"/>
          <w:sz w:val="24"/>
          <w:szCs w:val="24"/>
        </w:rPr>
        <w:tab/>
      </w:r>
      <w:bookmarkStart w:id="473" w:name="_Toc122527552"/>
      <w:bookmarkStart w:id="474" w:name="_Toc117244381"/>
      <w:bookmarkStart w:id="475" w:name="_Toc117244496"/>
      <w:r>
        <w:rPr>
          <w:rFonts w:hint="eastAsia" w:ascii="宋体" w:hAnsi="宋体" w:eastAsia="宋体" w:cs="Times New Roman"/>
          <w:bCs w:val="0"/>
          <w:color w:val="auto"/>
          <w:sz w:val="24"/>
          <w:szCs w:val="24"/>
        </w:rPr>
        <w:t>落实政府采购政策应提供的资料</w:t>
      </w:r>
      <w:bookmarkEnd w:id="473"/>
    </w:p>
    <w:p w14:paraId="3B35A0D6">
      <w:pPr>
        <w:pStyle w:val="29"/>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74"/>
      <w:bookmarkEnd w:id="475"/>
    </w:p>
    <w:p w14:paraId="69746761">
      <w:pPr>
        <w:pStyle w:val="4"/>
        <w:numPr>
          <w:ilvl w:val="0"/>
          <w:numId w:val="60"/>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72"/>
    </w:p>
    <w:p w14:paraId="0BBAA798">
      <w:pPr>
        <w:pStyle w:val="29"/>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磋商时应提供，非联合体不用提供）</w:t>
      </w:r>
    </w:p>
    <w:p w14:paraId="047FCF20">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483A8687">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14:paraId="713F7A21">
      <w:pPr>
        <w:pStyle w:val="29"/>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14:paraId="295C72D4">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磋商</w:t>
      </w:r>
      <w:r>
        <w:rPr>
          <w:rFonts w:hint="eastAsia" w:cs="Tahoma"/>
          <w:color w:val="auto"/>
        </w:rPr>
        <w:t>，不再单独参加或者与其他供应商另外组成联合体参加本项目的采购活动。</w:t>
      </w:r>
      <w:r>
        <w:rPr>
          <w:rFonts w:cs="Tahoma"/>
          <w:color w:val="auto"/>
        </w:rPr>
        <w:t>现就有关事宜订立协议如下：</w:t>
      </w:r>
    </w:p>
    <w:p w14:paraId="0199F95E">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14:paraId="2FA55330">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6"/>
          <w:rFonts w:cs="Tahoma"/>
          <w:color w:val="auto"/>
        </w:rPr>
        <w:t>竞争性磋商</w:t>
      </w:r>
      <w:r>
        <w:rPr>
          <w:rStyle w:val="36"/>
          <w:rFonts w:cs="Tahoma"/>
          <w:color w:val="auto"/>
        </w:rPr>
        <w:fldChar w:fldCharType="end"/>
      </w:r>
      <w:r>
        <w:rPr>
          <w:rFonts w:cs="Tahoma"/>
          <w:color w:val="auto"/>
        </w:rPr>
        <w:t>文件的各项要求办理磋商事宜，磋商文件中的所有承诺均代表了联合体各成员</w:t>
      </w:r>
      <w:r>
        <w:rPr>
          <w:rFonts w:hint="eastAsia" w:cs="Tahoma"/>
          <w:color w:val="auto"/>
        </w:rPr>
        <w:t>，联合体各成员共同承担相应的法律责任</w:t>
      </w:r>
      <w:r>
        <w:rPr>
          <w:rFonts w:cs="Tahoma"/>
          <w:color w:val="auto"/>
        </w:rPr>
        <w:t>。</w:t>
      </w:r>
    </w:p>
    <w:p w14:paraId="2B484891">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03E43620">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189E7EFB">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5FAF1C30">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51619F83">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14:paraId="48F9E580">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21B1F214">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6、本协议书自签署之日起生效，若未成交，自本次磋商有效期结束后自行失效；若成交，自合同书规定的期限之后自行失效。</w:t>
      </w:r>
    </w:p>
    <w:p w14:paraId="747DAC89">
      <w:pPr>
        <w:pStyle w:val="29"/>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9EA3EC1">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23F60EEB">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14:paraId="5DE280AD">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E587C60">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14:paraId="5AC1EF37">
      <w:pPr>
        <w:pStyle w:val="29"/>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54C057DA">
      <w:pPr>
        <w:pStyle w:val="29"/>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66C555DF">
      <w:pPr>
        <w:pStyle w:val="4"/>
        <w:numPr>
          <w:ilvl w:val="0"/>
          <w:numId w:val="60"/>
        </w:numPr>
        <w:spacing w:before="0" w:after="0" w:line="360" w:lineRule="auto"/>
        <w:ind w:left="569" w:hanging="569" w:hangingChars="236"/>
        <w:rPr>
          <w:bCs w:val="0"/>
          <w:color w:val="auto"/>
          <w:sz w:val="24"/>
          <w:szCs w:val="24"/>
        </w:rPr>
      </w:pPr>
      <w:bookmarkStart w:id="476"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76"/>
    </w:p>
    <w:p w14:paraId="7AA3D76A">
      <w:pPr>
        <w:pStyle w:val="29"/>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14:paraId="2B0B341B">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47BB0328">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u w:val="single"/>
        </w:rPr>
        <w:t xml:space="preserve">    </w:t>
      </w:r>
      <w:r>
        <w:rPr>
          <w:rFonts w:hint="eastAsia" w:cs="Tahoma"/>
          <w:color w:val="auto"/>
        </w:rPr>
        <w:t>（以下简称乙方）</w:t>
      </w:r>
    </w:p>
    <w:p w14:paraId="2E34B505">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2A8C8C72">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与其它各方通过友好协商达成如下分包意向协议：</w:t>
      </w:r>
    </w:p>
    <w:p w14:paraId="6807A313">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1、在本次磋商有效期内，其它各方同意甲方代理磋商事宜；</w:t>
      </w:r>
    </w:p>
    <w:p w14:paraId="2DE1B00E">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14:paraId="7D27C91A">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CDCD69C">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695797C1">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14:paraId="02723B33">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14:paraId="6332A387">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（2）甲方负责提供竞争性磋商文件中规定的除其它方应提供的资料外的所有资料，并组织、汇编磋商文件、参与磋商；甲方未经其它方同意不得擅自提高或降低其它方所提供的报价；</w:t>
      </w:r>
    </w:p>
    <w:p w14:paraId="30068B45">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14:paraId="08DB7482">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14:paraId="124B4B93">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458287A3">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6、本协议书自签署之日起生效，若未成交，自本次磋商有效期结束后自行失效；若成交，自项目合同书规定的期限之后自行失效。</w:t>
      </w:r>
    </w:p>
    <w:p w14:paraId="116486F8">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各执</w:t>
      </w:r>
      <w:r>
        <w:rPr>
          <w:rFonts w:hint="eastAsia" w:cs="Tahoma"/>
          <w:color w:val="auto"/>
          <w:u w:val="single"/>
        </w:rPr>
        <w:t xml:space="preserve">   </w:t>
      </w:r>
      <w:r>
        <w:rPr>
          <w:rFonts w:cs="Tahoma"/>
          <w:color w:val="auto"/>
        </w:rPr>
        <w:t>份。</w:t>
      </w:r>
    </w:p>
    <w:p w14:paraId="3B2B2FE6">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22CBCF3">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14:paraId="041CA258">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20ECFC12">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14:paraId="13718F05">
      <w:pPr>
        <w:pStyle w:val="29"/>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79BF8A1E">
      <w:pPr>
        <w:wordWrap w:val="0"/>
        <w:spacing w:line="360" w:lineRule="auto"/>
        <w:ind w:firstLine="4200" w:firstLineChars="1750"/>
        <w:rPr>
          <w:color w:val="auto"/>
        </w:rPr>
        <w:sectPr>
          <w:pgSz w:w="11906" w:h="16838"/>
          <w:pgMar w:top="1134" w:right="1134" w:bottom="1134" w:left="1134" w:header="851" w:footer="992" w:gutter="0"/>
          <w:cols w:space="425" w:num="1"/>
          <w:docGrid w:type="lines" w:linePitch="312" w:charSpace="0"/>
        </w:sectPr>
      </w:pPr>
      <w:r>
        <w:rPr>
          <w:rFonts w:hint="eastAsia" w:cs="Tahoma"/>
          <w:color w:val="auto"/>
        </w:rPr>
        <w:t xml:space="preserve">签订日期: </w:t>
      </w:r>
      <w:r>
        <w:rPr>
          <w:rFonts w:hint="eastAsia" w:cs="Tahoma"/>
          <w:color w:val="auto"/>
          <w:u w:val="single"/>
        </w:rPr>
        <w:t xml:space="preserve">      </w:t>
      </w:r>
      <w:r>
        <w:rPr>
          <w:rFonts w:cs="Tahoma"/>
          <w:color w:val="auto"/>
          <w:u w:val="single"/>
        </w:rPr>
        <w:t xml:space="preserve"> </w:t>
      </w:r>
      <w:r>
        <w:rPr>
          <w:rFonts w:cs="Tahoma"/>
          <w:color w:val="auto"/>
          <w:u w:val="single"/>
        </w:rPr>
        <w:br w:type="page"/>
      </w:r>
    </w:p>
    <w:p w14:paraId="5E4D1D74">
      <w:pPr>
        <w:pStyle w:val="4"/>
        <w:numPr>
          <w:ilvl w:val="0"/>
          <w:numId w:val="60"/>
        </w:numPr>
        <w:spacing w:line="360" w:lineRule="auto"/>
        <w:ind w:left="567" w:hanging="567"/>
        <w:rPr>
          <w:bCs w:val="0"/>
          <w:color w:val="auto"/>
          <w:sz w:val="24"/>
          <w:szCs w:val="24"/>
        </w:rPr>
      </w:pPr>
      <w:bookmarkStart w:id="477" w:name="_Toc106962849"/>
      <w:bookmarkStart w:id="478" w:name="_Toc107561304"/>
      <w:r>
        <w:rPr>
          <w:rFonts w:hint="eastAsia"/>
          <w:bCs w:val="0"/>
          <w:color w:val="auto"/>
          <w:sz w:val="24"/>
          <w:szCs w:val="24"/>
        </w:rPr>
        <w:t>中小企业声明函</w:t>
      </w:r>
      <w:bookmarkEnd w:id="477"/>
      <w:bookmarkEnd w:id="478"/>
    </w:p>
    <w:p w14:paraId="2C4BBD07">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6CED661D">
      <w:pPr>
        <w:pStyle w:val="5"/>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14:paraId="7C08981A">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363EF69F">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B04808F">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2E6BA09">
      <w:pPr>
        <w:wordWrap w:val="0"/>
        <w:spacing w:line="360" w:lineRule="auto"/>
        <w:ind w:firstLine="480" w:firstLineChars="200"/>
        <w:rPr>
          <w:color w:val="auto"/>
          <w:szCs w:val="24"/>
        </w:rPr>
      </w:pPr>
      <w:r>
        <w:rPr>
          <w:rFonts w:hint="eastAsia"/>
          <w:color w:val="auto"/>
          <w:szCs w:val="24"/>
        </w:rPr>
        <w:t>……</w:t>
      </w:r>
    </w:p>
    <w:p w14:paraId="68203E24">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7BAE9488">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73C833B8">
      <w:pPr>
        <w:wordWrap w:val="0"/>
        <w:spacing w:line="360" w:lineRule="auto"/>
        <w:ind w:left="1091" w:hanging="1087" w:hangingChars="453"/>
        <w:jc w:val="left"/>
        <w:rPr>
          <w:b/>
          <w:bCs/>
          <w:color w:val="auto"/>
          <w:szCs w:val="24"/>
        </w:rPr>
      </w:pPr>
    </w:p>
    <w:p w14:paraId="25375B09">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510CB372">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364634A4">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366D6F31">
      <w:pPr>
        <w:wordWrap w:val="0"/>
        <w:spacing w:before="100" w:beforeAutospacing="1" w:after="100" w:afterAutospacing="1" w:line="360" w:lineRule="auto"/>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622475E">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AndChars" w:linePitch="312" w:charSpace="0"/>
        </w:sectPr>
      </w:pPr>
    </w:p>
    <w:p w14:paraId="55DA2F19">
      <w:pPr>
        <w:pStyle w:val="5"/>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-2：中小企业声明函（工程</w:t>
      </w:r>
      <w:r>
        <w:rPr>
          <w:rFonts w:ascii="宋体" w:hAnsi="宋体" w:eastAsia="宋体"/>
          <w:color w:val="auto"/>
          <w:sz w:val="24"/>
          <w:szCs w:val="24"/>
        </w:rPr>
        <w:t>或</w:t>
      </w:r>
      <w:r>
        <w:rPr>
          <w:rFonts w:hint="eastAsia" w:ascii="宋体" w:hAnsi="宋体" w:eastAsia="宋体"/>
          <w:color w:val="auto"/>
          <w:sz w:val="24"/>
          <w:szCs w:val="24"/>
        </w:rPr>
        <w:t>服务）</w:t>
      </w:r>
    </w:p>
    <w:p w14:paraId="472E5E1E">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（或</w:t>
      </w:r>
      <w:r>
        <w:rPr>
          <w:rFonts w:hint="eastAsia"/>
          <w:color w:val="auto"/>
          <w:szCs w:val="24"/>
        </w:rPr>
        <w:t>服务）</w:t>
      </w:r>
      <w:r>
        <w:rPr>
          <w:rFonts w:hint="eastAsia"/>
          <w:b/>
          <w:color w:val="auto"/>
          <w:szCs w:val="24"/>
        </w:rPr>
        <w:t>全部由</w:t>
      </w:r>
      <w:r>
        <w:rPr>
          <w:rFonts w:hint="eastAsia"/>
          <w:color w:val="auto"/>
          <w:szCs w:val="24"/>
        </w:rPr>
        <w:t>符合政策要求的</w:t>
      </w:r>
      <w:r>
        <w:rPr>
          <w:rFonts w:hint="eastAsia"/>
          <w:b/>
          <w:color w:val="auto"/>
          <w:szCs w:val="24"/>
        </w:rPr>
        <w:t>中小企业承建</w:t>
      </w:r>
      <w:r>
        <w:rPr>
          <w:b/>
          <w:color w:val="auto"/>
          <w:szCs w:val="24"/>
        </w:rPr>
        <w:t>（或</w:t>
      </w:r>
      <w:r>
        <w:rPr>
          <w:rFonts w:hint="eastAsia"/>
          <w:b/>
          <w:color w:val="auto"/>
          <w:szCs w:val="24"/>
        </w:rPr>
        <w:t>承接）</w:t>
      </w:r>
      <w:r>
        <w:rPr>
          <w:rFonts w:hint="eastAsia"/>
          <w:color w:val="auto"/>
          <w:szCs w:val="24"/>
        </w:rPr>
        <w:t>。相关企业（含联合体中的中小企业、签订分包意向协议的中小企业）的具体情况如下：</w:t>
      </w:r>
    </w:p>
    <w:p w14:paraId="3959F649">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3DFDC50">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01959256">
      <w:pPr>
        <w:wordWrap w:val="0"/>
        <w:spacing w:line="360" w:lineRule="auto"/>
        <w:ind w:firstLine="480" w:firstLineChars="200"/>
        <w:rPr>
          <w:color w:val="auto"/>
          <w:szCs w:val="24"/>
        </w:rPr>
      </w:pPr>
      <w:r>
        <w:rPr>
          <w:rFonts w:hint="eastAsia"/>
          <w:color w:val="auto"/>
          <w:szCs w:val="24"/>
        </w:rPr>
        <w:t>……</w:t>
      </w:r>
    </w:p>
    <w:p w14:paraId="20ECC68D">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64D6C840">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369D0926">
      <w:pPr>
        <w:wordWrap w:val="0"/>
        <w:spacing w:line="360" w:lineRule="auto"/>
        <w:ind w:left="1091" w:hanging="1091" w:hangingChars="453"/>
        <w:jc w:val="left"/>
        <w:rPr>
          <w:b/>
          <w:color w:val="auto"/>
          <w:szCs w:val="21"/>
          <w:lang w:val="zh-CN"/>
        </w:rPr>
      </w:pPr>
    </w:p>
    <w:p w14:paraId="51A0A6A9">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5AD33310">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12E5AE64">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4FD4616D">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03527DB7">
      <w:pPr>
        <w:pStyle w:val="11"/>
        <w:wordWrap w:val="0"/>
        <w:spacing w:line="360" w:lineRule="auto"/>
        <w:rPr>
          <w:color w:val="auto"/>
        </w:rPr>
      </w:pPr>
      <w:r>
        <w:rPr>
          <w:color w:val="auto"/>
        </w:rPr>
        <w:br w:type="page"/>
      </w:r>
    </w:p>
    <w:p w14:paraId="1C81FE10">
      <w:pPr>
        <w:pStyle w:val="5"/>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14:paraId="284E91A2">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481339E">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11098D82">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18AA7B67">
      <w:pPr>
        <w:wordWrap w:val="0"/>
        <w:adjustRightInd w:val="0"/>
        <w:snapToGrid w:val="0"/>
        <w:spacing w:line="360" w:lineRule="auto"/>
        <w:ind w:firstLine="480" w:firstLineChars="200"/>
        <w:rPr>
          <w:color w:val="auto"/>
          <w:szCs w:val="24"/>
        </w:rPr>
      </w:pPr>
      <w:r>
        <w:rPr>
          <w:rFonts w:hint="eastAsia"/>
          <w:color w:val="auto"/>
          <w:szCs w:val="24"/>
        </w:rPr>
        <w:t>……</w:t>
      </w:r>
    </w:p>
    <w:p w14:paraId="7ABDAE50">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500DB957">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047FBF58">
      <w:pPr>
        <w:wordWrap w:val="0"/>
        <w:adjustRightInd w:val="0"/>
        <w:snapToGrid w:val="0"/>
        <w:spacing w:line="360" w:lineRule="auto"/>
        <w:ind w:left="1091" w:hanging="1091" w:hangingChars="453"/>
        <w:jc w:val="left"/>
        <w:rPr>
          <w:b/>
          <w:bCs/>
          <w:color w:val="auto"/>
          <w:szCs w:val="24"/>
        </w:rPr>
      </w:pPr>
    </w:p>
    <w:p w14:paraId="676E6D4F">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20EEBB1F">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77466C4D">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3、应提供行政部门颁发的（有效期内）的创新产品应用示范推荐目录（所投产品应与清单中产品规格型号一致）。</w:t>
      </w:r>
    </w:p>
    <w:p w14:paraId="5E8EE31C">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495114C7">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color w:val="auto"/>
        </w:rPr>
        <w:br w:type="page"/>
      </w:r>
    </w:p>
    <w:p w14:paraId="71B71175">
      <w:pPr>
        <w:pStyle w:val="5"/>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14:paraId="6F230B2F">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88D71AE">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5B29CDA">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4DC27121">
      <w:pPr>
        <w:wordWrap w:val="0"/>
        <w:spacing w:line="360" w:lineRule="auto"/>
        <w:ind w:firstLine="480" w:firstLineChars="200"/>
        <w:rPr>
          <w:color w:val="auto"/>
          <w:szCs w:val="24"/>
        </w:rPr>
      </w:pPr>
      <w:r>
        <w:rPr>
          <w:rFonts w:hint="eastAsia"/>
          <w:color w:val="auto"/>
          <w:szCs w:val="24"/>
        </w:rPr>
        <w:t>……</w:t>
      </w:r>
    </w:p>
    <w:p w14:paraId="2013C41A">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62D719B0">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6BA3DFDC">
      <w:pPr>
        <w:wordWrap w:val="0"/>
        <w:spacing w:line="360" w:lineRule="auto"/>
        <w:ind w:left="1091" w:hanging="1091" w:hangingChars="453"/>
        <w:jc w:val="left"/>
        <w:rPr>
          <w:b/>
          <w:bCs/>
          <w:color w:val="auto"/>
          <w:szCs w:val="24"/>
        </w:rPr>
      </w:pPr>
    </w:p>
    <w:p w14:paraId="2F263113">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6A6EA020">
      <w:pPr>
        <w:wordWrap w:val="0"/>
        <w:spacing w:line="360" w:lineRule="auto"/>
        <w:ind w:left="1087" w:hanging="1087" w:hangingChars="453"/>
        <w:jc w:val="left"/>
        <w:rPr>
          <w:color w:val="auto"/>
          <w:lang w:val="zh-CN"/>
        </w:rPr>
      </w:pPr>
      <w:r>
        <w:rPr>
          <w:rFonts w:hint="eastAsia"/>
          <w:color w:val="auto"/>
          <w:lang w:val="zh-CN"/>
        </w:rPr>
        <w:t xml:space="preserve">       </w:t>
      </w:r>
      <w:r>
        <w:rPr>
          <w:rFonts w:hint="eastAsia"/>
          <w:bCs/>
          <w:color w:val="auto"/>
          <w:szCs w:val="21"/>
          <w:lang w:val="zh-CN"/>
        </w:rPr>
        <w:t>2、应提供节能环保产品在“品目清单”中的相关产品截图（所投产品应与清单中产品规格型号一致）。</w:t>
      </w:r>
    </w:p>
    <w:p w14:paraId="059715A3">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以联合体方式参与项目磋商的供应商，应由联合体各方盖章。</w:t>
      </w:r>
    </w:p>
    <w:p w14:paraId="2FCC22CC">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57BC72B7">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63988BD">
      <w:pPr>
        <w:pStyle w:val="4"/>
        <w:numPr>
          <w:ilvl w:val="0"/>
          <w:numId w:val="60"/>
        </w:numPr>
        <w:spacing w:line="360" w:lineRule="auto"/>
        <w:ind w:left="567" w:hanging="567"/>
        <w:rPr>
          <w:bCs w:val="0"/>
          <w:color w:val="auto"/>
          <w:sz w:val="24"/>
          <w:szCs w:val="24"/>
        </w:rPr>
      </w:pPr>
      <w:bookmarkStart w:id="479" w:name="_Toc106962850"/>
      <w:bookmarkStart w:id="480" w:name="_Toc107561305"/>
      <w:r>
        <w:rPr>
          <w:rFonts w:hint="eastAsia"/>
          <w:bCs w:val="0"/>
          <w:color w:val="auto"/>
          <w:sz w:val="24"/>
          <w:szCs w:val="24"/>
        </w:rPr>
        <w:t>监狱企业证明文件</w:t>
      </w:r>
    </w:p>
    <w:p w14:paraId="21488EC6">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14:paraId="3CF289C2">
      <w:pPr>
        <w:pStyle w:val="4"/>
        <w:numPr>
          <w:ilvl w:val="0"/>
          <w:numId w:val="60"/>
        </w:numPr>
        <w:spacing w:line="360" w:lineRule="auto"/>
        <w:ind w:left="567" w:hanging="567"/>
        <w:rPr>
          <w:bCs w:val="0"/>
          <w:color w:val="auto"/>
          <w:sz w:val="24"/>
          <w:szCs w:val="24"/>
        </w:rPr>
      </w:pPr>
      <w:r>
        <w:rPr>
          <w:rFonts w:hint="eastAsia"/>
          <w:bCs w:val="0"/>
          <w:color w:val="auto"/>
          <w:sz w:val="24"/>
          <w:szCs w:val="24"/>
        </w:rPr>
        <w:t>残疾人福利性单位声明函</w:t>
      </w:r>
      <w:bookmarkEnd w:id="479"/>
      <w:bookmarkEnd w:id="480"/>
    </w:p>
    <w:p w14:paraId="3D5BB55A">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1BB25AD3">
      <w:pPr>
        <w:pStyle w:val="5"/>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14:paraId="389D970C">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14A3166E">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A5963B6">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0AD84CAE">
      <w:pPr>
        <w:wordWrap w:val="0"/>
        <w:spacing w:line="360" w:lineRule="auto"/>
        <w:ind w:firstLine="480" w:firstLineChars="200"/>
        <w:rPr>
          <w:color w:val="auto"/>
          <w:szCs w:val="24"/>
        </w:rPr>
      </w:pPr>
      <w:r>
        <w:rPr>
          <w:rFonts w:hint="eastAsia"/>
          <w:color w:val="auto"/>
          <w:szCs w:val="24"/>
        </w:rPr>
        <w:t>……</w:t>
      </w:r>
    </w:p>
    <w:p w14:paraId="4B6A8B60">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FB0293B">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619FB853">
      <w:pPr>
        <w:wordWrap w:val="0"/>
        <w:spacing w:line="360" w:lineRule="auto"/>
        <w:ind w:left="1091" w:hanging="1091" w:hangingChars="453"/>
        <w:jc w:val="left"/>
        <w:rPr>
          <w:b/>
          <w:bCs/>
          <w:color w:val="auto"/>
          <w:szCs w:val="24"/>
        </w:rPr>
      </w:pPr>
    </w:p>
    <w:p w14:paraId="36D9D6B8">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3B159AF7">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1E4D39F8">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467C6B58">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ADF6">
      <w:pPr>
        <w:pStyle w:val="5"/>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-2：残疾人福利性单位声明函（工程</w:t>
      </w:r>
      <w:r>
        <w:rPr>
          <w:rFonts w:ascii="宋体" w:hAnsi="宋体" w:eastAsia="宋体"/>
          <w:color w:val="auto"/>
          <w:sz w:val="24"/>
          <w:szCs w:val="24"/>
        </w:rPr>
        <w:t>或</w:t>
      </w:r>
      <w:r>
        <w:rPr>
          <w:rFonts w:hint="eastAsia" w:ascii="宋体" w:hAnsi="宋体" w:eastAsia="宋体"/>
          <w:color w:val="auto"/>
          <w:sz w:val="24"/>
          <w:szCs w:val="24"/>
        </w:rPr>
        <w:t>服务）</w:t>
      </w:r>
    </w:p>
    <w:p w14:paraId="2E9E729C">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w:t>
      </w:r>
      <w:r>
        <w:rPr>
          <w:rFonts w:hint="eastAsia"/>
          <w:color w:val="auto"/>
          <w:szCs w:val="24"/>
        </w:rPr>
        <w:t>或服务）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残疾人福利性单位承建</w:t>
      </w:r>
      <w:r>
        <w:rPr>
          <w:b/>
          <w:color w:val="auto"/>
          <w:szCs w:val="24"/>
        </w:rPr>
        <w:t>（或</w:t>
      </w:r>
      <w:r>
        <w:rPr>
          <w:rFonts w:hint="eastAsia"/>
          <w:b/>
          <w:color w:val="auto"/>
          <w:szCs w:val="24"/>
        </w:rPr>
        <w:t>承接）</w:t>
      </w:r>
      <w:r>
        <w:rPr>
          <w:rFonts w:hint="eastAsia"/>
          <w:color w:val="auto"/>
          <w:szCs w:val="24"/>
        </w:rPr>
        <w:t>。相关企业（含联合体中的残疾人福利性单位、签订分包意向协议的残疾人福利性单位）的具体情况如下：</w:t>
      </w:r>
    </w:p>
    <w:p w14:paraId="02ECDC79">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44529732">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617D690A">
      <w:pPr>
        <w:wordWrap w:val="0"/>
        <w:spacing w:line="360" w:lineRule="auto"/>
        <w:ind w:firstLine="480" w:firstLineChars="200"/>
        <w:rPr>
          <w:color w:val="auto"/>
          <w:szCs w:val="24"/>
        </w:rPr>
      </w:pPr>
      <w:r>
        <w:rPr>
          <w:rFonts w:hint="eastAsia"/>
          <w:color w:val="auto"/>
          <w:szCs w:val="24"/>
        </w:rPr>
        <w:t>……</w:t>
      </w:r>
    </w:p>
    <w:p w14:paraId="5CE2CC0D">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540461AD">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7DF94FBC">
      <w:pPr>
        <w:wordWrap w:val="0"/>
        <w:spacing w:line="360" w:lineRule="auto"/>
        <w:ind w:left="1091" w:hanging="1087" w:hangingChars="453"/>
        <w:jc w:val="left"/>
        <w:rPr>
          <w:b/>
          <w:color w:val="auto"/>
          <w:szCs w:val="21"/>
          <w:lang w:val="zh-CN"/>
        </w:rPr>
      </w:pPr>
    </w:p>
    <w:p w14:paraId="0BB81B98">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5F013E7D">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49161015">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4FF1953A">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B1645FC">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14:paraId="71C02CAE">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14:paraId="315EF0C5">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14:paraId="5B7FEA3C">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14:paraId="3CD8FCF6">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6"/>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14:paraId="6C24D73C">
      <w:pPr>
        <w:pStyle w:val="11"/>
        <w:spacing w:line="360" w:lineRule="auto"/>
        <w:rPr>
          <w:color w:val="auto"/>
        </w:rPr>
      </w:pPr>
    </w:p>
    <w:p w14:paraId="03557474">
      <w:pPr>
        <w:pStyle w:val="11"/>
        <w:spacing w:line="360" w:lineRule="auto"/>
        <w:rPr>
          <w:color w:val="auto"/>
        </w:rPr>
      </w:pPr>
    </w:p>
    <w:p w14:paraId="5069EAF9">
      <w:pPr>
        <w:rPr>
          <w:color w:val="auto"/>
        </w:rPr>
      </w:pPr>
    </w:p>
    <w:p w14:paraId="1D664AC5">
      <w:pPr>
        <w:pStyle w:val="23"/>
        <w:rPr>
          <w:color w:val="auto"/>
        </w:rPr>
      </w:pPr>
    </w:p>
    <w:p w14:paraId="07D1357F">
      <w:pPr>
        <w:rPr>
          <w:color w:val="auto"/>
        </w:rPr>
      </w:pPr>
    </w:p>
    <w:p w14:paraId="4AA3AB3D">
      <w:pPr>
        <w:pStyle w:val="23"/>
        <w:rPr>
          <w:color w:val="auto"/>
        </w:rPr>
      </w:pPr>
    </w:p>
    <w:p w14:paraId="64150C7F">
      <w:pPr>
        <w:rPr>
          <w:color w:val="auto"/>
        </w:rPr>
      </w:pPr>
    </w:p>
    <w:p w14:paraId="758DE074">
      <w:pPr>
        <w:pStyle w:val="23"/>
        <w:rPr>
          <w:color w:val="auto"/>
        </w:rPr>
      </w:pPr>
    </w:p>
    <w:p w14:paraId="139B3ADF">
      <w:pPr>
        <w:rPr>
          <w:color w:val="auto"/>
        </w:rPr>
      </w:pPr>
    </w:p>
    <w:p w14:paraId="736B66C8">
      <w:pPr>
        <w:pStyle w:val="23"/>
        <w:rPr>
          <w:color w:val="auto"/>
        </w:rPr>
      </w:pPr>
    </w:p>
    <w:p w14:paraId="6E5B1934">
      <w:pPr>
        <w:rPr>
          <w:color w:val="auto"/>
        </w:rPr>
      </w:pPr>
    </w:p>
    <w:p w14:paraId="0FB1750E">
      <w:pPr>
        <w:pStyle w:val="23"/>
        <w:rPr>
          <w:color w:val="auto"/>
        </w:rPr>
      </w:pPr>
    </w:p>
    <w:p w14:paraId="2E2B7AAA">
      <w:pPr>
        <w:rPr>
          <w:color w:val="auto"/>
        </w:rPr>
      </w:pPr>
    </w:p>
    <w:p w14:paraId="540C12C5">
      <w:pPr>
        <w:pStyle w:val="23"/>
        <w:rPr>
          <w:color w:val="auto"/>
        </w:rPr>
      </w:pPr>
    </w:p>
    <w:p w14:paraId="162D2215">
      <w:pPr>
        <w:rPr>
          <w:color w:val="auto"/>
        </w:rPr>
      </w:pPr>
    </w:p>
    <w:p w14:paraId="7A1659C6">
      <w:pPr>
        <w:pStyle w:val="23"/>
        <w:rPr>
          <w:color w:val="auto"/>
        </w:rPr>
      </w:pPr>
    </w:p>
    <w:p w14:paraId="73638BCF">
      <w:pPr>
        <w:rPr>
          <w:color w:val="auto"/>
        </w:rPr>
      </w:pPr>
    </w:p>
    <w:p w14:paraId="4AC06C47">
      <w:pPr>
        <w:pStyle w:val="23"/>
        <w:rPr>
          <w:color w:val="auto"/>
        </w:rPr>
      </w:pPr>
    </w:p>
    <w:p w14:paraId="3AFD46E0">
      <w:pPr>
        <w:rPr>
          <w:color w:val="auto"/>
        </w:rPr>
      </w:pPr>
    </w:p>
    <w:p w14:paraId="74D83D6F">
      <w:pPr>
        <w:pStyle w:val="23"/>
        <w:rPr>
          <w:color w:val="auto"/>
        </w:rPr>
      </w:pPr>
    </w:p>
    <w:p w14:paraId="7BB04061">
      <w:pPr>
        <w:rPr>
          <w:color w:val="auto"/>
        </w:rPr>
      </w:pPr>
    </w:p>
    <w:p w14:paraId="53EB9DDB">
      <w:pPr>
        <w:pStyle w:val="23"/>
        <w:rPr>
          <w:color w:val="auto"/>
        </w:rPr>
      </w:pPr>
    </w:p>
    <w:p w14:paraId="1A213F1D">
      <w:pPr>
        <w:rPr>
          <w:color w:val="auto"/>
        </w:rPr>
      </w:pPr>
    </w:p>
    <w:p w14:paraId="2C7B910D">
      <w:pPr>
        <w:pStyle w:val="23"/>
        <w:rPr>
          <w:color w:val="auto"/>
        </w:rPr>
      </w:pPr>
    </w:p>
    <w:p w14:paraId="030C38AD">
      <w:pPr>
        <w:rPr>
          <w:color w:val="auto"/>
        </w:rPr>
      </w:pPr>
    </w:p>
    <w:p w14:paraId="51F52CA8">
      <w:pPr>
        <w:pStyle w:val="2"/>
        <w:numPr>
          <w:ilvl w:val="0"/>
          <w:numId w:val="52"/>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1" w:name="_Toc122527553"/>
      <w:bookmarkStart w:id="482" w:name="_Toc117244382"/>
      <w:bookmarkStart w:id="483" w:name="_Toc117244497"/>
      <w:r>
        <w:rPr>
          <w:rFonts w:hint="eastAsia"/>
          <w:color w:val="auto"/>
          <w:sz w:val="24"/>
          <w:szCs w:val="21"/>
        </w:rPr>
        <w:t>特定</w:t>
      </w:r>
      <w:r>
        <w:rPr>
          <w:rFonts w:hint="eastAsia" w:ascii="宋体" w:hAnsi="宋体" w:eastAsia="宋体" w:cs="Times New Roman"/>
          <w:color w:val="auto"/>
          <w:sz w:val="24"/>
          <w:szCs w:val="24"/>
          <w:lang w:val="zh-CN"/>
        </w:rPr>
        <w:t>资格要求的证明材料</w:t>
      </w:r>
      <w:bookmarkEnd w:id="481"/>
    </w:p>
    <w:p w14:paraId="41FF4DA7">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2"/>
      <w:bookmarkEnd w:id="483"/>
    </w:p>
    <w:p w14:paraId="24010232">
      <w:pPr>
        <w:spacing w:line="360" w:lineRule="auto"/>
        <w:rPr>
          <w:color w:val="auto"/>
          <w:lang w:val="zh-CN"/>
        </w:rPr>
      </w:pPr>
    </w:p>
    <w:p w14:paraId="643DD4DF">
      <w:pPr>
        <w:pStyle w:val="11"/>
        <w:spacing w:line="360" w:lineRule="auto"/>
        <w:rPr>
          <w:color w:val="auto"/>
          <w:lang w:val="zh-CN"/>
        </w:rPr>
      </w:pPr>
    </w:p>
    <w:p w14:paraId="790DAF7C">
      <w:pPr>
        <w:rPr>
          <w:color w:val="auto"/>
          <w:lang w:val="zh-CN"/>
        </w:rPr>
      </w:pPr>
    </w:p>
    <w:p w14:paraId="71DCF831">
      <w:pPr>
        <w:pStyle w:val="23"/>
        <w:rPr>
          <w:color w:val="auto"/>
          <w:lang w:val="zh-CN"/>
        </w:rPr>
      </w:pPr>
    </w:p>
    <w:p w14:paraId="4A1F728F">
      <w:pPr>
        <w:rPr>
          <w:color w:val="auto"/>
          <w:lang w:val="zh-CN"/>
        </w:rPr>
      </w:pPr>
    </w:p>
    <w:p w14:paraId="2EF7499C">
      <w:pPr>
        <w:pStyle w:val="23"/>
        <w:rPr>
          <w:color w:val="auto"/>
          <w:lang w:val="zh-CN"/>
        </w:rPr>
      </w:pPr>
    </w:p>
    <w:p w14:paraId="1547932C">
      <w:pPr>
        <w:rPr>
          <w:color w:val="auto"/>
          <w:lang w:val="zh-CN"/>
        </w:rPr>
      </w:pPr>
    </w:p>
    <w:p w14:paraId="6CBF9882">
      <w:pPr>
        <w:pStyle w:val="23"/>
        <w:rPr>
          <w:color w:val="auto"/>
          <w:lang w:val="zh-CN"/>
        </w:rPr>
      </w:pPr>
    </w:p>
    <w:p w14:paraId="1B6255A9">
      <w:pPr>
        <w:rPr>
          <w:color w:val="auto"/>
          <w:lang w:val="zh-CN"/>
        </w:rPr>
      </w:pPr>
    </w:p>
    <w:p w14:paraId="5E035148">
      <w:pPr>
        <w:pStyle w:val="23"/>
        <w:rPr>
          <w:color w:val="auto"/>
          <w:lang w:val="zh-CN"/>
        </w:rPr>
      </w:pPr>
    </w:p>
    <w:p w14:paraId="4819007D">
      <w:pPr>
        <w:rPr>
          <w:color w:val="auto"/>
          <w:lang w:val="zh-CN"/>
        </w:rPr>
      </w:pPr>
    </w:p>
    <w:p w14:paraId="2BC6CAF9">
      <w:pPr>
        <w:pStyle w:val="23"/>
        <w:rPr>
          <w:color w:val="auto"/>
          <w:lang w:val="zh-CN"/>
        </w:rPr>
      </w:pPr>
    </w:p>
    <w:p w14:paraId="0690496D">
      <w:pPr>
        <w:rPr>
          <w:color w:val="auto"/>
          <w:lang w:val="zh-CN"/>
        </w:rPr>
      </w:pPr>
    </w:p>
    <w:p w14:paraId="2B473178">
      <w:pPr>
        <w:pStyle w:val="23"/>
        <w:rPr>
          <w:color w:val="auto"/>
          <w:lang w:val="zh-CN"/>
        </w:rPr>
      </w:pPr>
    </w:p>
    <w:p w14:paraId="6F4CADCB">
      <w:pPr>
        <w:rPr>
          <w:color w:val="auto"/>
          <w:lang w:val="zh-CN"/>
        </w:rPr>
      </w:pPr>
    </w:p>
    <w:p w14:paraId="4105F557">
      <w:pPr>
        <w:pStyle w:val="23"/>
        <w:rPr>
          <w:color w:val="auto"/>
          <w:lang w:val="zh-CN"/>
        </w:rPr>
      </w:pPr>
    </w:p>
    <w:p w14:paraId="10424027">
      <w:pPr>
        <w:rPr>
          <w:color w:val="auto"/>
          <w:lang w:val="zh-CN"/>
        </w:rPr>
      </w:pPr>
    </w:p>
    <w:p w14:paraId="490AF482">
      <w:pPr>
        <w:pStyle w:val="23"/>
        <w:rPr>
          <w:color w:val="auto"/>
          <w:lang w:val="zh-CN"/>
        </w:rPr>
      </w:pPr>
    </w:p>
    <w:p w14:paraId="3CB5A5FB">
      <w:pPr>
        <w:rPr>
          <w:color w:val="auto"/>
          <w:lang w:val="zh-CN"/>
        </w:rPr>
      </w:pPr>
    </w:p>
    <w:p w14:paraId="746D9B7C">
      <w:pPr>
        <w:pStyle w:val="23"/>
        <w:rPr>
          <w:color w:val="auto"/>
          <w:lang w:val="zh-CN"/>
        </w:rPr>
      </w:pPr>
    </w:p>
    <w:p w14:paraId="287937AA">
      <w:pPr>
        <w:rPr>
          <w:color w:val="auto"/>
          <w:lang w:val="zh-CN"/>
        </w:rPr>
      </w:pPr>
    </w:p>
    <w:p w14:paraId="6C63512B">
      <w:pPr>
        <w:pStyle w:val="23"/>
        <w:rPr>
          <w:color w:val="auto"/>
          <w:lang w:val="zh-CN"/>
        </w:rPr>
      </w:pPr>
    </w:p>
    <w:p w14:paraId="1A0094E2">
      <w:pPr>
        <w:rPr>
          <w:color w:val="auto"/>
          <w:lang w:val="zh-CN"/>
        </w:rPr>
      </w:pPr>
    </w:p>
    <w:p w14:paraId="48C04692">
      <w:pPr>
        <w:pStyle w:val="23"/>
        <w:rPr>
          <w:color w:val="auto"/>
          <w:lang w:val="zh-CN"/>
        </w:rPr>
      </w:pPr>
    </w:p>
    <w:p w14:paraId="10121847">
      <w:pPr>
        <w:rPr>
          <w:color w:val="auto"/>
          <w:lang w:val="zh-CN"/>
        </w:rPr>
      </w:pPr>
    </w:p>
    <w:p w14:paraId="653C7E68">
      <w:pPr>
        <w:pStyle w:val="23"/>
        <w:rPr>
          <w:color w:val="auto"/>
          <w:lang w:val="zh-CN"/>
        </w:rPr>
      </w:pPr>
    </w:p>
    <w:p w14:paraId="0879E7A9">
      <w:pPr>
        <w:rPr>
          <w:color w:val="auto"/>
          <w:lang w:val="zh-CN"/>
        </w:rPr>
      </w:pPr>
    </w:p>
    <w:p w14:paraId="69CBB0F3">
      <w:pPr>
        <w:pStyle w:val="23"/>
        <w:rPr>
          <w:color w:val="auto"/>
          <w:lang w:val="zh-CN"/>
        </w:rPr>
      </w:pPr>
    </w:p>
    <w:p w14:paraId="4A1304E3">
      <w:pPr>
        <w:pStyle w:val="11"/>
        <w:spacing w:line="360" w:lineRule="auto"/>
        <w:rPr>
          <w:color w:val="auto"/>
          <w:lang w:val="zh-CN"/>
        </w:rPr>
      </w:pPr>
    </w:p>
    <w:p w14:paraId="781B9265">
      <w:pPr>
        <w:pStyle w:val="2"/>
        <w:numPr>
          <w:ilvl w:val="0"/>
          <w:numId w:val="52"/>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4" w:name="_Toc122527554"/>
      <w:bookmarkStart w:id="485" w:name="_Toc117244383"/>
      <w:bookmarkStart w:id="486" w:name="_Toc117244498"/>
      <w:r>
        <w:rPr>
          <w:rFonts w:hint="eastAsia" w:ascii="宋体" w:hAnsi="宋体" w:eastAsia="宋体" w:cs="Courier New"/>
          <w:color w:val="auto"/>
          <w:sz w:val="24"/>
          <w:szCs w:val="24"/>
        </w:rPr>
        <w:t>供应商认为需要的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84"/>
    </w:p>
    <w:p w14:paraId="7D88FD43">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85"/>
      <w:bookmarkEnd w:id="486"/>
    </w:p>
    <w:p w14:paraId="624938D1">
      <w:pPr>
        <w:pStyle w:val="11"/>
        <w:wordWrap w:val="0"/>
        <w:spacing w:line="360" w:lineRule="auto"/>
        <w:rPr>
          <w:color w:val="auto"/>
        </w:rPr>
        <w:sectPr>
          <w:pgSz w:w="11906" w:h="16838"/>
          <w:pgMar w:top="1134" w:right="1191" w:bottom="1134" w:left="1191" w:header="851" w:footer="992" w:gutter="0"/>
          <w:cols w:space="425" w:num="1"/>
          <w:docGrid w:type="linesAndChars" w:linePitch="312" w:charSpace="0"/>
        </w:sectPr>
      </w:pPr>
    </w:p>
    <w:p w14:paraId="29265C65">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87" w:name="_Toc107561307"/>
      <w:bookmarkStart w:id="488" w:name="_Toc117244386"/>
      <w:bookmarkStart w:id="489" w:name="_Toc122527555"/>
      <w:bookmarkStart w:id="490" w:name="_Toc117244501"/>
      <w:r>
        <w:rPr>
          <w:rFonts w:hint="eastAsia" w:ascii="宋体" w:hAnsi="宋体" w:eastAsia="宋体"/>
          <w:color w:val="auto"/>
          <w:sz w:val="24"/>
          <w:szCs w:val="24"/>
        </w:rPr>
        <w:t>商务</w:t>
      </w:r>
      <w:r>
        <w:rPr>
          <w:rFonts w:hint="eastAsia"/>
          <w:color w:val="auto"/>
          <w:sz w:val="24"/>
          <w:szCs w:val="21"/>
        </w:rPr>
        <w:t>要求</w:t>
      </w:r>
      <w:r>
        <w:rPr>
          <w:rFonts w:hint="eastAsia" w:ascii="宋体" w:hAnsi="宋体" w:eastAsia="宋体"/>
          <w:color w:val="auto"/>
          <w:sz w:val="24"/>
          <w:szCs w:val="24"/>
        </w:rPr>
        <w:t>响应偏离说明表</w:t>
      </w:r>
      <w:bookmarkEnd w:id="487"/>
      <w:bookmarkEnd w:id="488"/>
      <w:bookmarkEnd w:id="489"/>
      <w:bookmarkEnd w:id="490"/>
    </w:p>
    <w:p w14:paraId="1370485D">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071F21BC">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6B413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438F8A4F">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竞争性磋商文件商务要求</w:t>
            </w:r>
          </w:p>
        </w:tc>
        <w:tc>
          <w:tcPr>
            <w:tcW w:w="1265" w:type="pct"/>
            <w:vMerge w:val="restart"/>
            <w:shd w:val="pct10" w:color="C3BD96" w:themeColor="background2" w:themeShade="BF" w:fill="DDD9C4" w:themeFill="background2" w:themeFillShade="E6"/>
            <w:vAlign w:val="center"/>
          </w:tcPr>
          <w:p w14:paraId="5D55180F">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14:paraId="18EF1BE9">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14:paraId="2ECD883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4663C6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32B1224D">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25C49D91">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38DC74F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14:paraId="787A9A13">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14:paraId="78306298">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14:paraId="4A22D197">
            <w:pPr>
              <w:wordWrap w:val="0"/>
              <w:spacing w:before="100" w:beforeAutospacing="1" w:after="100" w:afterAutospacing="1" w:line="360" w:lineRule="auto"/>
              <w:ind w:left="-60" w:leftChars="-25" w:right="-60" w:rightChars="-25"/>
              <w:jc w:val="center"/>
              <w:rPr>
                <w:rFonts w:cs="仿宋_GB2312"/>
                <w:color w:val="auto"/>
                <w:szCs w:val="24"/>
              </w:rPr>
            </w:pPr>
          </w:p>
        </w:tc>
      </w:tr>
      <w:tr w14:paraId="38475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0A7462D2">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1C048407">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7BB49F9F">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14:paraId="46A0EA34">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14:paraId="0E3F1C48">
            <w:pPr>
              <w:wordWrap w:val="0"/>
              <w:spacing w:line="360" w:lineRule="auto"/>
              <w:jc w:val="center"/>
              <w:rPr>
                <w:rFonts w:cs="仿宋_GB2312"/>
                <w:color w:val="auto"/>
                <w:szCs w:val="24"/>
              </w:rPr>
            </w:pPr>
          </w:p>
        </w:tc>
        <w:tc>
          <w:tcPr>
            <w:tcW w:w="616" w:type="pct"/>
            <w:tcBorders>
              <w:bottom w:val="single" w:color="auto" w:sz="4" w:space="0"/>
            </w:tcBorders>
            <w:vAlign w:val="center"/>
          </w:tcPr>
          <w:p w14:paraId="2E22A3E3">
            <w:pPr>
              <w:wordWrap w:val="0"/>
              <w:spacing w:line="360" w:lineRule="auto"/>
              <w:jc w:val="center"/>
              <w:rPr>
                <w:rFonts w:cs="仿宋_GB2312"/>
                <w:color w:val="auto"/>
                <w:szCs w:val="24"/>
              </w:rPr>
            </w:pPr>
          </w:p>
        </w:tc>
      </w:tr>
      <w:tr w14:paraId="3466B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2179A746">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6D3976CA">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F8FA964">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14:paraId="68BE5354">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14:paraId="13F600D2">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FFD0BA3">
            <w:pPr>
              <w:wordWrap w:val="0"/>
              <w:spacing w:line="360" w:lineRule="auto"/>
              <w:jc w:val="center"/>
              <w:rPr>
                <w:rFonts w:cs="仿宋_GB2312"/>
                <w:color w:val="auto"/>
                <w:szCs w:val="24"/>
              </w:rPr>
            </w:pPr>
          </w:p>
        </w:tc>
      </w:tr>
      <w:tr w14:paraId="10F2A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0E86B77C">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554557D7">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85E066C">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14:paraId="4A57872D">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14:paraId="1E519DA8">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2748F3D">
            <w:pPr>
              <w:wordWrap w:val="0"/>
              <w:spacing w:line="360" w:lineRule="auto"/>
              <w:jc w:val="center"/>
              <w:rPr>
                <w:rFonts w:cs="仿宋_GB2312"/>
                <w:color w:val="auto"/>
                <w:szCs w:val="24"/>
              </w:rPr>
            </w:pPr>
          </w:p>
        </w:tc>
      </w:tr>
      <w:tr w14:paraId="44468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559DE3C1">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2BA39C27">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2E866F68">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753F76BD">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34B174DB">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15DD5C0">
            <w:pPr>
              <w:wordWrap w:val="0"/>
              <w:spacing w:line="360" w:lineRule="auto"/>
              <w:jc w:val="left"/>
              <w:rPr>
                <w:rFonts w:cs="仿宋_GB2312"/>
                <w:color w:val="auto"/>
                <w:szCs w:val="24"/>
              </w:rPr>
            </w:pPr>
            <w:r>
              <w:rPr>
                <w:rFonts w:hint="eastAsia" w:cs="宋体"/>
                <w:color w:val="auto"/>
                <w:szCs w:val="24"/>
              </w:rPr>
              <w:t>……</w:t>
            </w:r>
          </w:p>
        </w:tc>
      </w:tr>
      <w:tr w14:paraId="07129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7259318">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7CE438A5">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5742E07E">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14:paraId="306B31FD">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14:paraId="3F2E97BF">
            <w:pPr>
              <w:wordWrap w:val="0"/>
              <w:spacing w:line="360" w:lineRule="auto"/>
              <w:jc w:val="center"/>
              <w:rPr>
                <w:rFonts w:cs="仿宋_GB2312"/>
                <w:color w:val="auto"/>
                <w:szCs w:val="24"/>
              </w:rPr>
            </w:pPr>
          </w:p>
        </w:tc>
        <w:tc>
          <w:tcPr>
            <w:tcW w:w="616" w:type="pct"/>
            <w:tcBorders>
              <w:bottom w:val="single" w:color="auto" w:sz="4" w:space="0"/>
            </w:tcBorders>
            <w:vAlign w:val="center"/>
          </w:tcPr>
          <w:p w14:paraId="3001609A">
            <w:pPr>
              <w:wordWrap w:val="0"/>
              <w:spacing w:line="360" w:lineRule="auto"/>
              <w:jc w:val="center"/>
              <w:rPr>
                <w:rFonts w:cs="仿宋_GB2312"/>
                <w:color w:val="auto"/>
                <w:szCs w:val="24"/>
              </w:rPr>
            </w:pPr>
          </w:p>
        </w:tc>
      </w:tr>
      <w:tr w14:paraId="42C8B8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52B5E336">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7322BF1C">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08DBD4D">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14:paraId="28B94F15">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14:paraId="60FC63E8">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0B388A29">
            <w:pPr>
              <w:wordWrap w:val="0"/>
              <w:spacing w:line="360" w:lineRule="auto"/>
              <w:jc w:val="center"/>
              <w:rPr>
                <w:rFonts w:cs="仿宋_GB2312"/>
                <w:color w:val="auto"/>
                <w:szCs w:val="24"/>
              </w:rPr>
            </w:pPr>
          </w:p>
        </w:tc>
      </w:tr>
      <w:tr w14:paraId="2AF0F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4C55BEB2">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E9120E7">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B2A069">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14:paraId="110394C6">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14:paraId="776ADEC3">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52A54E94">
            <w:pPr>
              <w:wordWrap w:val="0"/>
              <w:spacing w:line="360" w:lineRule="auto"/>
              <w:jc w:val="center"/>
              <w:rPr>
                <w:rFonts w:cs="仿宋_GB2312"/>
                <w:color w:val="auto"/>
                <w:szCs w:val="24"/>
              </w:rPr>
            </w:pPr>
          </w:p>
        </w:tc>
      </w:tr>
      <w:tr w14:paraId="1B6DE6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5C69A07">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237E6528">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3A528712">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10BCAD0D">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6DBAAFC9">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1FE8E8">
            <w:pPr>
              <w:wordWrap w:val="0"/>
              <w:spacing w:line="360" w:lineRule="auto"/>
              <w:jc w:val="left"/>
              <w:rPr>
                <w:rFonts w:cs="仿宋_GB2312"/>
                <w:color w:val="auto"/>
                <w:szCs w:val="24"/>
              </w:rPr>
            </w:pPr>
            <w:r>
              <w:rPr>
                <w:rFonts w:hint="eastAsia" w:cs="宋体"/>
                <w:color w:val="auto"/>
                <w:szCs w:val="24"/>
              </w:rPr>
              <w:t>……</w:t>
            </w:r>
          </w:p>
        </w:tc>
      </w:tr>
      <w:tr w14:paraId="4BE7F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0C67784">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7051D6E3">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1A68D673">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14:paraId="1FFA8250">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14:paraId="3A320B91">
            <w:pPr>
              <w:wordWrap w:val="0"/>
              <w:spacing w:line="360" w:lineRule="auto"/>
              <w:jc w:val="center"/>
              <w:rPr>
                <w:rFonts w:cs="仿宋_GB2312"/>
                <w:color w:val="auto"/>
                <w:szCs w:val="24"/>
              </w:rPr>
            </w:pPr>
          </w:p>
        </w:tc>
        <w:tc>
          <w:tcPr>
            <w:tcW w:w="616" w:type="pct"/>
            <w:tcBorders>
              <w:bottom w:val="single" w:color="auto" w:sz="4" w:space="0"/>
            </w:tcBorders>
            <w:vAlign w:val="center"/>
          </w:tcPr>
          <w:p w14:paraId="44750865">
            <w:pPr>
              <w:wordWrap w:val="0"/>
              <w:spacing w:line="360" w:lineRule="auto"/>
              <w:jc w:val="center"/>
              <w:rPr>
                <w:rFonts w:cs="仿宋_GB2312"/>
                <w:color w:val="auto"/>
                <w:szCs w:val="24"/>
              </w:rPr>
            </w:pPr>
          </w:p>
        </w:tc>
      </w:tr>
      <w:tr w14:paraId="70D4A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694B280E">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64F872E">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9D884B2">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14:paraId="386957BA">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14:paraId="6A6EC6F3">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89069B6">
            <w:pPr>
              <w:wordWrap w:val="0"/>
              <w:spacing w:line="360" w:lineRule="auto"/>
              <w:jc w:val="center"/>
              <w:rPr>
                <w:rFonts w:cs="仿宋_GB2312"/>
                <w:color w:val="auto"/>
                <w:szCs w:val="24"/>
              </w:rPr>
            </w:pPr>
          </w:p>
        </w:tc>
      </w:tr>
      <w:tr w14:paraId="1BAE8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4191922">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607E3B9">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EEEB655">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14:paraId="7BAE1800">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14:paraId="1C37611E">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0EC5DA9F">
            <w:pPr>
              <w:wordWrap w:val="0"/>
              <w:spacing w:line="360" w:lineRule="auto"/>
              <w:jc w:val="center"/>
              <w:rPr>
                <w:rFonts w:cs="仿宋_GB2312"/>
                <w:color w:val="auto"/>
                <w:szCs w:val="24"/>
              </w:rPr>
            </w:pPr>
          </w:p>
        </w:tc>
      </w:tr>
      <w:tr w14:paraId="283D7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17F511B0">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6206504">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0F939490">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5B1246E9">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5E4DEC3C">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6CD3C131">
            <w:pPr>
              <w:wordWrap w:val="0"/>
              <w:spacing w:line="360" w:lineRule="auto"/>
              <w:jc w:val="left"/>
              <w:rPr>
                <w:rFonts w:cs="仿宋_GB2312"/>
                <w:color w:val="auto"/>
                <w:szCs w:val="24"/>
              </w:rPr>
            </w:pPr>
            <w:r>
              <w:rPr>
                <w:rFonts w:hint="eastAsia" w:cs="宋体"/>
                <w:color w:val="auto"/>
                <w:szCs w:val="24"/>
              </w:rPr>
              <w:t>……</w:t>
            </w:r>
          </w:p>
        </w:tc>
      </w:tr>
      <w:tr w14:paraId="24668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63CE94F7">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5DE46F42">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15EE0C85">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14:paraId="2747B18B">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14:paraId="2ED9431F">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14:paraId="30A22A7F">
            <w:pPr>
              <w:wordWrap w:val="0"/>
              <w:spacing w:line="360" w:lineRule="auto"/>
              <w:jc w:val="left"/>
              <w:rPr>
                <w:rFonts w:cs="仿宋_GB2312"/>
                <w:color w:val="auto"/>
                <w:szCs w:val="24"/>
              </w:rPr>
            </w:pPr>
            <w:r>
              <w:rPr>
                <w:rFonts w:hint="eastAsia" w:cs="宋体"/>
                <w:color w:val="auto"/>
                <w:szCs w:val="24"/>
              </w:rPr>
              <w:t>……</w:t>
            </w:r>
          </w:p>
        </w:tc>
      </w:tr>
    </w:tbl>
    <w:p w14:paraId="1E327EB1">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14:paraId="38F9C8CD">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4110F68A">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6761C4F9">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1F2ABD54">
      <w:pPr>
        <w:pStyle w:val="2"/>
        <w:numPr>
          <w:ilvl w:val="0"/>
          <w:numId w:val="6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14:paraId="78E0FF7A">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91" w:name="_Toc122527556"/>
      <w:bookmarkStart w:id="492" w:name="_Toc117244502"/>
      <w:bookmarkStart w:id="493" w:name="_Toc117244387"/>
      <w:bookmarkStart w:id="494" w:name="_Toc107561308"/>
      <w:r>
        <w:rPr>
          <w:rFonts w:hint="eastAsia"/>
          <w:color w:val="auto"/>
          <w:sz w:val="24"/>
          <w:szCs w:val="21"/>
        </w:rPr>
        <w:t>技术</w:t>
      </w:r>
      <w:r>
        <w:rPr>
          <w:rFonts w:hint="eastAsia" w:ascii="宋体" w:hAnsi="宋体" w:eastAsia="宋体"/>
          <w:color w:val="auto"/>
          <w:sz w:val="24"/>
          <w:szCs w:val="24"/>
        </w:rPr>
        <w:t>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91"/>
      <w:bookmarkEnd w:id="492"/>
      <w:bookmarkEnd w:id="493"/>
    </w:p>
    <w:p w14:paraId="159E0974">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389FFA12">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3C776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7FC28653">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竞争性磋商文件技术要求</w:t>
            </w:r>
          </w:p>
        </w:tc>
        <w:tc>
          <w:tcPr>
            <w:tcW w:w="1384" w:type="pct"/>
            <w:vMerge w:val="restart"/>
            <w:shd w:val="pct10" w:color="C3BD96" w:themeColor="background2" w:themeShade="BF" w:fill="DDD9C4" w:themeFill="background2" w:themeFillShade="E6"/>
            <w:vAlign w:val="center"/>
          </w:tcPr>
          <w:p w14:paraId="7BEDC89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14:paraId="078F5E09">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14:paraId="12E52411">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05345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6B9BE8FB">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18937FE9">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523CBB19">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14:paraId="3FD1BFC6">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14:paraId="674698AB">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14:paraId="054833C2">
            <w:pPr>
              <w:wordWrap w:val="0"/>
              <w:spacing w:before="100" w:beforeAutospacing="1" w:after="100" w:afterAutospacing="1" w:line="360" w:lineRule="auto"/>
              <w:ind w:left="-60" w:leftChars="-25" w:right="-60" w:rightChars="-25"/>
              <w:jc w:val="center"/>
              <w:rPr>
                <w:rFonts w:cs="仿宋_GB2312"/>
                <w:color w:val="auto"/>
                <w:szCs w:val="24"/>
              </w:rPr>
            </w:pPr>
          </w:p>
        </w:tc>
      </w:tr>
      <w:tr w14:paraId="629A7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ED27A04">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4970AF8B">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211D11DE">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14:paraId="7C4BD2CA">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14:paraId="695844B3">
            <w:pPr>
              <w:wordWrap w:val="0"/>
              <w:spacing w:line="360" w:lineRule="auto"/>
              <w:jc w:val="center"/>
              <w:rPr>
                <w:rFonts w:cs="仿宋_GB2312"/>
                <w:color w:val="auto"/>
                <w:szCs w:val="24"/>
              </w:rPr>
            </w:pPr>
          </w:p>
        </w:tc>
        <w:tc>
          <w:tcPr>
            <w:tcW w:w="623" w:type="pct"/>
            <w:tcBorders>
              <w:bottom w:val="single" w:color="auto" w:sz="4" w:space="0"/>
            </w:tcBorders>
            <w:vAlign w:val="center"/>
          </w:tcPr>
          <w:p w14:paraId="201D628B">
            <w:pPr>
              <w:wordWrap w:val="0"/>
              <w:spacing w:line="360" w:lineRule="auto"/>
              <w:jc w:val="center"/>
              <w:rPr>
                <w:rFonts w:cs="仿宋_GB2312"/>
                <w:color w:val="auto"/>
                <w:szCs w:val="24"/>
              </w:rPr>
            </w:pPr>
          </w:p>
        </w:tc>
      </w:tr>
      <w:tr w14:paraId="27929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36E08DFF">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6CDBCC18">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C331A23">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14:paraId="3BB66171">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14:paraId="5812C47F">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56EF451A">
            <w:pPr>
              <w:wordWrap w:val="0"/>
              <w:spacing w:line="360" w:lineRule="auto"/>
              <w:jc w:val="center"/>
              <w:rPr>
                <w:rFonts w:cs="仿宋_GB2312"/>
                <w:color w:val="auto"/>
                <w:szCs w:val="24"/>
              </w:rPr>
            </w:pPr>
          </w:p>
        </w:tc>
      </w:tr>
      <w:tr w14:paraId="7277C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C012256">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200BFBD4">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685E7834">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7F62F855">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6B591FBA">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46AC33AC">
            <w:pPr>
              <w:wordWrap w:val="0"/>
              <w:spacing w:line="360" w:lineRule="auto"/>
              <w:jc w:val="center"/>
              <w:rPr>
                <w:rFonts w:cs="仿宋_GB2312"/>
                <w:color w:val="auto"/>
                <w:szCs w:val="24"/>
              </w:rPr>
            </w:pPr>
            <w:r>
              <w:rPr>
                <w:rFonts w:hint="eastAsia" w:cs="宋体"/>
                <w:color w:val="auto"/>
                <w:szCs w:val="24"/>
              </w:rPr>
              <w:t>……</w:t>
            </w:r>
          </w:p>
        </w:tc>
      </w:tr>
      <w:tr w14:paraId="2E241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6C709DF8">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15030D3B">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2D5ED1E2">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14:paraId="224161F9">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14:paraId="4275DA36">
            <w:pPr>
              <w:wordWrap w:val="0"/>
              <w:spacing w:line="360" w:lineRule="auto"/>
              <w:jc w:val="center"/>
              <w:rPr>
                <w:rFonts w:cs="仿宋_GB2312"/>
                <w:color w:val="auto"/>
                <w:szCs w:val="24"/>
              </w:rPr>
            </w:pPr>
          </w:p>
        </w:tc>
        <w:tc>
          <w:tcPr>
            <w:tcW w:w="623" w:type="pct"/>
            <w:tcBorders>
              <w:bottom w:val="single" w:color="auto" w:sz="4" w:space="0"/>
            </w:tcBorders>
            <w:vAlign w:val="center"/>
          </w:tcPr>
          <w:p w14:paraId="0188D5F1">
            <w:pPr>
              <w:wordWrap w:val="0"/>
              <w:spacing w:line="360" w:lineRule="auto"/>
              <w:jc w:val="center"/>
              <w:rPr>
                <w:rFonts w:cs="仿宋_GB2312"/>
                <w:color w:val="auto"/>
                <w:szCs w:val="24"/>
              </w:rPr>
            </w:pPr>
          </w:p>
        </w:tc>
      </w:tr>
      <w:tr w14:paraId="468B9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31E3152">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36A4E211">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A1148EC">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14:paraId="1F7BF59F">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14:paraId="25EF2819">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55462261">
            <w:pPr>
              <w:wordWrap w:val="0"/>
              <w:spacing w:line="360" w:lineRule="auto"/>
              <w:jc w:val="center"/>
              <w:rPr>
                <w:rFonts w:cs="仿宋_GB2312"/>
                <w:color w:val="auto"/>
                <w:szCs w:val="24"/>
              </w:rPr>
            </w:pPr>
          </w:p>
        </w:tc>
      </w:tr>
      <w:tr w14:paraId="024AD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ABEDF88">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7182675">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784801B">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14:paraId="3B6B7CAD">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14:paraId="52764379">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06E8944A">
            <w:pPr>
              <w:wordWrap w:val="0"/>
              <w:spacing w:line="360" w:lineRule="auto"/>
              <w:jc w:val="center"/>
              <w:rPr>
                <w:rFonts w:cs="仿宋_GB2312"/>
                <w:color w:val="auto"/>
                <w:szCs w:val="24"/>
              </w:rPr>
            </w:pPr>
          </w:p>
        </w:tc>
      </w:tr>
      <w:tr w14:paraId="417D6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490095D">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719692CC">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54727380">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14933D21">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46D8174A">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7A49289">
            <w:pPr>
              <w:wordWrap w:val="0"/>
              <w:spacing w:line="360" w:lineRule="auto"/>
              <w:jc w:val="center"/>
              <w:rPr>
                <w:rFonts w:cs="仿宋_GB2312"/>
                <w:color w:val="auto"/>
                <w:szCs w:val="24"/>
              </w:rPr>
            </w:pPr>
            <w:r>
              <w:rPr>
                <w:rFonts w:hint="eastAsia" w:cs="宋体"/>
                <w:color w:val="auto"/>
                <w:szCs w:val="24"/>
              </w:rPr>
              <w:t>……</w:t>
            </w:r>
          </w:p>
        </w:tc>
      </w:tr>
      <w:tr w14:paraId="64A42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2AF30A7D">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6318F3CE">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34320864">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14:paraId="590C46C3">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14:paraId="5ADC0789">
            <w:pPr>
              <w:wordWrap w:val="0"/>
              <w:spacing w:line="360" w:lineRule="auto"/>
              <w:jc w:val="center"/>
              <w:rPr>
                <w:rFonts w:cs="仿宋_GB2312"/>
                <w:color w:val="auto"/>
                <w:szCs w:val="24"/>
              </w:rPr>
            </w:pPr>
          </w:p>
        </w:tc>
        <w:tc>
          <w:tcPr>
            <w:tcW w:w="623" w:type="pct"/>
            <w:tcBorders>
              <w:bottom w:val="single" w:color="auto" w:sz="4" w:space="0"/>
            </w:tcBorders>
            <w:vAlign w:val="center"/>
          </w:tcPr>
          <w:p w14:paraId="6D70AB44">
            <w:pPr>
              <w:wordWrap w:val="0"/>
              <w:spacing w:line="360" w:lineRule="auto"/>
              <w:jc w:val="center"/>
              <w:rPr>
                <w:rFonts w:cs="仿宋_GB2312"/>
                <w:color w:val="auto"/>
                <w:szCs w:val="24"/>
              </w:rPr>
            </w:pPr>
          </w:p>
        </w:tc>
      </w:tr>
      <w:tr w14:paraId="228A9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16FB336">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F047498">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BFB38A0">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14:paraId="4EFD4042">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14:paraId="02F2A5FE">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30524031">
            <w:pPr>
              <w:wordWrap w:val="0"/>
              <w:spacing w:line="360" w:lineRule="auto"/>
              <w:jc w:val="center"/>
              <w:rPr>
                <w:rFonts w:cs="仿宋_GB2312"/>
                <w:color w:val="auto"/>
                <w:szCs w:val="24"/>
              </w:rPr>
            </w:pPr>
          </w:p>
        </w:tc>
      </w:tr>
      <w:tr w14:paraId="6A318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08D1C34">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37D56115">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DFFE">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14:paraId="50D4ACD5">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14:paraId="293112E5">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34CE5863">
            <w:pPr>
              <w:wordWrap w:val="0"/>
              <w:spacing w:line="360" w:lineRule="auto"/>
              <w:jc w:val="center"/>
              <w:rPr>
                <w:rFonts w:cs="仿宋_GB2312"/>
                <w:color w:val="auto"/>
                <w:szCs w:val="24"/>
              </w:rPr>
            </w:pPr>
          </w:p>
        </w:tc>
      </w:tr>
      <w:tr w14:paraId="5D083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3FC6EF2">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788EEAFD">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2C4043AD">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6185BA5C">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642C4C23">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2BBEA013">
            <w:pPr>
              <w:wordWrap w:val="0"/>
              <w:spacing w:line="360" w:lineRule="auto"/>
              <w:jc w:val="center"/>
              <w:rPr>
                <w:rFonts w:cs="仿宋_GB2312"/>
                <w:color w:val="auto"/>
                <w:szCs w:val="24"/>
              </w:rPr>
            </w:pPr>
            <w:r>
              <w:rPr>
                <w:rFonts w:hint="eastAsia" w:cs="宋体"/>
                <w:color w:val="auto"/>
                <w:szCs w:val="24"/>
              </w:rPr>
              <w:t>……</w:t>
            </w:r>
          </w:p>
        </w:tc>
      </w:tr>
      <w:tr w14:paraId="6769E5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18932A23">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72F9C343">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24BDDAFA">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14:paraId="1F9541E9">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14:paraId="18F4A9ED">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14:paraId="355BF7E1">
            <w:pPr>
              <w:wordWrap w:val="0"/>
              <w:spacing w:line="360" w:lineRule="auto"/>
              <w:jc w:val="center"/>
              <w:rPr>
                <w:rFonts w:cs="仿宋_GB2312"/>
                <w:color w:val="auto"/>
                <w:szCs w:val="24"/>
              </w:rPr>
            </w:pPr>
            <w:r>
              <w:rPr>
                <w:rFonts w:hint="eastAsia" w:cs="宋体"/>
                <w:color w:val="auto"/>
                <w:szCs w:val="24"/>
              </w:rPr>
              <w:t>……</w:t>
            </w:r>
          </w:p>
        </w:tc>
      </w:tr>
    </w:tbl>
    <w:p w14:paraId="0FB5C79C">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14:paraId="167F689E">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786A2077">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7B2D7DE5">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5E7A6498">
      <w:pPr>
        <w:widowControl/>
        <w:spacing w:line="360" w:lineRule="auto"/>
        <w:jc w:val="left"/>
        <w:rPr>
          <w:rFonts w:cstheme="majorBidi"/>
          <w:b/>
          <w:bCs/>
          <w:color w:val="auto"/>
          <w:szCs w:val="24"/>
        </w:rPr>
      </w:pPr>
      <w:r>
        <w:rPr>
          <w:color w:val="auto"/>
          <w:szCs w:val="24"/>
        </w:rPr>
        <w:br w:type="page"/>
      </w:r>
    </w:p>
    <w:bookmarkEnd w:id="494"/>
    <w:p w14:paraId="5322F376">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95" w:name="_Toc122527557"/>
      <w:bookmarkStart w:id="496" w:name="_Toc117244503"/>
      <w:bookmarkStart w:id="497" w:name="_Toc122424592"/>
      <w:bookmarkStart w:id="498" w:name="_Toc117244388"/>
      <w:bookmarkStart w:id="499" w:name="_Toc107561309"/>
      <w:bookmarkStart w:id="500" w:name="_Toc117244505"/>
      <w:bookmarkStart w:id="501" w:name="_Toc117244390"/>
      <w:r>
        <w:rPr>
          <w:rFonts w:hint="eastAsia" w:ascii="宋体" w:hAnsi="宋体" w:eastAsia="宋体"/>
          <w:color w:val="auto"/>
          <w:sz w:val="24"/>
          <w:szCs w:val="24"/>
        </w:rPr>
        <w:t>商务评分对照表</w:t>
      </w:r>
      <w:bookmarkEnd w:id="495"/>
      <w:bookmarkEnd w:id="496"/>
      <w:bookmarkEnd w:id="497"/>
      <w:bookmarkEnd w:id="498"/>
    </w:p>
    <w:p w14:paraId="3945F780">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14A63F32">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6CB0C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5CA20CF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竞争性磋商文件商务评分内容</w:t>
            </w:r>
          </w:p>
        </w:tc>
        <w:tc>
          <w:tcPr>
            <w:tcW w:w="1376" w:type="pct"/>
            <w:vMerge w:val="restart"/>
            <w:shd w:val="pct10" w:color="C3BD96" w:themeColor="background2" w:themeShade="BF" w:fill="DDD9C4" w:themeFill="background2" w:themeFillShade="E6"/>
            <w:vAlign w:val="center"/>
          </w:tcPr>
          <w:p w14:paraId="1387BE7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618" w:type="pct"/>
            <w:vMerge w:val="restart"/>
            <w:shd w:val="pct10" w:color="C3BD96" w:themeColor="background2" w:themeShade="BF" w:fill="DDD9C4" w:themeFill="background2" w:themeFillShade="E6"/>
            <w:vAlign w:val="center"/>
          </w:tcPr>
          <w:p w14:paraId="67431D9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3BD96" w:themeColor="background2" w:themeShade="BF" w:fill="DDD9C4" w:themeFill="background2" w:themeFillShade="E6"/>
            <w:vAlign w:val="center"/>
          </w:tcPr>
          <w:p w14:paraId="2DCC377F">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58E25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24F56EED">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28026654">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505C3260">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0340456E">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7C48837A">
            <w:pPr>
              <w:wordWrap w:val="0"/>
              <w:spacing w:before="100" w:beforeAutospacing="1" w:after="100" w:afterAutospacing="1" w:line="360" w:lineRule="auto"/>
              <w:ind w:left="-60" w:leftChars="-25" w:right="-60" w:rightChars="-25"/>
              <w:jc w:val="center"/>
              <w:rPr>
                <w:rFonts w:cs="仿宋_GB2312"/>
                <w:color w:val="auto"/>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62505A7F">
            <w:pPr>
              <w:wordWrap w:val="0"/>
              <w:spacing w:before="100" w:beforeAutospacing="1" w:after="100" w:afterAutospacing="1" w:line="360" w:lineRule="auto"/>
              <w:ind w:left="-60" w:leftChars="-25" w:right="-60" w:rightChars="-25"/>
              <w:jc w:val="center"/>
              <w:rPr>
                <w:rFonts w:cs="仿宋_GB2312"/>
                <w:color w:val="auto"/>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0B977CAE">
            <w:pPr>
              <w:wordWrap w:val="0"/>
              <w:spacing w:before="100" w:beforeAutospacing="1" w:after="100" w:afterAutospacing="1" w:line="360" w:lineRule="auto"/>
              <w:ind w:left="-60" w:leftChars="-25" w:right="-60" w:rightChars="-25"/>
              <w:jc w:val="center"/>
              <w:rPr>
                <w:rFonts w:cs="仿宋_GB2312"/>
                <w:color w:val="auto"/>
                <w:szCs w:val="24"/>
              </w:rPr>
            </w:pPr>
          </w:p>
        </w:tc>
      </w:tr>
      <w:tr w14:paraId="5D8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4DFDD002">
            <w:pPr>
              <w:numPr>
                <w:ilvl w:val="0"/>
                <w:numId w:val="64"/>
              </w:numPr>
              <w:wordWrap w:val="0"/>
              <w:spacing w:line="360" w:lineRule="auto"/>
              <w:jc w:val="center"/>
              <w:rPr>
                <w:rFonts w:cs="仿宋_GB2312"/>
                <w:color w:val="auto"/>
                <w:szCs w:val="24"/>
              </w:rPr>
            </w:pPr>
          </w:p>
        </w:tc>
        <w:tc>
          <w:tcPr>
            <w:tcW w:w="615" w:type="pct"/>
            <w:tcBorders>
              <w:top w:val="single" w:color="auto" w:sz="4" w:space="0"/>
            </w:tcBorders>
            <w:vAlign w:val="center"/>
          </w:tcPr>
          <w:p w14:paraId="66E1D21E">
            <w:pPr>
              <w:wordWrap w:val="0"/>
              <w:spacing w:line="360" w:lineRule="auto"/>
              <w:jc w:val="center"/>
              <w:rPr>
                <w:rFonts w:cs="仿宋_GB2312"/>
                <w:color w:val="auto"/>
                <w:szCs w:val="24"/>
              </w:rPr>
            </w:pPr>
          </w:p>
        </w:tc>
        <w:tc>
          <w:tcPr>
            <w:tcW w:w="297" w:type="pct"/>
            <w:tcBorders>
              <w:top w:val="single" w:color="auto" w:sz="4" w:space="0"/>
            </w:tcBorders>
            <w:vAlign w:val="center"/>
          </w:tcPr>
          <w:p w14:paraId="6DFA7B6D">
            <w:pPr>
              <w:wordWrap w:val="0"/>
              <w:spacing w:line="360" w:lineRule="auto"/>
              <w:jc w:val="center"/>
              <w:rPr>
                <w:rFonts w:cs="仿宋_GB2312"/>
                <w:color w:val="auto"/>
                <w:szCs w:val="24"/>
              </w:rPr>
            </w:pPr>
          </w:p>
        </w:tc>
        <w:tc>
          <w:tcPr>
            <w:tcW w:w="1122" w:type="pct"/>
            <w:tcBorders>
              <w:top w:val="single" w:color="auto" w:sz="4" w:space="0"/>
            </w:tcBorders>
            <w:vAlign w:val="center"/>
          </w:tcPr>
          <w:p w14:paraId="276B544D">
            <w:pPr>
              <w:wordWrap w:val="0"/>
              <w:spacing w:line="360" w:lineRule="auto"/>
              <w:jc w:val="center"/>
              <w:rPr>
                <w:rFonts w:cs="仿宋_GB2312"/>
                <w:color w:val="auto"/>
                <w:szCs w:val="24"/>
              </w:rPr>
            </w:pPr>
          </w:p>
        </w:tc>
        <w:tc>
          <w:tcPr>
            <w:tcW w:w="1376" w:type="pct"/>
            <w:tcBorders>
              <w:top w:val="single" w:color="auto" w:sz="4" w:space="0"/>
            </w:tcBorders>
            <w:vAlign w:val="center"/>
          </w:tcPr>
          <w:p w14:paraId="23BDEA2F">
            <w:pPr>
              <w:wordWrap w:val="0"/>
              <w:spacing w:line="360" w:lineRule="auto"/>
              <w:jc w:val="center"/>
              <w:rPr>
                <w:rFonts w:cs="仿宋_GB2312"/>
                <w:color w:val="auto"/>
                <w:szCs w:val="24"/>
              </w:rPr>
            </w:pPr>
          </w:p>
        </w:tc>
        <w:tc>
          <w:tcPr>
            <w:tcW w:w="618" w:type="pct"/>
            <w:tcBorders>
              <w:top w:val="single" w:color="auto" w:sz="4" w:space="0"/>
            </w:tcBorders>
            <w:vAlign w:val="center"/>
          </w:tcPr>
          <w:p w14:paraId="7C73551A">
            <w:pPr>
              <w:wordWrap w:val="0"/>
              <w:spacing w:line="360" w:lineRule="auto"/>
              <w:jc w:val="center"/>
              <w:rPr>
                <w:rFonts w:cs="仿宋_GB2312"/>
                <w:color w:val="auto"/>
                <w:szCs w:val="24"/>
              </w:rPr>
            </w:pPr>
          </w:p>
        </w:tc>
        <w:tc>
          <w:tcPr>
            <w:tcW w:w="688" w:type="pct"/>
            <w:tcBorders>
              <w:top w:val="single" w:color="auto" w:sz="4" w:space="0"/>
            </w:tcBorders>
            <w:vAlign w:val="center"/>
          </w:tcPr>
          <w:p w14:paraId="3A785597">
            <w:pPr>
              <w:wordWrap w:val="0"/>
              <w:spacing w:line="360" w:lineRule="auto"/>
              <w:jc w:val="center"/>
              <w:rPr>
                <w:rFonts w:cs="仿宋_GB2312"/>
                <w:color w:val="auto"/>
                <w:szCs w:val="24"/>
              </w:rPr>
            </w:pPr>
          </w:p>
        </w:tc>
      </w:tr>
      <w:tr w14:paraId="3D72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1F056A7">
            <w:pPr>
              <w:numPr>
                <w:ilvl w:val="0"/>
                <w:numId w:val="64"/>
              </w:numPr>
              <w:wordWrap w:val="0"/>
              <w:spacing w:line="360" w:lineRule="auto"/>
              <w:jc w:val="center"/>
              <w:rPr>
                <w:rFonts w:cs="仿宋_GB2312"/>
                <w:color w:val="auto"/>
                <w:szCs w:val="24"/>
              </w:rPr>
            </w:pPr>
          </w:p>
        </w:tc>
        <w:tc>
          <w:tcPr>
            <w:tcW w:w="615" w:type="pct"/>
            <w:vAlign w:val="center"/>
          </w:tcPr>
          <w:p w14:paraId="34E895CD">
            <w:pPr>
              <w:wordWrap w:val="0"/>
              <w:spacing w:line="360" w:lineRule="auto"/>
              <w:jc w:val="center"/>
              <w:rPr>
                <w:rFonts w:cs="仿宋_GB2312"/>
                <w:color w:val="auto"/>
                <w:szCs w:val="24"/>
              </w:rPr>
            </w:pPr>
          </w:p>
        </w:tc>
        <w:tc>
          <w:tcPr>
            <w:tcW w:w="297" w:type="pct"/>
            <w:vAlign w:val="center"/>
          </w:tcPr>
          <w:p w14:paraId="111BEEDC">
            <w:pPr>
              <w:wordWrap w:val="0"/>
              <w:spacing w:line="360" w:lineRule="auto"/>
              <w:jc w:val="center"/>
              <w:rPr>
                <w:rFonts w:cs="仿宋_GB2312"/>
                <w:color w:val="auto"/>
                <w:szCs w:val="24"/>
              </w:rPr>
            </w:pPr>
          </w:p>
        </w:tc>
        <w:tc>
          <w:tcPr>
            <w:tcW w:w="1122" w:type="pct"/>
            <w:vAlign w:val="center"/>
          </w:tcPr>
          <w:p w14:paraId="5E2698F1">
            <w:pPr>
              <w:wordWrap w:val="0"/>
              <w:spacing w:line="360" w:lineRule="auto"/>
              <w:jc w:val="center"/>
              <w:rPr>
                <w:rFonts w:cs="仿宋_GB2312"/>
                <w:color w:val="auto"/>
                <w:szCs w:val="24"/>
              </w:rPr>
            </w:pPr>
          </w:p>
        </w:tc>
        <w:tc>
          <w:tcPr>
            <w:tcW w:w="1376" w:type="pct"/>
            <w:vAlign w:val="center"/>
          </w:tcPr>
          <w:p w14:paraId="77342BE3">
            <w:pPr>
              <w:wordWrap w:val="0"/>
              <w:spacing w:line="360" w:lineRule="auto"/>
              <w:jc w:val="center"/>
              <w:rPr>
                <w:rFonts w:cs="仿宋_GB2312"/>
                <w:color w:val="auto"/>
                <w:szCs w:val="24"/>
              </w:rPr>
            </w:pPr>
          </w:p>
        </w:tc>
        <w:tc>
          <w:tcPr>
            <w:tcW w:w="618" w:type="pct"/>
            <w:vAlign w:val="center"/>
          </w:tcPr>
          <w:p w14:paraId="39F4A81E">
            <w:pPr>
              <w:wordWrap w:val="0"/>
              <w:spacing w:line="360" w:lineRule="auto"/>
              <w:jc w:val="center"/>
              <w:rPr>
                <w:rFonts w:cs="仿宋_GB2312"/>
                <w:color w:val="auto"/>
                <w:szCs w:val="24"/>
              </w:rPr>
            </w:pPr>
          </w:p>
        </w:tc>
        <w:tc>
          <w:tcPr>
            <w:tcW w:w="688" w:type="pct"/>
            <w:vAlign w:val="center"/>
          </w:tcPr>
          <w:p w14:paraId="3DE8C82B">
            <w:pPr>
              <w:wordWrap w:val="0"/>
              <w:spacing w:line="360" w:lineRule="auto"/>
              <w:jc w:val="center"/>
              <w:rPr>
                <w:rFonts w:cs="仿宋_GB2312"/>
                <w:color w:val="auto"/>
                <w:szCs w:val="24"/>
              </w:rPr>
            </w:pPr>
          </w:p>
        </w:tc>
      </w:tr>
      <w:tr w14:paraId="69F7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4E02ED5">
            <w:pPr>
              <w:numPr>
                <w:ilvl w:val="0"/>
                <w:numId w:val="64"/>
              </w:numPr>
              <w:wordWrap w:val="0"/>
              <w:spacing w:line="360" w:lineRule="auto"/>
              <w:jc w:val="center"/>
              <w:rPr>
                <w:rFonts w:cs="仿宋_GB2312"/>
                <w:color w:val="auto"/>
                <w:szCs w:val="24"/>
              </w:rPr>
            </w:pPr>
          </w:p>
        </w:tc>
        <w:tc>
          <w:tcPr>
            <w:tcW w:w="615" w:type="pct"/>
            <w:vAlign w:val="center"/>
          </w:tcPr>
          <w:p w14:paraId="0BACFF7A">
            <w:pPr>
              <w:wordWrap w:val="0"/>
              <w:spacing w:line="360" w:lineRule="auto"/>
              <w:jc w:val="center"/>
              <w:rPr>
                <w:rFonts w:cs="仿宋_GB2312"/>
                <w:color w:val="auto"/>
                <w:szCs w:val="24"/>
              </w:rPr>
            </w:pPr>
          </w:p>
        </w:tc>
        <w:tc>
          <w:tcPr>
            <w:tcW w:w="297" w:type="pct"/>
            <w:vAlign w:val="center"/>
          </w:tcPr>
          <w:p w14:paraId="26F80246">
            <w:pPr>
              <w:wordWrap w:val="0"/>
              <w:spacing w:line="360" w:lineRule="auto"/>
              <w:jc w:val="center"/>
              <w:rPr>
                <w:rFonts w:cs="仿宋_GB2312"/>
                <w:color w:val="auto"/>
                <w:szCs w:val="24"/>
              </w:rPr>
            </w:pPr>
          </w:p>
        </w:tc>
        <w:tc>
          <w:tcPr>
            <w:tcW w:w="1122" w:type="pct"/>
            <w:vAlign w:val="center"/>
          </w:tcPr>
          <w:p w14:paraId="4C20D8E1">
            <w:pPr>
              <w:wordWrap w:val="0"/>
              <w:spacing w:line="360" w:lineRule="auto"/>
              <w:jc w:val="center"/>
              <w:rPr>
                <w:rFonts w:cs="仿宋_GB2312"/>
                <w:color w:val="auto"/>
                <w:szCs w:val="24"/>
              </w:rPr>
            </w:pPr>
          </w:p>
        </w:tc>
        <w:tc>
          <w:tcPr>
            <w:tcW w:w="1376" w:type="pct"/>
            <w:vAlign w:val="center"/>
          </w:tcPr>
          <w:p w14:paraId="6CB33CF3">
            <w:pPr>
              <w:wordWrap w:val="0"/>
              <w:spacing w:line="360" w:lineRule="auto"/>
              <w:jc w:val="center"/>
              <w:rPr>
                <w:rFonts w:cs="仿宋_GB2312"/>
                <w:color w:val="auto"/>
                <w:szCs w:val="24"/>
              </w:rPr>
            </w:pPr>
          </w:p>
        </w:tc>
        <w:tc>
          <w:tcPr>
            <w:tcW w:w="618" w:type="pct"/>
            <w:vAlign w:val="center"/>
          </w:tcPr>
          <w:p w14:paraId="53E83FB7">
            <w:pPr>
              <w:wordWrap w:val="0"/>
              <w:spacing w:line="360" w:lineRule="auto"/>
              <w:jc w:val="center"/>
              <w:rPr>
                <w:rFonts w:cs="仿宋_GB2312"/>
                <w:color w:val="auto"/>
                <w:szCs w:val="24"/>
              </w:rPr>
            </w:pPr>
          </w:p>
        </w:tc>
        <w:tc>
          <w:tcPr>
            <w:tcW w:w="688" w:type="pct"/>
            <w:vAlign w:val="center"/>
          </w:tcPr>
          <w:p w14:paraId="5009A0B2">
            <w:pPr>
              <w:wordWrap w:val="0"/>
              <w:spacing w:line="360" w:lineRule="auto"/>
              <w:jc w:val="center"/>
              <w:rPr>
                <w:rFonts w:cs="仿宋_GB2312"/>
                <w:color w:val="auto"/>
                <w:szCs w:val="24"/>
              </w:rPr>
            </w:pPr>
          </w:p>
        </w:tc>
      </w:tr>
      <w:tr w14:paraId="12BB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B381F5">
            <w:pPr>
              <w:numPr>
                <w:ilvl w:val="0"/>
                <w:numId w:val="64"/>
              </w:numPr>
              <w:wordWrap w:val="0"/>
              <w:spacing w:line="360" w:lineRule="auto"/>
              <w:jc w:val="center"/>
              <w:rPr>
                <w:rFonts w:cs="仿宋_GB2312"/>
                <w:color w:val="auto"/>
                <w:szCs w:val="24"/>
              </w:rPr>
            </w:pPr>
          </w:p>
        </w:tc>
        <w:tc>
          <w:tcPr>
            <w:tcW w:w="615" w:type="pct"/>
            <w:vAlign w:val="center"/>
          </w:tcPr>
          <w:p w14:paraId="056A7B2E">
            <w:pPr>
              <w:wordWrap w:val="0"/>
              <w:spacing w:line="360" w:lineRule="auto"/>
              <w:jc w:val="center"/>
              <w:rPr>
                <w:rFonts w:cs="仿宋_GB2312"/>
                <w:color w:val="auto"/>
                <w:szCs w:val="24"/>
              </w:rPr>
            </w:pPr>
          </w:p>
        </w:tc>
        <w:tc>
          <w:tcPr>
            <w:tcW w:w="297" w:type="pct"/>
            <w:vAlign w:val="center"/>
          </w:tcPr>
          <w:p w14:paraId="1B1BAC56">
            <w:pPr>
              <w:wordWrap w:val="0"/>
              <w:spacing w:line="360" w:lineRule="auto"/>
              <w:jc w:val="center"/>
              <w:rPr>
                <w:rFonts w:cs="仿宋_GB2312"/>
                <w:color w:val="auto"/>
                <w:szCs w:val="24"/>
              </w:rPr>
            </w:pPr>
          </w:p>
        </w:tc>
        <w:tc>
          <w:tcPr>
            <w:tcW w:w="1122" w:type="pct"/>
            <w:vAlign w:val="center"/>
          </w:tcPr>
          <w:p w14:paraId="160BD32F">
            <w:pPr>
              <w:wordWrap w:val="0"/>
              <w:spacing w:line="360" w:lineRule="auto"/>
              <w:jc w:val="center"/>
              <w:rPr>
                <w:rFonts w:cs="仿宋_GB2312"/>
                <w:color w:val="auto"/>
                <w:szCs w:val="24"/>
              </w:rPr>
            </w:pPr>
          </w:p>
        </w:tc>
        <w:tc>
          <w:tcPr>
            <w:tcW w:w="1376" w:type="pct"/>
            <w:vAlign w:val="center"/>
          </w:tcPr>
          <w:p w14:paraId="0667105B">
            <w:pPr>
              <w:wordWrap w:val="0"/>
              <w:spacing w:line="360" w:lineRule="auto"/>
              <w:jc w:val="center"/>
              <w:rPr>
                <w:rFonts w:cs="仿宋_GB2312"/>
                <w:color w:val="auto"/>
                <w:szCs w:val="24"/>
              </w:rPr>
            </w:pPr>
          </w:p>
        </w:tc>
        <w:tc>
          <w:tcPr>
            <w:tcW w:w="618" w:type="pct"/>
            <w:vAlign w:val="center"/>
          </w:tcPr>
          <w:p w14:paraId="25DFC156">
            <w:pPr>
              <w:wordWrap w:val="0"/>
              <w:spacing w:line="360" w:lineRule="auto"/>
              <w:jc w:val="center"/>
              <w:rPr>
                <w:rFonts w:cs="仿宋_GB2312"/>
                <w:color w:val="auto"/>
                <w:szCs w:val="24"/>
              </w:rPr>
            </w:pPr>
          </w:p>
        </w:tc>
        <w:tc>
          <w:tcPr>
            <w:tcW w:w="688" w:type="pct"/>
            <w:vAlign w:val="center"/>
          </w:tcPr>
          <w:p w14:paraId="3061BC92">
            <w:pPr>
              <w:wordWrap w:val="0"/>
              <w:spacing w:line="360" w:lineRule="auto"/>
              <w:jc w:val="center"/>
              <w:rPr>
                <w:rFonts w:cs="仿宋_GB2312"/>
                <w:color w:val="auto"/>
                <w:szCs w:val="24"/>
              </w:rPr>
            </w:pPr>
          </w:p>
        </w:tc>
      </w:tr>
      <w:tr w14:paraId="4CDD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A997D8E">
            <w:pPr>
              <w:numPr>
                <w:ilvl w:val="0"/>
                <w:numId w:val="64"/>
              </w:numPr>
              <w:wordWrap w:val="0"/>
              <w:spacing w:line="360" w:lineRule="auto"/>
              <w:jc w:val="center"/>
              <w:rPr>
                <w:rFonts w:cs="仿宋_GB2312"/>
                <w:color w:val="auto"/>
                <w:szCs w:val="24"/>
              </w:rPr>
            </w:pPr>
          </w:p>
        </w:tc>
        <w:tc>
          <w:tcPr>
            <w:tcW w:w="615" w:type="pct"/>
            <w:vAlign w:val="center"/>
          </w:tcPr>
          <w:p w14:paraId="351AE160">
            <w:pPr>
              <w:wordWrap w:val="0"/>
              <w:spacing w:line="360" w:lineRule="auto"/>
              <w:jc w:val="center"/>
              <w:rPr>
                <w:rFonts w:cs="仿宋_GB2312"/>
                <w:color w:val="auto"/>
                <w:szCs w:val="24"/>
              </w:rPr>
            </w:pPr>
          </w:p>
        </w:tc>
        <w:tc>
          <w:tcPr>
            <w:tcW w:w="297" w:type="pct"/>
            <w:vAlign w:val="center"/>
          </w:tcPr>
          <w:p w14:paraId="7D181A9C">
            <w:pPr>
              <w:wordWrap w:val="0"/>
              <w:spacing w:line="360" w:lineRule="auto"/>
              <w:jc w:val="center"/>
              <w:rPr>
                <w:rFonts w:cs="仿宋_GB2312"/>
                <w:color w:val="auto"/>
                <w:szCs w:val="24"/>
              </w:rPr>
            </w:pPr>
          </w:p>
        </w:tc>
        <w:tc>
          <w:tcPr>
            <w:tcW w:w="1122" w:type="pct"/>
            <w:vAlign w:val="center"/>
          </w:tcPr>
          <w:p w14:paraId="05A1E83D">
            <w:pPr>
              <w:wordWrap w:val="0"/>
              <w:spacing w:line="360" w:lineRule="auto"/>
              <w:jc w:val="center"/>
              <w:rPr>
                <w:rFonts w:cs="仿宋_GB2312"/>
                <w:color w:val="auto"/>
                <w:szCs w:val="24"/>
              </w:rPr>
            </w:pPr>
          </w:p>
        </w:tc>
        <w:tc>
          <w:tcPr>
            <w:tcW w:w="1376" w:type="pct"/>
            <w:vAlign w:val="center"/>
          </w:tcPr>
          <w:p w14:paraId="19BBE0FF">
            <w:pPr>
              <w:wordWrap w:val="0"/>
              <w:spacing w:line="360" w:lineRule="auto"/>
              <w:jc w:val="center"/>
              <w:rPr>
                <w:rFonts w:cs="仿宋_GB2312"/>
                <w:color w:val="auto"/>
                <w:szCs w:val="24"/>
              </w:rPr>
            </w:pPr>
          </w:p>
        </w:tc>
        <w:tc>
          <w:tcPr>
            <w:tcW w:w="618" w:type="pct"/>
            <w:vAlign w:val="center"/>
          </w:tcPr>
          <w:p w14:paraId="0A9B6042">
            <w:pPr>
              <w:wordWrap w:val="0"/>
              <w:spacing w:line="360" w:lineRule="auto"/>
              <w:jc w:val="center"/>
              <w:rPr>
                <w:rFonts w:cs="仿宋_GB2312"/>
                <w:color w:val="auto"/>
                <w:szCs w:val="24"/>
              </w:rPr>
            </w:pPr>
          </w:p>
        </w:tc>
        <w:tc>
          <w:tcPr>
            <w:tcW w:w="688" w:type="pct"/>
            <w:vAlign w:val="center"/>
          </w:tcPr>
          <w:p w14:paraId="2DAB24A8">
            <w:pPr>
              <w:wordWrap w:val="0"/>
              <w:spacing w:line="360" w:lineRule="auto"/>
              <w:jc w:val="center"/>
              <w:rPr>
                <w:rFonts w:cs="仿宋_GB2312"/>
                <w:color w:val="auto"/>
                <w:szCs w:val="24"/>
              </w:rPr>
            </w:pPr>
          </w:p>
        </w:tc>
      </w:tr>
      <w:tr w14:paraId="5D58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9027101">
            <w:pPr>
              <w:numPr>
                <w:ilvl w:val="0"/>
                <w:numId w:val="64"/>
              </w:numPr>
              <w:wordWrap w:val="0"/>
              <w:spacing w:line="360" w:lineRule="auto"/>
              <w:jc w:val="center"/>
              <w:rPr>
                <w:rFonts w:cs="仿宋_GB2312"/>
                <w:color w:val="auto"/>
                <w:szCs w:val="24"/>
              </w:rPr>
            </w:pPr>
          </w:p>
        </w:tc>
        <w:tc>
          <w:tcPr>
            <w:tcW w:w="615" w:type="pct"/>
            <w:vAlign w:val="center"/>
          </w:tcPr>
          <w:p w14:paraId="700DB118">
            <w:pPr>
              <w:wordWrap w:val="0"/>
              <w:spacing w:line="360" w:lineRule="auto"/>
              <w:jc w:val="center"/>
              <w:rPr>
                <w:rFonts w:cs="仿宋_GB2312"/>
                <w:color w:val="auto"/>
                <w:szCs w:val="24"/>
              </w:rPr>
            </w:pPr>
          </w:p>
        </w:tc>
        <w:tc>
          <w:tcPr>
            <w:tcW w:w="297" w:type="pct"/>
            <w:vAlign w:val="center"/>
          </w:tcPr>
          <w:p w14:paraId="4CB55469">
            <w:pPr>
              <w:wordWrap w:val="0"/>
              <w:spacing w:line="360" w:lineRule="auto"/>
              <w:jc w:val="center"/>
              <w:rPr>
                <w:rFonts w:cs="仿宋_GB2312"/>
                <w:color w:val="auto"/>
                <w:szCs w:val="24"/>
              </w:rPr>
            </w:pPr>
          </w:p>
        </w:tc>
        <w:tc>
          <w:tcPr>
            <w:tcW w:w="1122" w:type="pct"/>
            <w:vAlign w:val="center"/>
          </w:tcPr>
          <w:p w14:paraId="5C396215">
            <w:pPr>
              <w:wordWrap w:val="0"/>
              <w:spacing w:line="360" w:lineRule="auto"/>
              <w:jc w:val="center"/>
              <w:rPr>
                <w:rFonts w:cs="仿宋_GB2312"/>
                <w:color w:val="auto"/>
                <w:szCs w:val="24"/>
              </w:rPr>
            </w:pPr>
          </w:p>
        </w:tc>
        <w:tc>
          <w:tcPr>
            <w:tcW w:w="1376" w:type="pct"/>
            <w:vAlign w:val="center"/>
          </w:tcPr>
          <w:p w14:paraId="37B0118A">
            <w:pPr>
              <w:wordWrap w:val="0"/>
              <w:spacing w:line="360" w:lineRule="auto"/>
              <w:jc w:val="center"/>
              <w:rPr>
                <w:rFonts w:cs="仿宋_GB2312"/>
                <w:color w:val="auto"/>
                <w:szCs w:val="24"/>
              </w:rPr>
            </w:pPr>
          </w:p>
        </w:tc>
        <w:tc>
          <w:tcPr>
            <w:tcW w:w="618" w:type="pct"/>
            <w:vAlign w:val="center"/>
          </w:tcPr>
          <w:p w14:paraId="7221AAD8">
            <w:pPr>
              <w:wordWrap w:val="0"/>
              <w:spacing w:line="360" w:lineRule="auto"/>
              <w:jc w:val="center"/>
              <w:rPr>
                <w:rFonts w:cs="仿宋_GB2312"/>
                <w:color w:val="auto"/>
                <w:szCs w:val="24"/>
              </w:rPr>
            </w:pPr>
          </w:p>
        </w:tc>
        <w:tc>
          <w:tcPr>
            <w:tcW w:w="688" w:type="pct"/>
            <w:vAlign w:val="center"/>
          </w:tcPr>
          <w:p w14:paraId="172ACD5B">
            <w:pPr>
              <w:wordWrap w:val="0"/>
              <w:spacing w:line="360" w:lineRule="auto"/>
              <w:jc w:val="center"/>
              <w:rPr>
                <w:rFonts w:cs="仿宋_GB2312"/>
                <w:color w:val="auto"/>
                <w:szCs w:val="24"/>
              </w:rPr>
            </w:pPr>
          </w:p>
        </w:tc>
      </w:tr>
      <w:tr w14:paraId="3068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A456A0A">
            <w:pPr>
              <w:wordWrap w:val="0"/>
              <w:spacing w:line="360" w:lineRule="auto"/>
              <w:jc w:val="center"/>
              <w:rPr>
                <w:rFonts w:cs="仿宋_GB2312"/>
                <w:color w:val="auto"/>
                <w:szCs w:val="24"/>
              </w:rPr>
            </w:pPr>
            <w:r>
              <w:rPr>
                <w:rFonts w:hint="eastAsia" w:cs="仿宋_GB2312"/>
                <w:color w:val="auto"/>
                <w:szCs w:val="24"/>
              </w:rPr>
              <w:t>…</w:t>
            </w:r>
          </w:p>
        </w:tc>
        <w:tc>
          <w:tcPr>
            <w:tcW w:w="615" w:type="pct"/>
            <w:vAlign w:val="center"/>
          </w:tcPr>
          <w:p w14:paraId="01C283D5">
            <w:pPr>
              <w:wordWrap w:val="0"/>
              <w:spacing w:line="360" w:lineRule="auto"/>
              <w:jc w:val="center"/>
              <w:rPr>
                <w:rFonts w:cs="仿宋_GB2312"/>
                <w:color w:val="auto"/>
                <w:szCs w:val="24"/>
              </w:rPr>
            </w:pPr>
            <w:r>
              <w:rPr>
                <w:rFonts w:hint="eastAsia" w:cs="宋体"/>
                <w:color w:val="auto"/>
                <w:szCs w:val="24"/>
              </w:rPr>
              <w:t>……</w:t>
            </w:r>
          </w:p>
        </w:tc>
        <w:tc>
          <w:tcPr>
            <w:tcW w:w="297" w:type="pct"/>
            <w:vAlign w:val="center"/>
          </w:tcPr>
          <w:p w14:paraId="5037E4B2">
            <w:pPr>
              <w:wordWrap w:val="0"/>
              <w:spacing w:line="360" w:lineRule="auto"/>
              <w:jc w:val="center"/>
              <w:rPr>
                <w:rFonts w:cs="仿宋_GB2312"/>
                <w:color w:val="auto"/>
                <w:szCs w:val="24"/>
              </w:rPr>
            </w:pPr>
            <w:r>
              <w:rPr>
                <w:rFonts w:hint="eastAsia" w:cs="宋体"/>
                <w:color w:val="auto"/>
                <w:szCs w:val="24"/>
              </w:rPr>
              <w:t>……</w:t>
            </w:r>
          </w:p>
        </w:tc>
        <w:tc>
          <w:tcPr>
            <w:tcW w:w="1122" w:type="pct"/>
            <w:vAlign w:val="center"/>
          </w:tcPr>
          <w:p w14:paraId="035CDCE6">
            <w:pPr>
              <w:wordWrap w:val="0"/>
              <w:spacing w:line="360" w:lineRule="auto"/>
              <w:jc w:val="center"/>
              <w:rPr>
                <w:rFonts w:cs="仿宋_GB2312"/>
                <w:color w:val="auto"/>
                <w:szCs w:val="24"/>
              </w:rPr>
            </w:pPr>
            <w:r>
              <w:rPr>
                <w:rFonts w:hint="eastAsia" w:cs="宋体"/>
                <w:color w:val="auto"/>
                <w:szCs w:val="24"/>
              </w:rPr>
              <w:t>……</w:t>
            </w:r>
          </w:p>
        </w:tc>
        <w:tc>
          <w:tcPr>
            <w:tcW w:w="1376" w:type="pct"/>
            <w:vAlign w:val="center"/>
          </w:tcPr>
          <w:p w14:paraId="74612450">
            <w:pPr>
              <w:wordWrap w:val="0"/>
              <w:spacing w:line="360" w:lineRule="auto"/>
              <w:jc w:val="center"/>
              <w:rPr>
                <w:rFonts w:cs="仿宋_GB2312"/>
                <w:color w:val="auto"/>
                <w:szCs w:val="24"/>
              </w:rPr>
            </w:pPr>
            <w:r>
              <w:rPr>
                <w:rFonts w:hint="eastAsia" w:cs="宋体"/>
                <w:color w:val="auto"/>
                <w:szCs w:val="24"/>
              </w:rPr>
              <w:t>……</w:t>
            </w:r>
          </w:p>
        </w:tc>
        <w:tc>
          <w:tcPr>
            <w:tcW w:w="618" w:type="pct"/>
            <w:vAlign w:val="center"/>
          </w:tcPr>
          <w:p w14:paraId="014D4544">
            <w:pPr>
              <w:wordWrap w:val="0"/>
              <w:spacing w:line="360" w:lineRule="auto"/>
              <w:jc w:val="center"/>
              <w:rPr>
                <w:rFonts w:cs="仿宋_GB2312"/>
                <w:color w:val="auto"/>
                <w:szCs w:val="24"/>
              </w:rPr>
            </w:pPr>
            <w:r>
              <w:rPr>
                <w:rFonts w:hint="eastAsia" w:cs="宋体"/>
                <w:color w:val="auto"/>
                <w:szCs w:val="24"/>
              </w:rPr>
              <w:t>……</w:t>
            </w:r>
          </w:p>
        </w:tc>
        <w:tc>
          <w:tcPr>
            <w:tcW w:w="688" w:type="pct"/>
            <w:vAlign w:val="center"/>
          </w:tcPr>
          <w:p w14:paraId="04E3F41C">
            <w:pPr>
              <w:wordWrap w:val="0"/>
              <w:spacing w:line="360" w:lineRule="auto"/>
              <w:jc w:val="center"/>
              <w:rPr>
                <w:rFonts w:cs="仿宋_GB2312"/>
                <w:color w:val="auto"/>
                <w:szCs w:val="24"/>
              </w:rPr>
            </w:pPr>
            <w:r>
              <w:rPr>
                <w:rFonts w:hint="eastAsia" w:cs="宋体"/>
                <w:color w:val="auto"/>
                <w:szCs w:val="24"/>
              </w:rPr>
              <w:t>……</w:t>
            </w:r>
          </w:p>
        </w:tc>
      </w:tr>
    </w:tbl>
    <w:p w14:paraId="7776929F">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color w:val="auto"/>
          <w:szCs w:val="24"/>
        </w:rPr>
        <w:t>。</w:t>
      </w:r>
    </w:p>
    <w:p w14:paraId="1D702FF3">
      <w:pPr>
        <w:wordWrap w:val="0"/>
        <w:spacing w:line="360" w:lineRule="auto"/>
        <w:ind w:left="1132" w:leftChars="296" w:hanging="422" w:hangingChars="176"/>
        <w:jc w:val="left"/>
        <w:rPr>
          <w:color w:val="auto"/>
          <w:szCs w:val="24"/>
        </w:rPr>
      </w:pPr>
      <w:r>
        <w:rPr>
          <w:rFonts w:hint="eastAsia"/>
          <w:color w:val="auto"/>
          <w:szCs w:val="24"/>
        </w:rPr>
        <w:t>2、应将对应响应内容的页码（多页的，起码和止码）填写到上表“响应文件对应页码”栏中。未提供准确页码或页码与对应内容不一致的，导致的后果由供应商自行承担。</w:t>
      </w:r>
    </w:p>
    <w:p w14:paraId="1C2F89BA">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B649255">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10815133">
      <w:pPr>
        <w:keepNext/>
        <w:keepLines/>
        <w:numPr>
          <w:ilvl w:val="0"/>
          <w:numId w:val="62"/>
        </w:numPr>
        <w:wordWrap w:val="0"/>
        <w:spacing w:before="40" w:after="40" w:line="360" w:lineRule="auto"/>
        <w:ind w:left="1285" w:hanging="1285" w:hangingChars="400"/>
        <w:jc w:val="left"/>
        <w:outlineLvl w:val="1"/>
        <w:rPr>
          <w:b/>
          <w:color w:val="auto"/>
          <w:sz w:val="32"/>
          <w:szCs w:val="32"/>
        </w:rPr>
        <w:sectPr>
          <w:pgSz w:w="11906" w:h="16838"/>
          <w:pgMar w:top="1134" w:right="1191" w:bottom="1134" w:left="1191" w:header="851" w:footer="992" w:gutter="0"/>
          <w:cols w:space="425" w:num="1"/>
          <w:docGrid w:type="lines" w:linePitch="312" w:charSpace="0"/>
        </w:sectPr>
      </w:pPr>
    </w:p>
    <w:p w14:paraId="4819CB8D">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2" w:name="_Toc117244389"/>
      <w:bookmarkStart w:id="503" w:name="_Toc122424593"/>
      <w:bookmarkStart w:id="504" w:name="_Toc117244504"/>
      <w:bookmarkStart w:id="505" w:name="_Toc122527558"/>
      <w:bookmarkStart w:id="506" w:name="_Toc107561318"/>
      <w:r>
        <w:rPr>
          <w:rFonts w:hint="eastAsia" w:ascii="宋体" w:hAnsi="宋体" w:eastAsia="宋体"/>
          <w:color w:val="auto"/>
          <w:sz w:val="24"/>
          <w:szCs w:val="24"/>
        </w:rPr>
        <w:t>技术评分对照表</w:t>
      </w:r>
      <w:bookmarkEnd w:id="502"/>
      <w:bookmarkEnd w:id="503"/>
      <w:bookmarkEnd w:id="504"/>
      <w:bookmarkEnd w:id="505"/>
      <w:bookmarkEnd w:id="506"/>
    </w:p>
    <w:p w14:paraId="2E1BCDED">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184D036A">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66A2B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1A6F93D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竞争性磋商文件技术评分内容</w:t>
            </w:r>
          </w:p>
        </w:tc>
        <w:tc>
          <w:tcPr>
            <w:tcW w:w="2551" w:type="dxa"/>
            <w:vMerge w:val="restart"/>
            <w:shd w:val="pct10" w:color="C3BD96" w:themeColor="background2" w:themeShade="BF" w:fill="DDD9C4" w:themeFill="background2" w:themeFillShade="E6"/>
            <w:vAlign w:val="center"/>
          </w:tcPr>
          <w:p w14:paraId="6A5AC2A7">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1134" w:type="dxa"/>
            <w:vMerge w:val="restart"/>
            <w:shd w:val="pct10" w:color="C3BD96" w:themeColor="background2" w:themeShade="BF" w:fill="DDD9C4" w:themeFill="background2" w:themeFillShade="E6"/>
            <w:vAlign w:val="center"/>
          </w:tcPr>
          <w:p w14:paraId="42FF068C">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3BD96" w:themeColor="background2" w:themeShade="BF" w:fill="DDD9C4" w:themeFill="background2" w:themeFillShade="E6"/>
            <w:vAlign w:val="center"/>
          </w:tcPr>
          <w:p w14:paraId="5E32F05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5AE45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51FBEAFB">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2C40F4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FB1991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356C2886">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2F64F12B">
            <w:pPr>
              <w:wordWrap w:val="0"/>
              <w:spacing w:before="100" w:beforeAutospacing="1" w:after="100" w:afterAutospacing="1" w:line="360" w:lineRule="auto"/>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0A3A3B32">
            <w:pPr>
              <w:wordWrap w:val="0"/>
              <w:spacing w:before="100" w:beforeAutospacing="1" w:after="100" w:afterAutospacing="1" w:line="360" w:lineRule="auto"/>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67E18859">
            <w:pPr>
              <w:wordWrap w:val="0"/>
              <w:spacing w:before="100" w:beforeAutospacing="1" w:after="100" w:afterAutospacing="1" w:line="360" w:lineRule="auto"/>
              <w:ind w:left="-60" w:leftChars="-25" w:right="-60" w:rightChars="-25"/>
              <w:jc w:val="center"/>
              <w:rPr>
                <w:rFonts w:cs="仿宋_GB2312"/>
                <w:color w:val="auto"/>
                <w:szCs w:val="24"/>
              </w:rPr>
            </w:pPr>
          </w:p>
        </w:tc>
      </w:tr>
      <w:tr w14:paraId="1162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17A0DE78">
            <w:pPr>
              <w:numPr>
                <w:ilvl w:val="0"/>
                <w:numId w:val="65"/>
              </w:numPr>
              <w:wordWrap w:val="0"/>
              <w:spacing w:line="360" w:lineRule="auto"/>
              <w:jc w:val="center"/>
              <w:rPr>
                <w:rFonts w:cs="仿宋_GB2312"/>
                <w:color w:val="auto"/>
                <w:szCs w:val="24"/>
              </w:rPr>
            </w:pPr>
          </w:p>
        </w:tc>
        <w:tc>
          <w:tcPr>
            <w:tcW w:w="1187" w:type="dxa"/>
            <w:tcBorders>
              <w:top w:val="single" w:color="auto" w:sz="4" w:space="0"/>
            </w:tcBorders>
            <w:vAlign w:val="center"/>
          </w:tcPr>
          <w:p w14:paraId="492C7E5C">
            <w:pPr>
              <w:wordWrap w:val="0"/>
              <w:spacing w:line="360" w:lineRule="auto"/>
              <w:jc w:val="center"/>
              <w:rPr>
                <w:rFonts w:cs="仿宋_GB2312"/>
                <w:color w:val="auto"/>
                <w:szCs w:val="24"/>
              </w:rPr>
            </w:pPr>
          </w:p>
        </w:tc>
        <w:tc>
          <w:tcPr>
            <w:tcW w:w="567" w:type="dxa"/>
            <w:tcBorders>
              <w:top w:val="single" w:color="auto" w:sz="4" w:space="0"/>
            </w:tcBorders>
            <w:vAlign w:val="center"/>
          </w:tcPr>
          <w:p w14:paraId="217CD225">
            <w:pPr>
              <w:wordWrap w:val="0"/>
              <w:spacing w:line="360" w:lineRule="auto"/>
              <w:jc w:val="center"/>
              <w:rPr>
                <w:rFonts w:cs="仿宋_GB2312"/>
                <w:color w:val="auto"/>
                <w:szCs w:val="24"/>
              </w:rPr>
            </w:pPr>
          </w:p>
        </w:tc>
        <w:tc>
          <w:tcPr>
            <w:tcW w:w="2552" w:type="dxa"/>
            <w:tcBorders>
              <w:top w:val="single" w:color="auto" w:sz="4" w:space="0"/>
            </w:tcBorders>
            <w:vAlign w:val="center"/>
          </w:tcPr>
          <w:p w14:paraId="5653895E">
            <w:pPr>
              <w:wordWrap w:val="0"/>
              <w:spacing w:line="360" w:lineRule="auto"/>
              <w:jc w:val="center"/>
              <w:rPr>
                <w:rFonts w:cs="仿宋_GB2312"/>
                <w:color w:val="auto"/>
                <w:szCs w:val="24"/>
              </w:rPr>
            </w:pPr>
          </w:p>
        </w:tc>
        <w:tc>
          <w:tcPr>
            <w:tcW w:w="2551" w:type="dxa"/>
            <w:tcBorders>
              <w:top w:val="single" w:color="auto" w:sz="4" w:space="0"/>
            </w:tcBorders>
            <w:vAlign w:val="center"/>
          </w:tcPr>
          <w:p w14:paraId="6FB5A439">
            <w:pPr>
              <w:wordWrap w:val="0"/>
              <w:spacing w:line="360" w:lineRule="auto"/>
              <w:jc w:val="center"/>
              <w:rPr>
                <w:rFonts w:cs="仿宋_GB2312"/>
                <w:color w:val="auto"/>
                <w:szCs w:val="24"/>
              </w:rPr>
            </w:pPr>
          </w:p>
        </w:tc>
        <w:tc>
          <w:tcPr>
            <w:tcW w:w="1134" w:type="dxa"/>
            <w:tcBorders>
              <w:top w:val="single" w:color="auto" w:sz="4" w:space="0"/>
            </w:tcBorders>
            <w:vAlign w:val="center"/>
          </w:tcPr>
          <w:p w14:paraId="6EC1A98D">
            <w:pPr>
              <w:wordWrap w:val="0"/>
              <w:spacing w:line="360" w:lineRule="auto"/>
              <w:jc w:val="center"/>
              <w:rPr>
                <w:rFonts w:cs="仿宋_GB2312"/>
                <w:color w:val="auto"/>
                <w:szCs w:val="24"/>
              </w:rPr>
            </w:pPr>
          </w:p>
        </w:tc>
        <w:tc>
          <w:tcPr>
            <w:tcW w:w="1106" w:type="dxa"/>
            <w:tcBorders>
              <w:top w:val="single" w:color="auto" w:sz="4" w:space="0"/>
            </w:tcBorders>
            <w:vAlign w:val="center"/>
          </w:tcPr>
          <w:p w14:paraId="683DEB88">
            <w:pPr>
              <w:wordWrap w:val="0"/>
              <w:spacing w:line="360" w:lineRule="auto"/>
              <w:jc w:val="center"/>
              <w:rPr>
                <w:rFonts w:cs="仿宋_GB2312"/>
                <w:color w:val="auto"/>
                <w:szCs w:val="24"/>
              </w:rPr>
            </w:pPr>
          </w:p>
        </w:tc>
      </w:tr>
      <w:tr w14:paraId="48AF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39510BF3">
            <w:pPr>
              <w:numPr>
                <w:ilvl w:val="0"/>
                <w:numId w:val="65"/>
              </w:numPr>
              <w:wordWrap w:val="0"/>
              <w:spacing w:line="360" w:lineRule="auto"/>
              <w:jc w:val="center"/>
              <w:rPr>
                <w:rFonts w:cs="仿宋_GB2312"/>
                <w:color w:val="auto"/>
                <w:szCs w:val="24"/>
              </w:rPr>
            </w:pPr>
          </w:p>
        </w:tc>
        <w:tc>
          <w:tcPr>
            <w:tcW w:w="1187" w:type="dxa"/>
            <w:vAlign w:val="center"/>
          </w:tcPr>
          <w:p w14:paraId="56B50E8E">
            <w:pPr>
              <w:wordWrap w:val="0"/>
              <w:spacing w:line="360" w:lineRule="auto"/>
              <w:jc w:val="center"/>
              <w:rPr>
                <w:rFonts w:cs="仿宋_GB2312"/>
                <w:color w:val="auto"/>
                <w:szCs w:val="24"/>
              </w:rPr>
            </w:pPr>
          </w:p>
        </w:tc>
        <w:tc>
          <w:tcPr>
            <w:tcW w:w="567" w:type="dxa"/>
            <w:vAlign w:val="center"/>
          </w:tcPr>
          <w:p w14:paraId="1B8D0BC0">
            <w:pPr>
              <w:wordWrap w:val="0"/>
              <w:spacing w:line="360" w:lineRule="auto"/>
              <w:jc w:val="center"/>
              <w:rPr>
                <w:rFonts w:cs="仿宋_GB2312"/>
                <w:color w:val="auto"/>
                <w:szCs w:val="24"/>
              </w:rPr>
            </w:pPr>
          </w:p>
        </w:tc>
        <w:tc>
          <w:tcPr>
            <w:tcW w:w="2552" w:type="dxa"/>
            <w:vAlign w:val="center"/>
          </w:tcPr>
          <w:p w14:paraId="7DDA5DAC">
            <w:pPr>
              <w:wordWrap w:val="0"/>
              <w:spacing w:line="360" w:lineRule="auto"/>
              <w:jc w:val="center"/>
              <w:rPr>
                <w:rFonts w:cs="仿宋_GB2312"/>
                <w:color w:val="auto"/>
                <w:szCs w:val="24"/>
              </w:rPr>
            </w:pPr>
          </w:p>
        </w:tc>
        <w:tc>
          <w:tcPr>
            <w:tcW w:w="2551" w:type="dxa"/>
            <w:vAlign w:val="center"/>
          </w:tcPr>
          <w:p w14:paraId="7DB75173">
            <w:pPr>
              <w:wordWrap w:val="0"/>
              <w:spacing w:line="360" w:lineRule="auto"/>
              <w:jc w:val="center"/>
              <w:rPr>
                <w:rFonts w:cs="仿宋_GB2312"/>
                <w:color w:val="auto"/>
                <w:szCs w:val="24"/>
              </w:rPr>
            </w:pPr>
          </w:p>
        </w:tc>
        <w:tc>
          <w:tcPr>
            <w:tcW w:w="1134" w:type="dxa"/>
            <w:vAlign w:val="center"/>
          </w:tcPr>
          <w:p w14:paraId="3EAF01D1">
            <w:pPr>
              <w:wordWrap w:val="0"/>
              <w:spacing w:line="360" w:lineRule="auto"/>
              <w:jc w:val="center"/>
              <w:rPr>
                <w:rFonts w:cs="仿宋_GB2312"/>
                <w:color w:val="auto"/>
                <w:szCs w:val="24"/>
              </w:rPr>
            </w:pPr>
          </w:p>
        </w:tc>
        <w:tc>
          <w:tcPr>
            <w:tcW w:w="1106" w:type="dxa"/>
            <w:vAlign w:val="center"/>
          </w:tcPr>
          <w:p w14:paraId="4EDF036F">
            <w:pPr>
              <w:wordWrap w:val="0"/>
              <w:spacing w:line="360" w:lineRule="auto"/>
              <w:jc w:val="center"/>
              <w:rPr>
                <w:rFonts w:cs="仿宋_GB2312"/>
                <w:color w:val="auto"/>
                <w:szCs w:val="24"/>
              </w:rPr>
            </w:pPr>
          </w:p>
        </w:tc>
      </w:tr>
      <w:tr w14:paraId="3D8D1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A9DDB99">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14:paraId="6FA51E94">
            <w:pPr>
              <w:wordWrap w:val="0"/>
              <w:spacing w:line="360" w:lineRule="auto"/>
              <w:jc w:val="left"/>
              <w:rPr>
                <w:rFonts w:cs="仿宋_GB2312"/>
                <w:color w:val="auto"/>
                <w:szCs w:val="24"/>
              </w:rPr>
            </w:pPr>
          </w:p>
        </w:tc>
        <w:tc>
          <w:tcPr>
            <w:tcW w:w="567" w:type="dxa"/>
            <w:tcBorders>
              <w:left w:val="single" w:color="auto" w:sz="4" w:space="0"/>
            </w:tcBorders>
            <w:vAlign w:val="center"/>
          </w:tcPr>
          <w:p w14:paraId="3D68C6CA">
            <w:pPr>
              <w:wordWrap w:val="0"/>
              <w:spacing w:line="360" w:lineRule="auto"/>
              <w:jc w:val="left"/>
              <w:rPr>
                <w:rFonts w:cs="仿宋_GB2312"/>
                <w:color w:val="auto"/>
                <w:szCs w:val="24"/>
              </w:rPr>
            </w:pPr>
          </w:p>
        </w:tc>
        <w:tc>
          <w:tcPr>
            <w:tcW w:w="2552" w:type="dxa"/>
            <w:tcBorders>
              <w:left w:val="single" w:color="auto" w:sz="4" w:space="0"/>
            </w:tcBorders>
            <w:vAlign w:val="center"/>
          </w:tcPr>
          <w:p w14:paraId="40DD89AC">
            <w:pPr>
              <w:wordWrap w:val="0"/>
              <w:spacing w:line="360" w:lineRule="auto"/>
              <w:jc w:val="left"/>
              <w:rPr>
                <w:rFonts w:cs="仿宋_GB2312"/>
                <w:color w:val="auto"/>
                <w:szCs w:val="24"/>
              </w:rPr>
            </w:pPr>
          </w:p>
        </w:tc>
        <w:tc>
          <w:tcPr>
            <w:tcW w:w="2551" w:type="dxa"/>
            <w:vAlign w:val="center"/>
          </w:tcPr>
          <w:p w14:paraId="7D9F13A1">
            <w:pPr>
              <w:wordWrap w:val="0"/>
              <w:spacing w:line="360" w:lineRule="auto"/>
              <w:jc w:val="left"/>
              <w:rPr>
                <w:rFonts w:cs="仿宋_GB2312"/>
                <w:color w:val="auto"/>
                <w:szCs w:val="24"/>
              </w:rPr>
            </w:pPr>
          </w:p>
        </w:tc>
        <w:tc>
          <w:tcPr>
            <w:tcW w:w="1134" w:type="dxa"/>
            <w:vAlign w:val="center"/>
          </w:tcPr>
          <w:p w14:paraId="36EB6E59">
            <w:pPr>
              <w:wordWrap w:val="0"/>
              <w:spacing w:line="360" w:lineRule="auto"/>
              <w:jc w:val="center"/>
              <w:rPr>
                <w:rFonts w:cs="仿宋_GB2312"/>
                <w:color w:val="auto"/>
                <w:szCs w:val="24"/>
              </w:rPr>
            </w:pPr>
          </w:p>
        </w:tc>
        <w:tc>
          <w:tcPr>
            <w:tcW w:w="1106" w:type="dxa"/>
            <w:vAlign w:val="center"/>
          </w:tcPr>
          <w:p w14:paraId="24D51CAD">
            <w:pPr>
              <w:wordWrap w:val="0"/>
              <w:spacing w:line="360" w:lineRule="auto"/>
              <w:jc w:val="center"/>
              <w:rPr>
                <w:rFonts w:cs="仿宋_GB2312"/>
                <w:color w:val="auto"/>
                <w:szCs w:val="24"/>
              </w:rPr>
            </w:pPr>
          </w:p>
        </w:tc>
      </w:tr>
      <w:tr w14:paraId="4F509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77C30A2">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14:paraId="0D9FAF3F">
            <w:pPr>
              <w:wordWrap w:val="0"/>
              <w:spacing w:line="360" w:lineRule="auto"/>
              <w:jc w:val="left"/>
              <w:rPr>
                <w:rFonts w:cs="仿宋_GB2312"/>
                <w:color w:val="auto"/>
                <w:szCs w:val="24"/>
              </w:rPr>
            </w:pPr>
          </w:p>
        </w:tc>
        <w:tc>
          <w:tcPr>
            <w:tcW w:w="567" w:type="dxa"/>
            <w:tcBorders>
              <w:left w:val="single" w:color="auto" w:sz="4" w:space="0"/>
            </w:tcBorders>
            <w:vAlign w:val="center"/>
          </w:tcPr>
          <w:p w14:paraId="0B982D40">
            <w:pPr>
              <w:wordWrap w:val="0"/>
              <w:spacing w:line="360" w:lineRule="auto"/>
              <w:jc w:val="left"/>
              <w:rPr>
                <w:rFonts w:cs="仿宋_GB2312"/>
                <w:color w:val="auto"/>
                <w:szCs w:val="24"/>
              </w:rPr>
            </w:pPr>
          </w:p>
        </w:tc>
        <w:tc>
          <w:tcPr>
            <w:tcW w:w="2552" w:type="dxa"/>
            <w:tcBorders>
              <w:left w:val="single" w:color="auto" w:sz="4" w:space="0"/>
            </w:tcBorders>
            <w:vAlign w:val="center"/>
          </w:tcPr>
          <w:p w14:paraId="1C94A0FD">
            <w:pPr>
              <w:wordWrap w:val="0"/>
              <w:spacing w:line="360" w:lineRule="auto"/>
              <w:jc w:val="left"/>
              <w:rPr>
                <w:rFonts w:cs="仿宋_GB2312"/>
                <w:color w:val="auto"/>
                <w:szCs w:val="24"/>
              </w:rPr>
            </w:pPr>
          </w:p>
        </w:tc>
        <w:tc>
          <w:tcPr>
            <w:tcW w:w="2551" w:type="dxa"/>
            <w:vAlign w:val="center"/>
          </w:tcPr>
          <w:p w14:paraId="790DEACD">
            <w:pPr>
              <w:wordWrap w:val="0"/>
              <w:spacing w:line="360" w:lineRule="auto"/>
              <w:jc w:val="left"/>
              <w:rPr>
                <w:rFonts w:cs="仿宋_GB2312"/>
                <w:color w:val="auto"/>
                <w:szCs w:val="24"/>
              </w:rPr>
            </w:pPr>
          </w:p>
        </w:tc>
        <w:tc>
          <w:tcPr>
            <w:tcW w:w="1134" w:type="dxa"/>
            <w:vAlign w:val="center"/>
          </w:tcPr>
          <w:p w14:paraId="31D93445">
            <w:pPr>
              <w:wordWrap w:val="0"/>
              <w:spacing w:line="360" w:lineRule="auto"/>
              <w:jc w:val="center"/>
              <w:rPr>
                <w:rFonts w:cs="仿宋_GB2312"/>
                <w:color w:val="auto"/>
                <w:szCs w:val="24"/>
              </w:rPr>
            </w:pPr>
          </w:p>
        </w:tc>
        <w:tc>
          <w:tcPr>
            <w:tcW w:w="1106" w:type="dxa"/>
            <w:vAlign w:val="center"/>
          </w:tcPr>
          <w:p w14:paraId="66AA585E">
            <w:pPr>
              <w:wordWrap w:val="0"/>
              <w:spacing w:line="360" w:lineRule="auto"/>
              <w:jc w:val="center"/>
              <w:rPr>
                <w:rFonts w:cs="仿宋_GB2312"/>
                <w:color w:val="auto"/>
                <w:szCs w:val="24"/>
              </w:rPr>
            </w:pPr>
          </w:p>
        </w:tc>
      </w:tr>
      <w:tr w14:paraId="2CA26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3AF2313">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14:paraId="4D5B05E1">
            <w:pPr>
              <w:wordWrap w:val="0"/>
              <w:spacing w:line="360" w:lineRule="auto"/>
              <w:jc w:val="left"/>
              <w:rPr>
                <w:rFonts w:cs="仿宋_GB2312"/>
                <w:color w:val="auto"/>
                <w:szCs w:val="24"/>
              </w:rPr>
            </w:pPr>
          </w:p>
        </w:tc>
        <w:tc>
          <w:tcPr>
            <w:tcW w:w="567" w:type="dxa"/>
            <w:tcBorders>
              <w:left w:val="single" w:color="auto" w:sz="4" w:space="0"/>
            </w:tcBorders>
            <w:vAlign w:val="center"/>
          </w:tcPr>
          <w:p w14:paraId="2ECFFC81">
            <w:pPr>
              <w:wordWrap w:val="0"/>
              <w:spacing w:line="360" w:lineRule="auto"/>
              <w:jc w:val="left"/>
              <w:rPr>
                <w:rFonts w:cs="仿宋_GB2312"/>
                <w:color w:val="auto"/>
                <w:szCs w:val="24"/>
              </w:rPr>
            </w:pPr>
          </w:p>
        </w:tc>
        <w:tc>
          <w:tcPr>
            <w:tcW w:w="2552" w:type="dxa"/>
            <w:tcBorders>
              <w:left w:val="single" w:color="auto" w:sz="4" w:space="0"/>
            </w:tcBorders>
            <w:vAlign w:val="center"/>
          </w:tcPr>
          <w:p w14:paraId="0E36E839">
            <w:pPr>
              <w:wordWrap w:val="0"/>
              <w:spacing w:line="360" w:lineRule="auto"/>
              <w:jc w:val="left"/>
              <w:rPr>
                <w:rFonts w:cs="仿宋_GB2312"/>
                <w:color w:val="auto"/>
                <w:szCs w:val="24"/>
              </w:rPr>
            </w:pPr>
          </w:p>
        </w:tc>
        <w:tc>
          <w:tcPr>
            <w:tcW w:w="2551" w:type="dxa"/>
            <w:vAlign w:val="center"/>
          </w:tcPr>
          <w:p w14:paraId="385FCB6E">
            <w:pPr>
              <w:wordWrap w:val="0"/>
              <w:spacing w:line="360" w:lineRule="auto"/>
              <w:jc w:val="left"/>
              <w:rPr>
                <w:rFonts w:cs="仿宋_GB2312"/>
                <w:color w:val="auto"/>
                <w:szCs w:val="24"/>
              </w:rPr>
            </w:pPr>
          </w:p>
        </w:tc>
        <w:tc>
          <w:tcPr>
            <w:tcW w:w="1134" w:type="dxa"/>
            <w:vAlign w:val="center"/>
          </w:tcPr>
          <w:p w14:paraId="6BC695F9">
            <w:pPr>
              <w:wordWrap w:val="0"/>
              <w:spacing w:line="360" w:lineRule="auto"/>
              <w:jc w:val="center"/>
              <w:rPr>
                <w:rFonts w:cs="仿宋_GB2312"/>
                <w:color w:val="auto"/>
                <w:szCs w:val="24"/>
              </w:rPr>
            </w:pPr>
          </w:p>
        </w:tc>
        <w:tc>
          <w:tcPr>
            <w:tcW w:w="1106" w:type="dxa"/>
            <w:vAlign w:val="center"/>
          </w:tcPr>
          <w:p w14:paraId="74262C7B">
            <w:pPr>
              <w:wordWrap w:val="0"/>
              <w:spacing w:line="360" w:lineRule="auto"/>
              <w:jc w:val="center"/>
              <w:rPr>
                <w:rFonts w:cs="仿宋_GB2312"/>
                <w:color w:val="auto"/>
                <w:szCs w:val="24"/>
              </w:rPr>
            </w:pPr>
          </w:p>
        </w:tc>
      </w:tr>
      <w:tr w14:paraId="2224F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876F472">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14:paraId="6D193102">
            <w:pPr>
              <w:wordWrap w:val="0"/>
              <w:spacing w:line="360" w:lineRule="auto"/>
              <w:jc w:val="left"/>
              <w:rPr>
                <w:rFonts w:cs="仿宋_GB2312"/>
                <w:color w:val="auto"/>
                <w:szCs w:val="24"/>
              </w:rPr>
            </w:pPr>
          </w:p>
        </w:tc>
        <w:tc>
          <w:tcPr>
            <w:tcW w:w="567" w:type="dxa"/>
            <w:tcBorders>
              <w:left w:val="single" w:color="auto" w:sz="4" w:space="0"/>
            </w:tcBorders>
            <w:vAlign w:val="center"/>
          </w:tcPr>
          <w:p w14:paraId="2A4462A3">
            <w:pPr>
              <w:wordWrap w:val="0"/>
              <w:spacing w:line="360" w:lineRule="auto"/>
              <w:jc w:val="left"/>
              <w:rPr>
                <w:rFonts w:cs="仿宋_GB2312"/>
                <w:color w:val="auto"/>
                <w:szCs w:val="24"/>
              </w:rPr>
            </w:pPr>
          </w:p>
        </w:tc>
        <w:tc>
          <w:tcPr>
            <w:tcW w:w="2552" w:type="dxa"/>
            <w:tcBorders>
              <w:left w:val="single" w:color="auto" w:sz="4" w:space="0"/>
            </w:tcBorders>
            <w:vAlign w:val="center"/>
          </w:tcPr>
          <w:p w14:paraId="23652D34">
            <w:pPr>
              <w:wordWrap w:val="0"/>
              <w:spacing w:line="360" w:lineRule="auto"/>
              <w:jc w:val="left"/>
              <w:rPr>
                <w:rFonts w:cs="仿宋_GB2312"/>
                <w:color w:val="auto"/>
                <w:szCs w:val="24"/>
              </w:rPr>
            </w:pPr>
          </w:p>
        </w:tc>
        <w:tc>
          <w:tcPr>
            <w:tcW w:w="2551" w:type="dxa"/>
            <w:vAlign w:val="center"/>
          </w:tcPr>
          <w:p w14:paraId="4E0C321D">
            <w:pPr>
              <w:wordWrap w:val="0"/>
              <w:spacing w:line="360" w:lineRule="auto"/>
              <w:jc w:val="left"/>
              <w:rPr>
                <w:rFonts w:cs="仿宋_GB2312"/>
                <w:color w:val="auto"/>
                <w:szCs w:val="24"/>
              </w:rPr>
            </w:pPr>
          </w:p>
        </w:tc>
        <w:tc>
          <w:tcPr>
            <w:tcW w:w="1134" w:type="dxa"/>
            <w:vAlign w:val="center"/>
          </w:tcPr>
          <w:p w14:paraId="6E1CECFF">
            <w:pPr>
              <w:wordWrap w:val="0"/>
              <w:spacing w:line="360" w:lineRule="auto"/>
              <w:jc w:val="center"/>
              <w:rPr>
                <w:rFonts w:cs="仿宋_GB2312"/>
                <w:color w:val="auto"/>
                <w:szCs w:val="24"/>
              </w:rPr>
            </w:pPr>
          </w:p>
        </w:tc>
        <w:tc>
          <w:tcPr>
            <w:tcW w:w="1106" w:type="dxa"/>
            <w:vAlign w:val="center"/>
          </w:tcPr>
          <w:p w14:paraId="208FC93B">
            <w:pPr>
              <w:wordWrap w:val="0"/>
              <w:spacing w:line="360" w:lineRule="auto"/>
              <w:jc w:val="center"/>
              <w:rPr>
                <w:rFonts w:cs="仿宋_GB2312"/>
                <w:color w:val="auto"/>
                <w:szCs w:val="24"/>
              </w:rPr>
            </w:pPr>
          </w:p>
        </w:tc>
      </w:tr>
      <w:tr w14:paraId="70771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3C99AEA4">
            <w:pPr>
              <w:wordWrap w:val="0"/>
              <w:spacing w:line="360" w:lineRule="auto"/>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7AA095BC">
            <w:pPr>
              <w:wordWrap w:val="0"/>
              <w:spacing w:line="360" w:lineRule="auto"/>
              <w:jc w:val="left"/>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7385D94A">
            <w:pPr>
              <w:wordWrap w:val="0"/>
              <w:spacing w:line="360" w:lineRule="auto"/>
              <w:jc w:val="left"/>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37F0D650">
            <w:pPr>
              <w:wordWrap w:val="0"/>
              <w:spacing w:line="360" w:lineRule="auto"/>
              <w:jc w:val="left"/>
              <w:rPr>
                <w:rFonts w:cs="仿宋_GB2312"/>
                <w:color w:val="auto"/>
                <w:szCs w:val="24"/>
              </w:rPr>
            </w:pPr>
            <w:r>
              <w:rPr>
                <w:rFonts w:hint="eastAsia" w:cs="宋体"/>
                <w:color w:val="auto"/>
                <w:szCs w:val="24"/>
              </w:rPr>
              <w:t>……</w:t>
            </w:r>
          </w:p>
        </w:tc>
        <w:tc>
          <w:tcPr>
            <w:tcW w:w="2551" w:type="dxa"/>
            <w:vAlign w:val="center"/>
          </w:tcPr>
          <w:p w14:paraId="724C211E">
            <w:pPr>
              <w:wordWrap w:val="0"/>
              <w:spacing w:line="360" w:lineRule="auto"/>
              <w:jc w:val="left"/>
              <w:rPr>
                <w:rFonts w:cs="仿宋_GB2312"/>
                <w:color w:val="auto"/>
                <w:szCs w:val="24"/>
              </w:rPr>
            </w:pPr>
            <w:r>
              <w:rPr>
                <w:rFonts w:hint="eastAsia" w:cs="宋体"/>
                <w:color w:val="auto"/>
                <w:szCs w:val="24"/>
              </w:rPr>
              <w:t>……</w:t>
            </w:r>
          </w:p>
        </w:tc>
        <w:tc>
          <w:tcPr>
            <w:tcW w:w="1134" w:type="dxa"/>
            <w:vAlign w:val="center"/>
          </w:tcPr>
          <w:p w14:paraId="77792BB3">
            <w:pPr>
              <w:wordWrap w:val="0"/>
              <w:spacing w:line="360" w:lineRule="auto"/>
              <w:jc w:val="center"/>
              <w:rPr>
                <w:rFonts w:cs="仿宋_GB2312"/>
                <w:color w:val="auto"/>
                <w:szCs w:val="24"/>
              </w:rPr>
            </w:pPr>
            <w:r>
              <w:rPr>
                <w:rFonts w:hint="eastAsia" w:cs="宋体"/>
                <w:color w:val="auto"/>
                <w:szCs w:val="24"/>
              </w:rPr>
              <w:t>……</w:t>
            </w:r>
          </w:p>
        </w:tc>
        <w:tc>
          <w:tcPr>
            <w:tcW w:w="1106" w:type="dxa"/>
            <w:vAlign w:val="center"/>
          </w:tcPr>
          <w:p w14:paraId="5D5061DC">
            <w:pPr>
              <w:wordWrap w:val="0"/>
              <w:spacing w:line="360" w:lineRule="auto"/>
              <w:jc w:val="center"/>
              <w:rPr>
                <w:rFonts w:cs="仿宋_GB2312"/>
                <w:color w:val="auto"/>
                <w:szCs w:val="24"/>
              </w:rPr>
            </w:pPr>
            <w:r>
              <w:rPr>
                <w:rFonts w:hint="eastAsia" w:cs="宋体"/>
                <w:color w:val="auto"/>
                <w:szCs w:val="24"/>
              </w:rPr>
              <w:t>……</w:t>
            </w:r>
          </w:p>
        </w:tc>
      </w:tr>
    </w:tbl>
    <w:p w14:paraId="2B16DE5A">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color w:val="auto"/>
          <w:szCs w:val="24"/>
        </w:rPr>
        <w:t>导致的后果由供应商自行承担。</w:t>
      </w:r>
    </w:p>
    <w:p w14:paraId="77912936">
      <w:pPr>
        <w:wordWrap w:val="0"/>
        <w:spacing w:line="360" w:lineRule="auto"/>
        <w:ind w:left="1111" w:leftChars="297" w:hanging="398" w:hangingChars="16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w:t>
      </w:r>
      <w:r>
        <w:rPr>
          <w:rFonts w:hint="eastAsia"/>
          <w:color w:val="auto"/>
          <w:szCs w:val="24"/>
        </w:rPr>
        <w:t>导致的后果由供应商自行承担。</w:t>
      </w:r>
    </w:p>
    <w:p w14:paraId="231BBF2D">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F256DA2">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5A757216">
      <w:pPr>
        <w:wordWrap w:val="0"/>
        <w:spacing w:before="100" w:beforeAutospacing="1" w:after="100" w:afterAutospacing="1" w:line="360" w:lineRule="auto"/>
        <w:ind w:firstLine="3316" w:firstLineChars="1382"/>
        <w:rPr>
          <w:bCs/>
          <w:color w:val="auto"/>
        </w:rPr>
      </w:pPr>
      <w:r>
        <w:rPr>
          <w:bCs/>
          <w:color w:val="auto"/>
        </w:rPr>
        <w:br w:type="page"/>
      </w:r>
    </w:p>
    <w:p w14:paraId="7DE36788">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7" w:name="_Toc122527559"/>
      <w:r>
        <w:rPr>
          <w:rFonts w:hint="eastAsia" w:ascii="宋体" w:hAnsi="宋体" w:eastAsia="宋体"/>
          <w:color w:val="auto"/>
          <w:sz w:val="24"/>
          <w:szCs w:val="24"/>
        </w:rPr>
        <w:t>磋商书</w:t>
      </w:r>
      <w:bookmarkEnd w:id="499"/>
      <w:bookmarkEnd w:id="500"/>
      <w:bookmarkEnd w:id="501"/>
      <w:bookmarkEnd w:id="507"/>
    </w:p>
    <w:p w14:paraId="475F06B2">
      <w:pPr>
        <w:wordWrap w:val="0"/>
        <w:spacing w:line="360" w:lineRule="auto"/>
        <w:ind w:firstLine="480" w:firstLineChars="200"/>
        <w:rPr>
          <w:color w:val="auto"/>
          <w:szCs w:val="24"/>
        </w:rPr>
      </w:pPr>
      <w:r>
        <w:rPr>
          <w:rFonts w:hint="eastAsia"/>
          <w:color w:val="auto"/>
          <w:szCs w:val="24"/>
        </w:rPr>
        <w:t>依据</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项目（项目编号：</w:t>
      </w:r>
      <w:r>
        <w:rPr>
          <w:rFonts w:hint="eastAsia"/>
          <w:color w:val="auto"/>
          <w:szCs w:val="24"/>
          <w:u w:val="single"/>
        </w:rPr>
        <w:t xml:space="preserve">      </w:t>
      </w:r>
      <w:r>
        <w:rPr>
          <w:rFonts w:hint="eastAsia"/>
          <w:color w:val="auto"/>
          <w:szCs w:val="24"/>
        </w:rPr>
        <w:t>）竞争性磋商的磋商邀请，我方代表</w:t>
      </w:r>
      <w:r>
        <w:rPr>
          <w:rFonts w:hint="eastAsia"/>
          <w:color w:val="auto"/>
          <w:szCs w:val="24"/>
          <w:u w:val="single"/>
        </w:rPr>
        <w:t xml:space="preserve"> </w:t>
      </w:r>
      <w:r>
        <w:rPr>
          <w:rFonts w:hint="eastAsia"/>
          <w:i/>
          <w:color w:val="auto"/>
          <w:szCs w:val="24"/>
          <w:u w:val="single"/>
        </w:rPr>
        <w:t>（姓名、职务）</w:t>
      </w:r>
      <w:r>
        <w:rPr>
          <w:rFonts w:hint="eastAsia"/>
          <w:color w:val="auto"/>
          <w:szCs w:val="24"/>
          <w:u w:val="single"/>
        </w:rPr>
        <w:t xml:space="preserve"> </w:t>
      </w:r>
      <w:r>
        <w:rPr>
          <w:rFonts w:hint="eastAsia"/>
          <w:color w:val="auto"/>
          <w:szCs w:val="24"/>
        </w:rPr>
        <w:t>经正式授权并代表供应商</w:t>
      </w:r>
      <w:r>
        <w:rPr>
          <w:rFonts w:hint="eastAsia"/>
          <w:color w:val="auto"/>
          <w:szCs w:val="24"/>
          <w:u w:val="single"/>
        </w:rPr>
        <w:t xml:space="preserve"> </w:t>
      </w:r>
      <w:r>
        <w:rPr>
          <w:rFonts w:hint="eastAsia"/>
          <w:i/>
          <w:color w:val="auto"/>
          <w:szCs w:val="24"/>
          <w:u w:val="single"/>
        </w:rPr>
        <w:t>（供应商全称 ）</w:t>
      </w:r>
      <w:r>
        <w:rPr>
          <w:rFonts w:hint="eastAsia"/>
          <w:color w:val="auto"/>
          <w:szCs w:val="24"/>
          <w:u w:val="single"/>
        </w:rPr>
        <w:t xml:space="preserve"> </w:t>
      </w:r>
      <w:r>
        <w:rPr>
          <w:rFonts w:hint="eastAsia"/>
          <w:color w:val="auto"/>
          <w:szCs w:val="24"/>
        </w:rPr>
        <w:t>提交下述文件：</w:t>
      </w:r>
    </w:p>
    <w:p w14:paraId="746E382C">
      <w:pPr>
        <w:numPr>
          <w:ilvl w:val="0"/>
          <w:numId w:val="66"/>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color w:val="auto"/>
          <w:szCs w:val="32"/>
        </w:rPr>
        <w:t>PDF</w:t>
      </w:r>
      <w:r>
        <w:rPr>
          <w:rFonts w:hint="eastAsia"/>
          <w:color w:val="auto"/>
          <w:szCs w:val="32"/>
        </w:rPr>
        <w:t>格式）；</w:t>
      </w:r>
    </w:p>
    <w:p w14:paraId="7C63A59E">
      <w:pPr>
        <w:numPr>
          <w:ilvl w:val="0"/>
          <w:numId w:val="66"/>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响应数据文件（</w:t>
      </w:r>
      <w:r>
        <w:rPr>
          <w:color w:val="auto"/>
          <w:szCs w:val="32"/>
        </w:rPr>
        <w:t>PDF</w:t>
      </w:r>
      <w:r>
        <w:rPr>
          <w:rFonts w:hint="eastAsia"/>
          <w:color w:val="auto"/>
          <w:szCs w:val="32"/>
        </w:rPr>
        <w:t>格式）。</w:t>
      </w:r>
    </w:p>
    <w:p w14:paraId="14BDD549">
      <w:pPr>
        <w:wordWrap w:val="0"/>
        <w:spacing w:line="360" w:lineRule="auto"/>
        <w:rPr>
          <w:b/>
          <w:color w:val="auto"/>
          <w:szCs w:val="24"/>
        </w:rPr>
      </w:pPr>
      <w:r>
        <w:rPr>
          <w:rFonts w:hint="eastAsia"/>
          <w:b/>
          <w:color w:val="auto"/>
          <w:szCs w:val="24"/>
        </w:rPr>
        <w:t>在此，我方宣布同意如下：</w:t>
      </w:r>
    </w:p>
    <w:p w14:paraId="4FBB82A6">
      <w:pPr>
        <w:pStyle w:val="45"/>
        <w:numPr>
          <w:ilvl w:val="0"/>
          <w:numId w:val="67"/>
        </w:numPr>
        <w:tabs>
          <w:tab w:val="left" w:pos="851"/>
        </w:tabs>
        <w:wordWrap w:val="0"/>
        <w:spacing w:line="360" w:lineRule="auto"/>
        <w:ind w:left="0" w:firstLine="480"/>
        <w:rPr>
          <w:color w:val="auto"/>
          <w:szCs w:val="24"/>
        </w:rPr>
      </w:pPr>
      <w:r>
        <w:rPr>
          <w:rFonts w:hint="eastAsia"/>
          <w:color w:val="auto"/>
          <w:szCs w:val="24"/>
        </w:rPr>
        <w:t>应提交和交付的货物（或服务）磋商总价为</w:t>
      </w:r>
      <w:r>
        <w:rPr>
          <w:rFonts w:hint="eastAsia"/>
          <w:color w:val="auto"/>
          <w:szCs w:val="24"/>
          <w:u w:val="single"/>
        </w:rPr>
        <w:t xml:space="preserve">  详见“磋商数据文件”中磋商一览表（含明细）总报价  </w:t>
      </w:r>
      <w:r>
        <w:rPr>
          <w:rFonts w:hint="eastAsia"/>
          <w:color w:val="auto"/>
          <w:szCs w:val="24"/>
        </w:rPr>
        <w:t>；</w:t>
      </w:r>
    </w:p>
    <w:p w14:paraId="49B30D66">
      <w:pPr>
        <w:pStyle w:val="45"/>
        <w:numPr>
          <w:ilvl w:val="0"/>
          <w:numId w:val="67"/>
        </w:numPr>
        <w:tabs>
          <w:tab w:val="left" w:pos="851"/>
        </w:tabs>
        <w:wordWrap w:val="0"/>
        <w:spacing w:line="360" w:lineRule="auto"/>
        <w:ind w:left="0" w:firstLine="480"/>
        <w:rPr>
          <w:color w:val="auto"/>
          <w:szCs w:val="24"/>
        </w:rPr>
      </w:pPr>
      <w:r>
        <w:rPr>
          <w:rFonts w:hint="eastAsia"/>
          <w:color w:val="auto"/>
          <w:szCs w:val="24"/>
        </w:rPr>
        <w:t>按竞争性磋商文件的约定履行合同责任和义务；</w:t>
      </w:r>
    </w:p>
    <w:p w14:paraId="1E2BE919">
      <w:pPr>
        <w:pStyle w:val="45"/>
        <w:numPr>
          <w:ilvl w:val="0"/>
          <w:numId w:val="67"/>
        </w:numPr>
        <w:tabs>
          <w:tab w:val="left" w:pos="851"/>
        </w:tabs>
        <w:wordWrap w:val="0"/>
        <w:spacing w:line="360" w:lineRule="auto"/>
        <w:ind w:left="0" w:firstLine="480"/>
        <w:rPr>
          <w:color w:val="auto"/>
          <w:szCs w:val="24"/>
        </w:rPr>
      </w:pPr>
      <w:r>
        <w:rPr>
          <w:rFonts w:hint="eastAsia"/>
          <w:color w:val="auto"/>
          <w:szCs w:val="24"/>
        </w:rPr>
        <w:t>已详细审查全部竞争性磋商文件，包括 （修正或补充文件）（如果有的话） ，对此无异议；</w:t>
      </w:r>
    </w:p>
    <w:p w14:paraId="7E64DD02">
      <w:pPr>
        <w:pStyle w:val="45"/>
        <w:numPr>
          <w:ilvl w:val="0"/>
          <w:numId w:val="67"/>
        </w:numPr>
        <w:tabs>
          <w:tab w:val="left" w:pos="851"/>
        </w:tabs>
        <w:wordWrap w:val="0"/>
        <w:spacing w:line="360" w:lineRule="auto"/>
        <w:ind w:left="0" w:firstLine="480"/>
        <w:rPr>
          <w:color w:val="auto"/>
          <w:szCs w:val="24"/>
        </w:rPr>
      </w:pPr>
      <w:r>
        <w:rPr>
          <w:rFonts w:hint="eastAsia"/>
          <w:color w:val="auto"/>
          <w:szCs w:val="24"/>
        </w:rPr>
        <w:t>磋商有效期为自提交磋商文件截止之日起，共</w:t>
      </w:r>
      <w:r>
        <w:rPr>
          <w:rFonts w:hint="eastAsia"/>
          <w:color w:val="auto"/>
          <w:szCs w:val="24"/>
          <w:u w:val="single"/>
        </w:rPr>
        <w:t xml:space="preserve">      </w:t>
      </w:r>
      <w:r>
        <w:rPr>
          <w:rFonts w:hint="eastAsia"/>
          <w:color w:val="auto"/>
          <w:szCs w:val="24"/>
        </w:rPr>
        <w:t>个日历天；</w:t>
      </w:r>
    </w:p>
    <w:p w14:paraId="4184DBAB">
      <w:pPr>
        <w:pStyle w:val="45"/>
        <w:numPr>
          <w:ilvl w:val="0"/>
          <w:numId w:val="67"/>
        </w:numPr>
        <w:tabs>
          <w:tab w:val="left" w:pos="851"/>
        </w:tabs>
        <w:wordWrap w:val="0"/>
        <w:spacing w:line="360" w:lineRule="auto"/>
        <w:ind w:left="0" w:firstLine="480"/>
        <w:rPr>
          <w:color w:val="auto"/>
          <w:szCs w:val="24"/>
        </w:rPr>
      </w:pPr>
      <w:r>
        <w:rPr>
          <w:rFonts w:hint="eastAsia"/>
          <w:color w:val="auto"/>
          <w:szCs w:val="24"/>
        </w:rPr>
        <w:t>提供按照贵方可能要求的与磋商有关的一切数据或资料；</w:t>
      </w:r>
    </w:p>
    <w:p w14:paraId="1FB7E6C4">
      <w:pPr>
        <w:pStyle w:val="45"/>
        <w:numPr>
          <w:ilvl w:val="0"/>
          <w:numId w:val="67"/>
        </w:numPr>
        <w:tabs>
          <w:tab w:val="left" w:pos="851"/>
        </w:tabs>
        <w:wordWrap w:val="0"/>
        <w:spacing w:line="360" w:lineRule="auto"/>
        <w:ind w:left="0" w:firstLine="480"/>
        <w:rPr>
          <w:color w:val="auto"/>
          <w:szCs w:val="24"/>
        </w:rPr>
      </w:pPr>
      <w:r>
        <w:rPr>
          <w:rFonts w:hint="eastAsia"/>
          <w:color w:val="auto"/>
          <w:szCs w:val="24"/>
        </w:rPr>
        <w:t>与磋商有关的一切正式往来信函请寄：</w:t>
      </w:r>
      <w:r>
        <w:rPr>
          <w:rFonts w:hint="eastAsia"/>
          <w:color w:val="auto"/>
          <w:szCs w:val="24"/>
          <w:u w:val="single"/>
        </w:rPr>
        <w:t xml:space="preserve">                              </w:t>
      </w:r>
      <w:r>
        <w:rPr>
          <w:rFonts w:hint="eastAsia"/>
          <w:color w:val="auto"/>
          <w:szCs w:val="24"/>
        </w:rPr>
        <w:t>。</w:t>
      </w:r>
    </w:p>
    <w:p w14:paraId="591E782E">
      <w:pPr>
        <w:wordWrap w:val="0"/>
        <w:spacing w:line="360" w:lineRule="auto"/>
        <w:ind w:left="14" w:leftChars="6" w:firstLine="472" w:firstLineChars="197"/>
        <w:rPr>
          <w:color w:val="auto"/>
          <w:szCs w:val="24"/>
        </w:rPr>
      </w:pPr>
    </w:p>
    <w:p w14:paraId="187F4C84">
      <w:pPr>
        <w:wordWrap w:val="0"/>
        <w:spacing w:line="360" w:lineRule="auto"/>
        <w:ind w:left="14" w:leftChars="6" w:firstLine="472" w:firstLineChars="197"/>
        <w:rPr>
          <w:color w:val="auto"/>
          <w:szCs w:val="24"/>
        </w:rPr>
      </w:pPr>
      <w:r>
        <w:rPr>
          <w:rFonts w:hint="eastAsia"/>
          <w:color w:val="auto"/>
          <w:szCs w:val="24"/>
        </w:rPr>
        <w:t>地  址：</w:t>
      </w:r>
      <w:r>
        <w:rPr>
          <w:rFonts w:hint="eastAsia"/>
          <w:color w:val="auto"/>
          <w:szCs w:val="24"/>
          <w:u w:val="single"/>
        </w:rPr>
        <w:t xml:space="preserve">                                 </w:t>
      </w:r>
    </w:p>
    <w:p w14:paraId="3F24AEFF">
      <w:pPr>
        <w:wordWrap w:val="0"/>
        <w:spacing w:line="360" w:lineRule="auto"/>
        <w:ind w:left="14" w:leftChars="6" w:firstLine="472" w:firstLineChars="197"/>
        <w:rPr>
          <w:color w:val="auto"/>
          <w:szCs w:val="24"/>
        </w:rPr>
      </w:pPr>
      <w:r>
        <w:rPr>
          <w:rFonts w:hint="eastAsia"/>
          <w:color w:val="auto"/>
          <w:szCs w:val="24"/>
        </w:rPr>
        <w:t>电话/传真：</w:t>
      </w:r>
      <w:r>
        <w:rPr>
          <w:rFonts w:hint="eastAsia"/>
          <w:color w:val="auto"/>
          <w:szCs w:val="24"/>
          <w:u w:val="single"/>
        </w:rPr>
        <w:t xml:space="preserve">                              </w:t>
      </w:r>
    </w:p>
    <w:p w14:paraId="38700B3E">
      <w:pPr>
        <w:wordWrap w:val="0"/>
        <w:spacing w:line="360" w:lineRule="auto"/>
        <w:ind w:left="14" w:leftChars="6" w:firstLine="472" w:firstLineChars="197"/>
        <w:rPr>
          <w:color w:val="auto"/>
          <w:szCs w:val="24"/>
        </w:rPr>
      </w:pPr>
      <w:r>
        <w:rPr>
          <w:rFonts w:hint="eastAsia"/>
          <w:color w:val="auto"/>
          <w:szCs w:val="24"/>
        </w:rPr>
        <w:t>电子邮箱：</w:t>
      </w:r>
      <w:r>
        <w:rPr>
          <w:rFonts w:hint="eastAsia"/>
          <w:color w:val="auto"/>
          <w:szCs w:val="24"/>
          <w:u w:val="single"/>
        </w:rPr>
        <w:t xml:space="preserve">                               </w:t>
      </w:r>
    </w:p>
    <w:p w14:paraId="67C696F2">
      <w:pPr>
        <w:spacing w:line="360" w:lineRule="auto"/>
        <w:jc w:val="left"/>
        <w:rPr>
          <w:color w:val="auto"/>
          <w:szCs w:val="24"/>
        </w:rPr>
      </w:pPr>
      <w:r>
        <w:rPr>
          <w:rFonts w:hint="eastAsia"/>
          <w:color w:val="auto"/>
          <w:szCs w:val="24"/>
        </w:rPr>
        <w:t xml:space="preserve">    </w:t>
      </w:r>
    </w:p>
    <w:p w14:paraId="5D46A5DA">
      <w:pPr>
        <w:wordWrap w:val="0"/>
        <w:spacing w:before="100" w:beforeAutospacing="1" w:after="100" w:afterAutospacing="1" w:line="360" w:lineRule="auto"/>
        <w:ind w:firstLine="3316" w:firstLineChars="1382"/>
        <w:rPr>
          <w:bCs/>
          <w:color w:val="auto"/>
        </w:rPr>
      </w:pPr>
      <w:r>
        <w:rPr>
          <w:rFonts w:hint="eastAsia"/>
          <w:bCs/>
          <w:color w:val="auto"/>
        </w:rPr>
        <w:t>供应商（公章）：</w:t>
      </w:r>
      <w:r>
        <w:rPr>
          <w:rFonts w:hint="eastAsia"/>
          <w:bCs/>
          <w:color w:val="auto"/>
          <w:u w:val="single"/>
        </w:rPr>
        <w:t xml:space="preserve">                          </w:t>
      </w:r>
    </w:p>
    <w:p w14:paraId="606DEE21">
      <w:pPr>
        <w:wordWrap w:val="0"/>
        <w:spacing w:before="100" w:beforeAutospacing="1" w:after="100" w:afterAutospacing="1" w:line="360" w:lineRule="auto"/>
        <w:ind w:firstLine="3316" w:firstLineChars="1382"/>
        <w:rPr>
          <w:bCs/>
          <w:color w:val="auto"/>
        </w:rPr>
      </w:pPr>
      <w:r>
        <w:rPr>
          <w:rFonts w:hint="eastAsia"/>
          <w:bCs/>
          <w:color w:val="auto"/>
        </w:rPr>
        <w:t>日    期：</w:t>
      </w:r>
      <w:r>
        <w:rPr>
          <w:rFonts w:hint="eastAsia"/>
          <w:bCs/>
          <w:color w:val="auto"/>
          <w:u w:val="single"/>
        </w:rPr>
        <w:t xml:space="preserve">                                </w:t>
      </w:r>
    </w:p>
    <w:p w14:paraId="254E99B9">
      <w:pPr>
        <w:pStyle w:val="11"/>
        <w:wordWrap w:val="0"/>
        <w:spacing w:line="360" w:lineRule="auto"/>
        <w:rPr>
          <w:color w:val="auto"/>
        </w:rPr>
      </w:pPr>
      <w:r>
        <w:rPr>
          <w:color w:val="auto"/>
        </w:rPr>
        <w:br w:type="page"/>
      </w:r>
    </w:p>
    <w:p w14:paraId="50731969">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8" w:name="_Toc117244391"/>
      <w:bookmarkStart w:id="509" w:name="_Toc107561310"/>
      <w:bookmarkStart w:id="510" w:name="_Toc122527560"/>
      <w:bookmarkStart w:id="511" w:name="_Toc117244506"/>
      <w:r>
        <w:rPr>
          <w:rFonts w:hint="eastAsia" w:ascii="宋体" w:hAnsi="宋体" w:eastAsia="宋体"/>
          <w:color w:val="auto"/>
          <w:sz w:val="24"/>
          <w:szCs w:val="24"/>
        </w:rPr>
        <w:t>磋商</w:t>
      </w:r>
      <w:r>
        <w:rPr>
          <w:rFonts w:hint="eastAsia" w:ascii="宋体" w:hAnsi="宋体" w:eastAsia="宋体" w:cs="Times New Roman"/>
          <w:bCs w:val="0"/>
          <w:color w:val="auto"/>
          <w:sz w:val="24"/>
          <w:szCs w:val="24"/>
        </w:rPr>
        <w:t>报价表</w:t>
      </w:r>
      <w:bookmarkEnd w:id="508"/>
      <w:bookmarkEnd w:id="509"/>
      <w:bookmarkEnd w:id="510"/>
      <w:bookmarkEnd w:id="511"/>
    </w:p>
    <w:p w14:paraId="7EEBD33B">
      <w:pPr>
        <w:wordWrap w:val="0"/>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14:paraId="74A80CA9">
      <w:pPr>
        <w:wordWrap w:val="0"/>
        <w:spacing w:line="360" w:lineRule="auto"/>
        <w:jc w:val="left"/>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p w14:paraId="570BF772">
      <w:pPr>
        <w:wordWrap w:val="0"/>
        <w:spacing w:line="360" w:lineRule="auto"/>
        <w:ind w:left="1091" w:hanging="1091" w:hangingChars="453"/>
        <w:jc w:val="left"/>
        <w:rPr>
          <w:rFonts w:cs="Courier New"/>
          <w:b/>
          <w:color w:val="auto"/>
          <w:szCs w:val="21"/>
        </w:rPr>
      </w:pPr>
    </w:p>
    <w:p w14:paraId="5257EF0F">
      <w:pPr>
        <w:wordWrap w:val="0"/>
        <w:spacing w:line="360" w:lineRule="auto"/>
        <w:ind w:firstLine="482" w:firstLineChars="200"/>
        <w:jc w:val="left"/>
        <w:rPr>
          <w:rFonts w:cs="Courier New"/>
          <w:color w:val="auto"/>
          <w:szCs w:val="24"/>
        </w:rPr>
      </w:pPr>
      <w:r>
        <w:rPr>
          <w:rFonts w:hint="eastAsia" w:cs="Courier New"/>
          <w:b/>
          <w:color w:val="auto"/>
          <w:szCs w:val="21"/>
        </w:rPr>
        <w:t>详见</w:t>
      </w:r>
      <w:r>
        <w:rPr>
          <w:rFonts w:hint="eastAsia"/>
          <w:b/>
          <w:color w:val="auto"/>
          <w:szCs w:val="24"/>
          <w:lang w:val="zh-CN"/>
        </w:rPr>
        <w:t>响应数据文件（</w:t>
      </w:r>
      <w:r>
        <w:rPr>
          <w:b/>
          <w:color w:val="auto"/>
          <w:szCs w:val="24"/>
          <w:lang w:val="zh-CN"/>
        </w:rPr>
        <w:t>PDF</w:t>
      </w:r>
      <w:r>
        <w:rPr>
          <w:rFonts w:hint="eastAsia"/>
          <w:b/>
          <w:color w:val="auto"/>
          <w:szCs w:val="24"/>
          <w:lang w:val="zh-CN"/>
        </w:rPr>
        <w:t>格式）“磋商（</w:t>
      </w:r>
      <w:r>
        <w:rPr>
          <w:b/>
          <w:color w:val="auto"/>
          <w:szCs w:val="24"/>
          <w:lang w:val="zh-CN"/>
        </w:rPr>
        <w:t>报价）</w:t>
      </w:r>
      <w:r>
        <w:rPr>
          <w:rFonts w:hint="eastAsia"/>
          <w:b/>
          <w:color w:val="auto"/>
          <w:szCs w:val="24"/>
          <w:lang w:val="zh-CN"/>
        </w:rPr>
        <w:t>一览表”</w:t>
      </w:r>
    </w:p>
    <w:p w14:paraId="45E3C354">
      <w:pPr>
        <w:wordWrap w:val="0"/>
        <w:spacing w:line="360" w:lineRule="auto"/>
        <w:ind w:firstLine="480" w:firstLineChars="200"/>
        <w:jc w:val="left"/>
        <w:rPr>
          <w:rFonts w:cs="Courier New"/>
          <w:b/>
          <w:color w:val="auto"/>
          <w:szCs w:val="21"/>
        </w:rPr>
      </w:pPr>
      <w:r>
        <w:rPr>
          <w:rFonts w:hint="eastAsia" w:cs="Courier New"/>
          <w:color w:val="auto"/>
          <w:szCs w:val="24"/>
        </w:rPr>
        <w:t>（</w:t>
      </w:r>
      <w:r>
        <w:rPr>
          <w:rFonts w:hint="eastAsia" w:ascii="楷体" w:hAnsi="楷体" w:eastAsia="楷体" w:cs="Courier New"/>
          <w:color w:val="auto"/>
          <w:szCs w:val="24"/>
        </w:rPr>
        <w:t>可不再提供 “磋商一览表”</w:t>
      </w:r>
      <w:r>
        <w:rPr>
          <w:rFonts w:hint="eastAsia" w:cs="Courier New"/>
          <w:color w:val="auto"/>
          <w:szCs w:val="24"/>
        </w:rPr>
        <w:t>）</w:t>
      </w:r>
    </w:p>
    <w:p w14:paraId="3ACC4BB8">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7BF4490D">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1B9F67B">
      <w:pPr>
        <w:pStyle w:val="2"/>
        <w:numPr>
          <w:ilvl w:val="0"/>
          <w:numId w:val="68"/>
        </w:numPr>
        <w:tabs>
          <w:tab w:val="left" w:pos="567"/>
        </w:tabs>
        <w:spacing w:line="360" w:lineRule="auto"/>
        <w:ind w:left="482" w:hanging="482" w:hangingChars="200"/>
        <w:jc w:val="left"/>
        <w:rPr>
          <w:rFonts w:cs="Times New Roman" w:asciiTheme="majorEastAsia" w:hAnsiTheme="majorEastAsia"/>
          <w:color w:val="auto"/>
          <w:sz w:val="24"/>
          <w:szCs w:val="24"/>
        </w:rPr>
      </w:pPr>
      <w:bookmarkStart w:id="512" w:name="_Toc117244507"/>
      <w:bookmarkStart w:id="513" w:name="_Toc511895475"/>
      <w:bookmarkStart w:id="514" w:name="_Toc117244392"/>
      <w:bookmarkStart w:id="515" w:name="_Toc107561243"/>
      <w:bookmarkStart w:id="516" w:name="_Toc122527561"/>
      <w:bookmarkStart w:id="517" w:name="_Toc511894534"/>
      <w:bookmarkStart w:id="518" w:name="_Toc107561311"/>
      <w:r>
        <w:rPr>
          <w:rFonts w:hint="eastAsia" w:cs="Times New Roman" w:asciiTheme="majorEastAsia" w:hAnsiTheme="majorEastAsia"/>
          <w:color w:val="auto"/>
          <w:sz w:val="24"/>
          <w:szCs w:val="24"/>
        </w:rPr>
        <w:t>磋商报价明细表</w:t>
      </w:r>
      <w:bookmarkEnd w:id="512"/>
      <w:bookmarkEnd w:id="513"/>
      <w:bookmarkEnd w:id="514"/>
      <w:bookmarkEnd w:id="515"/>
      <w:bookmarkEnd w:id="516"/>
      <w:bookmarkEnd w:id="517"/>
    </w:p>
    <w:p w14:paraId="0134E86C">
      <w:pPr>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14:paraId="35D87712">
      <w:pPr>
        <w:spacing w:line="360" w:lineRule="auto"/>
        <w:jc w:val="left"/>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5870FB2">
      <w:pPr>
        <w:spacing w:line="360" w:lineRule="auto"/>
        <w:jc w:val="left"/>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0C50B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25640609">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14:paraId="51D757AD">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14:paraId="3DA00952">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7D18CDF2">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14:paraId="7BD5A501">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14:paraId="1AC91B19">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14:paraId="410C40FE">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0DD2EE96">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7ECA1475">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14:paraId="2EE76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04D91D4">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7D786B18">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14:paraId="4C813299">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61CE71E">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14:paraId="1686A80A">
            <w:pPr>
              <w:spacing w:line="240" w:lineRule="atLeast"/>
              <w:ind w:left="-55" w:leftChars="-23" w:right="-430" w:rightChars="-179"/>
              <w:jc w:val="center"/>
              <w:rPr>
                <w:rFonts w:cs="宋体"/>
                <w:color w:val="auto"/>
                <w:szCs w:val="24"/>
              </w:rPr>
            </w:pPr>
          </w:p>
        </w:tc>
        <w:tc>
          <w:tcPr>
            <w:tcW w:w="709" w:type="dxa"/>
            <w:shd w:val="clear" w:color="auto" w:fill="auto"/>
            <w:vAlign w:val="center"/>
          </w:tcPr>
          <w:p w14:paraId="0DC9089A">
            <w:pPr>
              <w:spacing w:line="240" w:lineRule="atLeast"/>
              <w:ind w:left="-55" w:leftChars="-23" w:right="-74" w:rightChars="-31"/>
              <w:jc w:val="center"/>
              <w:rPr>
                <w:rFonts w:cs="宋体"/>
                <w:color w:val="auto"/>
                <w:szCs w:val="24"/>
              </w:rPr>
            </w:pPr>
          </w:p>
        </w:tc>
        <w:tc>
          <w:tcPr>
            <w:tcW w:w="1134" w:type="dxa"/>
            <w:shd w:val="clear" w:color="auto" w:fill="auto"/>
            <w:vAlign w:val="center"/>
          </w:tcPr>
          <w:p w14:paraId="28CE405C">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3877B9D2">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056CBBCD">
            <w:pPr>
              <w:spacing w:line="240" w:lineRule="atLeast"/>
              <w:ind w:left="-55" w:leftChars="-23" w:right="-74" w:rightChars="-31"/>
              <w:jc w:val="center"/>
              <w:rPr>
                <w:rFonts w:cs="宋体"/>
                <w:color w:val="auto"/>
                <w:szCs w:val="24"/>
              </w:rPr>
            </w:pPr>
          </w:p>
        </w:tc>
      </w:tr>
      <w:tr w14:paraId="33C71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CAF9AD3">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34EF4627">
            <w:pPr>
              <w:tabs>
                <w:tab w:val="left" w:pos="0"/>
                <w:tab w:val="left" w:pos="56"/>
              </w:tabs>
              <w:adjustRightInd w:val="0"/>
              <w:snapToGrid w:val="0"/>
              <w:jc w:val="center"/>
              <w:rPr>
                <w:color w:val="auto"/>
              </w:rPr>
            </w:pPr>
          </w:p>
        </w:tc>
        <w:tc>
          <w:tcPr>
            <w:tcW w:w="1560" w:type="dxa"/>
            <w:shd w:val="clear" w:color="auto" w:fill="auto"/>
            <w:vAlign w:val="center"/>
          </w:tcPr>
          <w:p w14:paraId="311181B4">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197F6B7C">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2BF7D68E">
            <w:pPr>
              <w:spacing w:line="240" w:lineRule="atLeast"/>
              <w:ind w:left="-55" w:leftChars="-23" w:right="-74" w:rightChars="-31"/>
              <w:jc w:val="center"/>
              <w:rPr>
                <w:rFonts w:cs="宋体"/>
                <w:color w:val="auto"/>
                <w:szCs w:val="24"/>
              </w:rPr>
            </w:pPr>
          </w:p>
        </w:tc>
        <w:tc>
          <w:tcPr>
            <w:tcW w:w="709" w:type="dxa"/>
            <w:shd w:val="clear" w:color="auto" w:fill="auto"/>
            <w:vAlign w:val="center"/>
          </w:tcPr>
          <w:p w14:paraId="5D14C052">
            <w:pPr>
              <w:spacing w:line="240" w:lineRule="atLeast"/>
              <w:ind w:left="-55" w:leftChars="-23" w:right="-74" w:rightChars="-31"/>
              <w:jc w:val="center"/>
              <w:rPr>
                <w:rFonts w:cs="宋体"/>
                <w:color w:val="auto"/>
                <w:szCs w:val="24"/>
              </w:rPr>
            </w:pPr>
          </w:p>
        </w:tc>
        <w:tc>
          <w:tcPr>
            <w:tcW w:w="1134" w:type="dxa"/>
            <w:shd w:val="clear" w:color="auto" w:fill="auto"/>
            <w:vAlign w:val="center"/>
          </w:tcPr>
          <w:p w14:paraId="2D48CF4F">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62775366">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0B6A919E">
            <w:pPr>
              <w:spacing w:line="240" w:lineRule="atLeast"/>
              <w:ind w:left="-55" w:leftChars="-23" w:right="-74" w:rightChars="-31"/>
              <w:jc w:val="center"/>
              <w:rPr>
                <w:rFonts w:cs="宋体"/>
                <w:color w:val="auto"/>
                <w:szCs w:val="24"/>
              </w:rPr>
            </w:pPr>
          </w:p>
        </w:tc>
      </w:tr>
      <w:tr w14:paraId="354F1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569AE2C">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6ECA5CA0">
            <w:pPr>
              <w:tabs>
                <w:tab w:val="left" w:pos="0"/>
                <w:tab w:val="left" w:pos="56"/>
              </w:tabs>
              <w:adjustRightInd w:val="0"/>
              <w:snapToGrid w:val="0"/>
              <w:jc w:val="center"/>
              <w:rPr>
                <w:color w:val="auto"/>
              </w:rPr>
            </w:pPr>
          </w:p>
        </w:tc>
        <w:tc>
          <w:tcPr>
            <w:tcW w:w="1560" w:type="dxa"/>
            <w:shd w:val="clear" w:color="auto" w:fill="auto"/>
            <w:vAlign w:val="center"/>
          </w:tcPr>
          <w:p w14:paraId="02C0BFBB">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53E7E317">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17EDFD4B">
            <w:pPr>
              <w:spacing w:line="240" w:lineRule="atLeast"/>
              <w:ind w:left="-55" w:leftChars="-23" w:right="-74" w:rightChars="-31"/>
              <w:jc w:val="center"/>
              <w:rPr>
                <w:rFonts w:cs="宋体"/>
                <w:color w:val="auto"/>
                <w:szCs w:val="24"/>
              </w:rPr>
            </w:pPr>
          </w:p>
        </w:tc>
        <w:tc>
          <w:tcPr>
            <w:tcW w:w="709" w:type="dxa"/>
            <w:shd w:val="clear" w:color="auto" w:fill="auto"/>
            <w:vAlign w:val="center"/>
          </w:tcPr>
          <w:p w14:paraId="36198ED4">
            <w:pPr>
              <w:spacing w:line="240" w:lineRule="atLeast"/>
              <w:ind w:left="-55" w:leftChars="-23" w:right="-74" w:rightChars="-31"/>
              <w:jc w:val="center"/>
              <w:rPr>
                <w:rFonts w:cs="宋体"/>
                <w:color w:val="auto"/>
                <w:szCs w:val="24"/>
              </w:rPr>
            </w:pPr>
          </w:p>
        </w:tc>
        <w:tc>
          <w:tcPr>
            <w:tcW w:w="1134" w:type="dxa"/>
            <w:shd w:val="clear" w:color="auto" w:fill="auto"/>
            <w:vAlign w:val="center"/>
          </w:tcPr>
          <w:p w14:paraId="18F3B870">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3AE29598">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8158A5D">
            <w:pPr>
              <w:spacing w:line="240" w:lineRule="atLeast"/>
              <w:ind w:left="-55" w:leftChars="-23" w:right="-74" w:rightChars="-31"/>
              <w:jc w:val="center"/>
              <w:rPr>
                <w:rFonts w:cs="宋体"/>
                <w:color w:val="auto"/>
                <w:szCs w:val="24"/>
              </w:rPr>
            </w:pPr>
          </w:p>
        </w:tc>
      </w:tr>
      <w:tr w14:paraId="34844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7BD0417">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42622C24">
            <w:pPr>
              <w:tabs>
                <w:tab w:val="left" w:pos="0"/>
                <w:tab w:val="left" w:pos="56"/>
              </w:tabs>
              <w:adjustRightInd w:val="0"/>
              <w:snapToGrid w:val="0"/>
              <w:jc w:val="center"/>
              <w:rPr>
                <w:color w:val="auto"/>
              </w:rPr>
            </w:pPr>
          </w:p>
        </w:tc>
        <w:tc>
          <w:tcPr>
            <w:tcW w:w="1560" w:type="dxa"/>
            <w:shd w:val="clear" w:color="auto" w:fill="auto"/>
            <w:vAlign w:val="center"/>
          </w:tcPr>
          <w:p w14:paraId="40FD0331">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0DC3AF0">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7570F101">
            <w:pPr>
              <w:spacing w:line="240" w:lineRule="atLeast"/>
              <w:ind w:left="-55" w:leftChars="-23" w:right="-74" w:rightChars="-31"/>
              <w:jc w:val="center"/>
              <w:rPr>
                <w:rFonts w:cs="宋体"/>
                <w:color w:val="auto"/>
                <w:szCs w:val="24"/>
              </w:rPr>
            </w:pPr>
          </w:p>
        </w:tc>
        <w:tc>
          <w:tcPr>
            <w:tcW w:w="709" w:type="dxa"/>
            <w:shd w:val="clear" w:color="auto" w:fill="auto"/>
            <w:vAlign w:val="center"/>
          </w:tcPr>
          <w:p w14:paraId="5F6ADA7C">
            <w:pPr>
              <w:spacing w:line="240" w:lineRule="atLeast"/>
              <w:ind w:left="-55" w:leftChars="-23" w:right="-74" w:rightChars="-31"/>
              <w:jc w:val="center"/>
              <w:rPr>
                <w:rFonts w:cs="宋体"/>
                <w:color w:val="auto"/>
                <w:szCs w:val="24"/>
              </w:rPr>
            </w:pPr>
          </w:p>
        </w:tc>
        <w:tc>
          <w:tcPr>
            <w:tcW w:w="1134" w:type="dxa"/>
            <w:shd w:val="clear" w:color="auto" w:fill="auto"/>
            <w:vAlign w:val="center"/>
          </w:tcPr>
          <w:p w14:paraId="4C3754A3">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0D9DED24">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56889F11">
            <w:pPr>
              <w:spacing w:line="240" w:lineRule="atLeast"/>
              <w:ind w:left="-55" w:leftChars="-23" w:right="-74" w:rightChars="-31"/>
              <w:jc w:val="center"/>
              <w:rPr>
                <w:rFonts w:cs="宋体"/>
                <w:color w:val="auto"/>
                <w:szCs w:val="24"/>
              </w:rPr>
            </w:pPr>
          </w:p>
        </w:tc>
      </w:tr>
      <w:tr w14:paraId="33D59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6D27D6E">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603EEAB1">
            <w:pPr>
              <w:tabs>
                <w:tab w:val="left" w:pos="0"/>
                <w:tab w:val="left" w:pos="56"/>
              </w:tabs>
              <w:adjustRightInd w:val="0"/>
              <w:snapToGrid w:val="0"/>
              <w:jc w:val="center"/>
              <w:rPr>
                <w:color w:val="auto"/>
              </w:rPr>
            </w:pPr>
          </w:p>
        </w:tc>
        <w:tc>
          <w:tcPr>
            <w:tcW w:w="1560" w:type="dxa"/>
            <w:shd w:val="clear" w:color="auto" w:fill="auto"/>
            <w:vAlign w:val="center"/>
          </w:tcPr>
          <w:p w14:paraId="7F1859F6">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37808A8F">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46A2CB63">
            <w:pPr>
              <w:spacing w:line="240" w:lineRule="atLeast"/>
              <w:ind w:left="-55" w:leftChars="-23" w:right="-74" w:rightChars="-31"/>
              <w:jc w:val="center"/>
              <w:rPr>
                <w:rFonts w:cs="宋体"/>
                <w:color w:val="auto"/>
                <w:szCs w:val="24"/>
              </w:rPr>
            </w:pPr>
          </w:p>
        </w:tc>
        <w:tc>
          <w:tcPr>
            <w:tcW w:w="709" w:type="dxa"/>
            <w:shd w:val="clear" w:color="auto" w:fill="auto"/>
            <w:vAlign w:val="center"/>
          </w:tcPr>
          <w:p w14:paraId="1E89F746">
            <w:pPr>
              <w:spacing w:line="240" w:lineRule="atLeast"/>
              <w:ind w:left="-55" w:leftChars="-23" w:right="-74" w:rightChars="-31"/>
              <w:jc w:val="center"/>
              <w:rPr>
                <w:rFonts w:cs="宋体"/>
                <w:color w:val="auto"/>
                <w:szCs w:val="24"/>
              </w:rPr>
            </w:pPr>
          </w:p>
        </w:tc>
        <w:tc>
          <w:tcPr>
            <w:tcW w:w="1134" w:type="dxa"/>
            <w:shd w:val="clear" w:color="auto" w:fill="auto"/>
            <w:vAlign w:val="center"/>
          </w:tcPr>
          <w:p w14:paraId="6FA7D4AB">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144D9E3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1D8D1DFA">
            <w:pPr>
              <w:spacing w:line="240" w:lineRule="atLeast"/>
              <w:ind w:left="-55" w:leftChars="-23" w:right="-74" w:rightChars="-31"/>
              <w:jc w:val="center"/>
              <w:rPr>
                <w:rFonts w:cs="宋体"/>
                <w:color w:val="auto"/>
                <w:szCs w:val="24"/>
              </w:rPr>
            </w:pPr>
          </w:p>
        </w:tc>
      </w:tr>
      <w:tr w14:paraId="6503A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70847C0">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14:paraId="5CA23533">
            <w:pPr>
              <w:tabs>
                <w:tab w:val="left" w:pos="0"/>
                <w:tab w:val="left" w:pos="56"/>
              </w:tabs>
              <w:adjustRightInd w:val="0"/>
              <w:snapToGrid w:val="0"/>
              <w:jc w:val="center"/>
              <w:rPr>
                <w:color w:val="auto"/>
              </w:rPr>
            </w:pPr>
          </w:p>
        </w:tc>
        <w:tc>
          <w:tcPr>
            <w:tcW w:w="1560" w:type="dxa"/>
            <w:shd w:val="clear" w:color="auto" w:fill="auto"/>
            <w:vAlign w:val="center"/>
          </w:tcPr>
          <w:p w14:paraId="17CA65BF">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60CD5FBE">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7E71BDC7">
            <w:pPr>
              <w:spacing w:line="240" w:lineRule="atLeast"/>
              <w:ind w:left="-55" w:leftChars="-23" w:right="-74" w:rightChars="-31"/>
              <w:jc w:val="center"/>
              <w:rPr>
                <w:rFonts w:cs="宋体"/>
                <w:color w:val="auto"/>
                <w:szCs w:val="24"/>
              </w:rPr>
            </w:pPr>
          </w:p>
        </w:tc>
        <w:tc>
          <w:tcPr>
            <w:tcW w:w="709" w:type="dxa"/>
            <w:shd w:val="clear" w:color="auto" w:fill="auto"/>
            <w:vAlign w:val="center"/>
          </w:tcPr>
          <w:p w14:paraId="1560EDA4">
            <w:pPr>
              <w:spacing w:line="240" w:lineRule="atLeast"/>
              <w:ind w:left="-55" w:leftChars="-23" w:right="-74" w:rightChars="-31"/>
              <w:jc w:val="center"/>
              <w:rPr>
                <w:rFonts w:cs="宋体"/>
                <w:color w:val="auto"/>
                <w:szCs w:val="24"/>
              </w:rPr>
            </w:pPr>
          </w:p>
        </w:tc>
        <w:tc>
          <w:tcPr>
            <w:tcW w:w="1134" w:type="dxa"/>
            <w:shd w:val="clear" w:color="auto" w:fill="auto"/>
            <w:vAlign w:val="center"/>
          </w:tcPr>
          <w:p w14:paraId="5562A37C">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10CE09D8">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0210F0A9">
            <w:pPr>
              <w:spacing w:line="240" w:lineRule="atLeast"/>
              <w:ind w:left="-55" w:leftChars="-23" w:right="-74" w:rightChars="-31"/>
              <w:jc w:val="center"/>
              <w:rPr>
                <w:rFonts w:cs="宋体"/>
                <w:color w:val="auto"/>
                <w:szCs w:val="24"/>
              </w:rPr>
            </w:pPr>
          </w:p>
        </w:tc>
      </w:tr>
      <w:tr w14:paraId="00D05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E2B55ED">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14:paraId="0D7DBEBF">
            <w:pPr>
              <w:spacing w:line="240" w:lineRule="atLeast"/>
              <w:ind w:left="-55" w:leftChars="-23" w:right="-74" w:rightChars="-31"/>
              <w:jc w:val="left"/>
              <w:rPr>
                <w:rFonts w:cs="宋体"/>
                <w:color w:val="auto"/>
                <w:szCs w:val="24"/>
              </w:rPr>
            </w:pPr>
          </w:p>
        </w:tc>
        <w:tc>
          <w:tcPr>
            <w:tcW w:w="1560" w:type="dxa"/>
            <w:shd w:val="clear" w:color="auto" w:fill="auto"/>
            <w:vAlign w:val="center"/>
          </w:tcPr>
          <w:p w14:paraId="08656696">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451E1385">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57E7776D">
            <w:pPr>
              <w:spacing w:line="240" w:lineRule="atLeast"/>
              <w:ind w:left="-55" w:leftChars="-23" w:right="-74" w:rightChars="-31"/>
              <w:jc w:val="center"/>
              <w:rPr>
                <w:rFonts w:cs="宋体"/>
                <w:color w:val="auto"/>
                <w:szCs w:val="24"/>
              </w:rPr>
            </w:pPr>
          </w:p>
        </w:tc>
        <w:tc>
          <w:tcPr>
            <w:tcW w:w="709" w:type="dxa"/>
            <w:shd w:val="clear" w:color="auto" w:fill="auto"/>
            <w:vAlign w:val="center"/>
          </w:tcPr>
          <w:p w14:paraId="1FF35C14">
            <w:pPr>
              <w:spacing w:line="240" w:lineRule="atLeast"/>
              <w:ind w:left="-55" w:leftChars="-23" w:right="-74" w:rightChars="-31"/>
              <w:jc w:val="center"/>
              <w:rPr>
                <w:rFonts w:cs="宋体"/>
                <w:color w:val="auto"/>
                <w:szCs w:val="24"/>
              </w:rPr>
            </w:pPr>
          </w:p>
        </w:tc>
        <w:tc>
          <w:tcPr>
            <w:tcW w:w="1134" w:type="dxa"/>
            <w:shd w:val="clear" w:color="auto" w:fill="auto"/>
            <w:vAlign w:val="center"/>
          </w:tcPr>
          <w:p w14:paraId="732FAAAF">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5F292577">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00A4133F">
            <w:pPr>
              <w:spacing w:line="240" w:lineRule="atLeast"/>
              <w:ind w:left="-55" w:leftChars="-23" w:right="-74" w:rightChars="-31"/>
              <w:jc w:val="center"/>
              <w:rPr>
                <w:rFonts w:cs="宋体"/>
                <w:color w:val="auto"/>
                <w:szCs w:val="24"/>
              </w:rPr>
            </w:pPr>
          </w:p>
        </w:tc>
      </w:tr>
      <w:tr w14:paraId="4A2B6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5941E090">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14:paraId="2A7612C1">
            <w:pPr>
              <w:spacing w:line="240" w:lineRule="atLeast"/>
              <w:ind w:left="-55" w:leftChars="-23" w:right="-74" w:rightChars="-31"/>
              <w:jc w:val="left"/>
              <w:rPr>
                <w:rFonts w:cs="宋体"/>
                <w:color w:val="auto"/>
                <w:szCs w:val="24"/>
              </w:rPr>
            </w:pPr>
          </w:p>
        </w:tc>
      </w:tr>
    </w:tbl>
    <w:p w14:paraId="3A15B44C">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合计应与《磋商一览表》中的磋商总报价一致。</w:t>
      </w:r>
    </w:p>
    <w:p w14:paraId="6E7A8C26">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14:paraId="34989036">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14:paraId="7817CB0D">
      <w:pPr>
        <w:spacing w:line="360" w:lineRule="auto"/>
        <w:ind w:left="1240" w:leftChars="360" w:hanging="376" w:hangingChars="157"/>
        <w:jc w:val="left"/>
        <w:rPr>
          <w:color w:val="auto"/>
        </w:rPr>
      </w:pPr>
    </w:p>
    <w:p w14:paraId="3E5B53B2">
      <w:pPr>
        <w:widowControl/>
        <w:jc w:val="left"/>
        <w:rPr>
          <w:rFonts w:cstheme="majorBidi"/>
          <w:b/>
          <w:bCs/>
          <w:color w:val="auto"/>
          <w:szCs w:val="24"/>
        </w:rPr>
      </w:pPr>
      <w:r>
        <w:rPr>
          <w:color w:val="auto"/>
          <w:szCs w:val="24"/>
        </w:rPr>
        <w:br w:type="page"/>
      </w:r>
    </w:p>
    <w:bookmarkEnd w:id="518"/>
    <w:p w14:paraId="7E4A764D">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19" w:name="_Toc117244393"/>
      <w:bookmarkStart w:id="520" w:name="_Toc107561312"/>
      <w:bookmarkStart w:id="521" w:name="_Toc117244508"/>
      <w:bookmarkStart w:id="522" w:name="_Toc122527562"/>
      <w:r>
        <w:rPr>
          <w:rFonts w:hint="eastAsia"/>
          <w:color w:val="auto"/>
          <w:sz w:val="24"/>
          <w:szCs w:val="21"/>
        </w:rPr>
        <w:t>法定</w:t>
      </w:r>
      <w:r>
        <w:rPr>
          <w:rFonts w:hint="eastAsia" w:ascii="宋体" w:hAnsi="宋体" w:eastAsia="宋体"/>
          <w:color w:val="auto"/>
          <w:sz w:val="24"/>
          <w:szCs w:val="24"/>
        </w:rPr>
        <w:t>代表人身份证明</w:t>
      </w:r>
      <w:bookmarkEnd w:id="519"/>
      <w:bookmarkEnd w:id="520"/>
      <w:bookmarkEnd w:id="521"/>
      <w:bookmarkEnd w:id="522"/>
    </w:p>
    <w:p w14:paraId="054A82DB">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14:paraId="3994EECA">
      <w:pPr>
        <w:pStyle w:val="11"/>
        <w:rPr>
          <w:color w:val="auto"/>
        </w:rPr>
      </w:pPr>
    </w:p>
    <w:p w14:paraId="7DDDB132">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 xml:space="preserve"> </w:t>
      </w:r>
      <w:r>
        <w:rPr>
          <w:color w:val="auto"/>
          <w:szCs w:val="24"/>
          <w:u w:val="single"/>
        </w:rPr>
        <w:tab/>
      </w:r>
      <w:r>
        <w:rPr>
          <w:rFonts w:hint="eastAsia"/>
          <w:color w:val="auto"/>
          <w:szCs w:val="24"/>
          <w:u w:val="single"/>
        </w:rPr>
        <w:t xml:space="preserve">                         </w:t>
      </w:r>
    </w:p>
    <w:p w14:paraId="43DF891E">
      <w:pPr>
        <w:wordWrap w:val="0"/>
        <w:spacing w:line="360" w:lineRule="auto"/>
        <w:ind w:firstLine="480" w:firstLineChars="200"/>
        <w:rPr>
          <w:color w:val="auto"/>
          <w:szCs w:val="24"/>
        </w:rPr>
      </w:pPr>
      <w:r>
        <w:rPr>
          <w:rFonts w:hint="eastAsia"/>
          <w:color w:val="auto"/>
          <w:szCs w:val="24"/>
        </w:rPr>
        <w:t>姓名：</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性别：</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年龄：</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职务：</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，系</w:t>
      </w:r>
      <w:r>
        <w:rPr>
          <w:color w:val="auto"/>
          <w:szCs w:val="24"/>
          <w:u w:val="single"/>
        </w:rPr>
        <w:t xml:space="preserve">  </w:t>
      </w:r>
      <w:r>
        <w:rPr>
          <w:color w:val="auto"/>
          <w:szCs w:val="24"/>
          <w:u w:val="single"/>
        </w:rPr>
        <w:tab/>
      </w:r>
      <w:r>
        <w:rPr>
          <w:rFonts w:hint="eastAsia"/>
          <w:i/>
          <w:color w:val="auto"/>
          <w:szCs w:val="24"/>
          <w:u w:val="single"/>
        </w:rPr>
        <w:t>（供应商名称）</w:t>
      </w:r>
      <w:r>
        <w:rPr>
          <w:rFonts w:hint="eastAsia"/>
          <w:color w:val="auto"/>
          <w:szCs w:val="24"/>
          <w:u w:val="single"/>
        </w:rPr>
        <w:t xml:space="preserve"> </w:t>
      </w:r>
      <w:r>
        <w:rPr>
          <w:color w:val="auto"/>
          <w:szCs w:val="24"/>
          <w:u w:val="single"/>
        </w:rPr>
        <w:t xml:space="preserve"> </w:t>
      </w:r>
      <w:r>
        <w:rPr>
          <w:rFonts w:hint="eastAsia"/>
          <w:color w:val="auto"/>
          <w:szCs w:val="24"/>
        </w:rPr>
        <w:t>的法定代表人。</w:t>
      </w:r>
    </w:p>
    <w:p w14:paraId="69197ECB">
      <w:pPr>
        <w:wordWrap w:val="0"/>
        <w:spacing w:line="360" w:lineRule="auto"/>
        <w:ind w:firstLine="480" w:firstLineChars="200"/>
        <w:rPr>
          <w:color w:val="auto"/>
          <w:szCs w:val="24"/>
        </w:rPr>
      </w:pPr>
      <w:r>
        <w:rPr>
          <w:rFonts w:hint="eastAsia"/>
          <w:color w:val="auto"/>
          <w:szCs w:val="24"/>
        </w:rPr>
        <w:t>特此证明。</w:t>
      </w:r>
    </w:p>
    <w:p w14:paraId="444E638D">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51936F8F">
      <w:pPr>
        <w:wordWrap w:val="0"/>
        <w:spacing w:line="360" w:lineRule="auto"/>
        <w:ind w:firstLine="3240" w:firstLineChars="1350"/>
        <w:rPr>
          <w:color w:val="auto"/>
        </w:rPr>
      </w:pPr>
      <w:r>
        <w:rPr>
          <w:rFonts w:hint="eastAsia"/>
          <w:color w:val="auto"/>
          <w:szCs w:val="24"/>
        </w:rPr>
        <w:t>日   期：</w:t>
      </w:r>
      <w:r>
        <w:rPr>
          <w:rFonts w:hint="eastAsia"/>
          <w:bCs/>
          <w:color w:val="auto"/>
          <w:u w:val="single"/>
        </w:rPr>
        <w:t xml:space="preserve">                                   </w:t>
      </w:r>
    </w:p>
    <w:p w14:paraId="1C83B88A">
      <w:pPr>
        <w:wordWrap w:val="0"/>
        <w:spacing w:line="360" w:lineRule="auto"/>
        <w:rPr>
          <w:color w:val="auto"/>
          <w:szCs w:val="24"/>
        </w:rPr>
      </w:pPr>
    </w:p>
    <w:p w14:paraId="200FE19D">
      <w:pPr>
        <w:wordWrap w:val="0"/>
        <w:spacing w:line="360" w:lineRule="auto"/>
        <w:rPr>
          <w:color w:val="auto"/>
          <w:szCs w:val="24"/>
        </w:rPr>
      </w:pPr>
      <w:r>
        <w:rPr>
          <w:rFonts w:hint="eastAsia"/>
          <w:color w:val="auto"/>
          <w:szCs w:val="24"/>
        </w:rPr>
        <w:t>附：</w:t>
      </w:r>
    </w:p>
    <w:p w14:paraId="140C96A1">
      <w:pPr>
        <w:wordWrap w:val="0"/>
        <w:spacing w:line="360" w:lineRule="auto"/>
        <w:ind w:firstLine="480" w:firstLineChars="200"/>
        <w:rPr>
          <w:color w:val="auto"/>
          <w:szCs w:val="24"/>
        </w:rPr>
      </w:pPr>
      <w:r>
        <w:rPr>
          <w:rFonts w:hint="eastAsia"/>
          <w:color w:val="auto"/>
          <w:szCs w:val="24"/>
        </w:rPr>
        <w:t>法定代表人姓名：</w:t>
      </w:r>
      <w:r>
        <w:rPr>
          <w:rFonts w:hint="eastAsia"/>
          <w:color w:val="auto"/>
          <w:szCs w:val="24"/>
          <w:u w:val="single"/>
        </w:rPr>
        <w:t xml:space="preserve">                         </w:t>
      </w:r>
    </w:p>
    <w:p w14:paraId="0D231E29">
      <w:pPr>
        <w:wordWrap w:val="0"/>
        <w:spacing w:line="360" w:lineRule="auto"/>
        <w:ind w:firstLine="480" w:firstLineChars="200"/>
        <w:rPr>
          <w:color w:val="auto"/>
          <w:szCs w:val="24"/>
        </w:rPr>
      </w:pPr>
      <w:r>
        <w:rPr>
          <w:rFonts w:hint="eastAsia"/>
          <w:color w:val="auto"/>
          <w:szCs w:val="24"/>
        </w:rPr>
        <w:t>性别：</w:t>
      </w:r>
      <w:r>
        <w:rPr>
          <w:rFonts w:hint="eastAsia"/>
          <w:color w:val="auto"/>
          <w:szCs w:val="24"/>
          <w:u w:val="single"/>
        </w:rPr>
        <w:t xml:space="preserve">           </w:t>
      </w:r>
    </w:p>
    <w:p w14:paraId="2D44419C">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14:paraId="00A5C0CC">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09D4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6E06982C">
            <w:pPr>
              <w:wordWrap w:val="0"/>
              <w:spacing w:line="360" w:lineRule="auto"/>
              <w:rPr>
                <w:color w:val="auto"/>
                <w:szCs w:val="24"/>
              </w:rPr>
            </w:pPr>
            <w:r>
              <w:rPr>
                <w:rFonts w:hint="eastAsia"/>
                <w:color w:val="auto"/>
                <w:szCs w:val="24"/>
              </w:rPr>
              <w:t>法定代表人身份证</w:t>
            </w:r>
          </w:p>
          <w:p w14:paraId="76B8CCC8">
            <w:pPr>
              <w:wordWrap w:val="0"/>
              <w:spacing w:line="360" w:lineRule="auto"/>
              <w:rPr>
                <w:color w:val="auto"/>
                <w:szCs w:val="24"/>
              </w:rPr>
            </w:pPr>
            <w:r>
              <w:rPr>
                <w:rFonts w:hint="eastAsia"/>
                <w:color w:val="auto"/>
                <w:szCs w:val="24"/>
              </w:rPr>
              <w:t>（正面清晰彩色影印件）</w:t>
            </w:r>
          </w:p>
        </w:tc>
        <w:tc>
          <w:tcPr>
            <w:tcW w:w="4569" w:type="dxa"/>
          </w:tcPr>
          <w:p w14:paraId="4A54752A">
            <w:pPr>
              <w:wordWrap w:val="0"/>
              <w:spacing w:line="360" w:lineRule="auto"/>
              <w:rPr>
                <w:color w:val="auto"/>
                <w:szCs w:val="24"/>
              </w:rPr>
            </w:pPr>
            <w:r>
              <w:rPr>
                <w:rFonts w:hint="eastAsia"/>
                <w:color w:val="auto"/>
                <w:szCs w:val="24"/>
              </w:rPr>
              <w:t>法定代表人身份证</w:t>
            </w:r>
          </w:p>
          <w:p w14:paraId="067C4F25">
            <w:pPr>
              <w:wordWrap w:val="0"/>
              <w:spacing w:line="360" w:lineRule="auto"/>
              <w:rPr>
                <w:color w:val="auto"/>
                <w:szCs w:val="24"/>
              </w:rPr>
            </w:pPr>
            <w:r>
              <w:rPr>
                <w:rFonts w:hint="eastAsia"/>
                <w:color w:val="auto"/>
                <w:szCs w:val="24"/>
              </w:rPr>
              <w:t>（反面清晰彩色影印件）</w:t>
            </w:r>
          </w:p>
        </w:tc>
      </w:tr>
    </w:tbl>
    <w:p w14:paraId="64EB1AA7">
      <w:pPr>
        <w:widowControl/>
        <w:wordWrap w:val="0"/>
        <w:spacing w:line="360" w:lineRule="auto"/>
        <w:jc w:val="left"/>
        <w:rPr>
          <w:rFonts w:cstheme="majorBidi"/>
          <w:b/>
          <w:bCs/>
          <w:color w:val="auto"/>
          <w:sz w:val="32"/>
          <w:szCs w:val="32"/>
        </w:rPr>
      </w:pPr>
      <w:r>
        <w:rPr>
          <w:color w:val="auto"/>
        </w:rPr>
        <w:br w:type="page"/>
      </w:r>
    </w:p>
    <w:p w14:paraId="70FAE5F9">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23" w:name="_Toc107561313"/>
      <w:bookmarkStart w:id="524" w:name="_Toc117244394"/>
      <w:bookmarkStart w:id="525" w:name="_Toc122527563"/>
      <w:bookmarkStart w:id="526" w:name="_Toc117244509"/>
      <w:r>
        <w:rPr>
          <w:rFonts w:hint="eastAsia" w:ascii="宋体" w:hAnsi="宋体" w:eastAsia="宋体"/>
          <w:color w:val="auto"/>
          <w:sz w:val="24"/>
          <w:szCs w:val="24"/>
        </w:rPr>
        <w:t>法定代表人授权书</w:t>
      </w:r>
      <w:bookmarkEnd w:id="523"/>
      <w:bookmarkEnd w:id="524"/>
      <w:bookmarkEnd w:id="525"/>
      <w:bookmarkEnd w:id="526"/>
    </w:p>
    <w:p w14:paraId="67F194D1">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法定代表人参与磋商活动、处理磋商活动中的一切事宜的，可不用提供</w:t>
      </w:r>
      <w:r>
        <w:rPr>
          <w:rFonts w:hint="eastAsia"/>
          <w:color w:val="auto"/>
          <w:szCs w:val="24"/>
        </w:rPr>
        <w:t>）</w:t>
      </w:r>
    </w:p>
    <w:p w14:paraId="76B3E324">
      <w:pPr>
        <w:pStyle w:val="11"/>
        <w:rPr>
          <w:color w:val="auto"/>
        </w:rPr>
      </w:pPr>
    </w:p>
    <w:p w14:paraId="1C2561A7">
      <w:pPr>
        <w:wordWrap w:val="0"/>
        <w:spacing w:line="360" w:lineRule="auto"/>
        <w:ind w:firstLine="480" w:firstLineChars="200"/>
        <w:rPr>
          <w:color w:val="auto"/>
          <w:szCs w:val="24"/>
        </w:rPr>
      </w:pPr>
      <w:r>
        <w:rPr>
          <w:rFonts w:hint="eastAsia"/>
          <w:color w:val="auto"/>
          <w:szCs w:val="24"/>
        </w:rPr>
        <w:t>兹授权</w:t>
      </w:r>
      <w:r>
        <w:rPr>
          <w:rFonts w:hint="eastAsia"/>
          <w:color w:val="auto"/>
          <w:szCs w:val="24"/>
          <w:u w:val="single"/>
        </w:rPr>
        <w:t xml:space="preserve">      </w:t>
      </w:r>
      <w:r>
        <w:rPr>
          <w:rFonts w:hint="eastAsia"/>
          <w:color w:val="auto"/>
          <w:szCs w:val="24"/>
        </w:rPr>
        <w:t>同志为我单位参加贵方组织的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w:t>
      </w:r>
      <w:r>
        <w:rPr>
          <w:rFonts w:hint="eastAsia"/>
          <w:color w:val="auto"/>
          <w:szCs w:val="24"/>
          <w:u w:val="single"/>
        </w:rPr>
        <w:t xml:space="preserve">项目编号：     </w:t>
      </w:r>
      <w:r>
        <w:rPr>
          <w:rFonts w:hint="eastAsia"/>
          <w:color w:val="auto"/>
          <w:szCs w:val="24"/>
        </w:rPr>
        <w:t>）采购活动的供应商授权代表，全权代表我公司处理在项目采购活动中的一切事宜。代理期限从</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日起至</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 xml:space="preserve">日止。 </w:t>
      </w:r>
    </w:p>
    <w:p w14:paraId="02DB0727">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14:paraId="106A4B56">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r>
        <w:rPr>
          <w:rFonts w:hint="eastAsia"/>
          <w:bCs/>
          <w:color w:val="auto"/>
          <w:u w:val="single"/>
        </w:rPr>
        <w:t xml:space="preserve">                               </w:t>
      </w:r>
    </w:p>
    <w:p w14:paraId="676E66AE">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r>
        <w:rPr>
          <w:rFonts w:hint="eastAsia"/>
          <w:b/>
          <w:bCs/>
          <w:color w:val="auto"/>
          <w:u w:val="single"/>
        </w:rPr>
        <w:t xml:space="preserve">                      </w:t>
      </w:r>
    </w:p>
    <w:p w14:paraId="2357C7E4">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u w:val="single"/>
          <w:lang w:val="zh-CN"/>
        </w:rPr>
        <w:t xml:space="preserve">      </w:t>
      </w:r>
      <w:r>
        <w:rPr>
          <w:rFonts w:hint="eastAsia"/>
          <w:color w:val="auto"/>
          <w:szCs w:val="21"/>
          <w:lang w:val="zh-CN"/>
        </w:rPr>
        <w:t>年</w:t>
      </w:r>
      <w:r>
        <w:rPr>
          <w:rFonts w:hint="eastAsia"/>
          <w:color w:val="auto"/>
          <w:szCs w:val="21"/>
          <w:u w:val="single"/>
          <w:lang w:val="zh-CN"/>
        </w:rPr>
        <w:t xml:space="preserve">    </w:t>
      </w:r>
      <w:r>
        <w:rPr>
          <w:rFonts w:hint="eastAsia"/>
          <w:color w:val="auto"/>
          <w:szCs w:val="21"/>
          <w:lang w:val="zh-CN"/>
        </w:rPr>
        <w:t>月</w:t>
      </w:r>
      <w:r>
        <w:rPr>
          <w:rFonts w:hint="eastAsia"/>
          <w:color w:val="auto"/>
          <w:szCs w:val="21"/>
          <w:u w:val="single"/>
          <w:lang w:val="zh-CN"/>
        </w:rPr>
        <w:t xml:space="preserve">    </w:t>
      </w:r>
      <w:r>
        <w:rPr>
          <w:rFonts w:hint="eastAsia"/>
          <w:color w:val="auto"/>
          <w:szCs w:val="21"/>
          <w:lang w:val="zh-CN"/>
        </w:rPr>
        <w:t>日</w:t>
      </w:r>
    </w:p>
    <w:p w14:paraId="04269A51">
      <w:pPr>
        <w:wordWrap w:val="0"/>
        <w:spacing w:line="360" w:lineRule="auto"/>
        <w:rPr>
          <w:color w:val="auto"/>
          <w:szCs w:val="24"/>
        </w:rPr>
      </w:pPr>
      <w:r>
        <w:rPr>
          <w:rFonts w:hint="eastAsia"/>
          <w:color w:val="auto"/>
          <w:szCs w:val="24"/>
        </w:rPr>
        <w:t>附：</w:t>
      </w:r>
    </w:p>
    <w:p w14:paraId="50DEBAB0">
      <w:pPr>
        <w:wordWrap w:val="0"/>
        <w:spacing w:line="360" w:lineRule="auto"/>
        <w:ind w:firstLine="480" w:firstLineChars="200"/>
        <w:rPr>
          <w:color w:val="auto"/>
          <w:szCs w:val="24"/>
        </w:rPr>
      </w:pPr>
      <w:r>
        <w:rPr>
          <w:rFonts w:hint="eastAsia"/>
          <w:color w:val="auto"/>
          <w:szCs w:val="24"/>
        </w:rPr>
        <w:t>供应商授权代表单位名称：</w:t>
      </w:r>
      <w:r>
        <w:rPr>
          <w:rFonts w:hint="eastAsia"/>
          <w:color w:val="auto"/>
          <w:szCs w:val="24"/>
          <w:u w:val="single"/>
        </w:rPr>
        <w:t xml:space="preserve">                         </w:t>
      </w:r>
    </w:p>
    <w:p w14:paraId="1FE8DACD">
      <w:pPr>
        <w:wordWrap w:val="0"/>
        <w:spacing w:line="360" w:lineRule="auto"/>
        <w:ind w:firstLine="480" w:firstLineChars="200"/>
        <w:rPr>
          <w:color w:val="auto"/>
          <w:szCs w:val="24"/>
        </w:rPr>
      </w:pPr>
      <w:r>
        <w:rPr>
          <w:rFonts w:hint="eastAsia"/>
          <w:color w:val="auto"/>
          <w:szCs w:val="24"/>
        </w:rPr>
        <w:t>职务：</w:t>
      </w:r>
      <w:r>
        <w:rPr>
          <w:rFonts w:hint="eastAsia"/>
          <w:color w:val="auto"/>
          <w:szCs w:val="24"/>
          <w:u w:val="single"/>
        </w:rPr>
        <w:t xml:space="preserve">                         </w:t>
      </w:r>
      <w:r>
        <w:rPr>
          <w:rFonts w:hint="eastAsia"/>
          <w:color w:val="auto"/>
          <w:szCs w:val="24"/>
        </w:rPr>
        <w:t xml:space="preserve"> 性别：</w:t>
      </w:r>
      <w:r>
        <w:rPr>
          <w:rFonts w:hint="eastAsia"/>
          <w:color w:val="auto"/>
          <w:szCs w:val="24"/>
          <w:u w:val="single"/>
        </w:rPr>
        <w:t xml:space="preserve">           </w:t>
      </w:r>
    </w:p>
    <w:p w14:paraId="49532DCF">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14:paraId="1AEF5564">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134A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31F10A15">
            <w:pPr>
              <w:wordWrap w:val="0"/>
              <w:spacing w:line="360" w:lineRule="auto"/>
              <w:rPr>
                <w:color w:val="auto"/>
                <w:szCs w:val="24"/>
              </w:rPr>
            </w:pPr>
            <w:r>
              <w:rPr>
                <w:rFonts w:hint="eastAsia"/>
                <w:color w:val="auto"/>
                <w:szCs w:val="24"/>
              </w:rPr>
              <w:t>被授权人身份证</w:t>
            </w:r>
          </w:p>
          <w:p w14:paraId="0C978FBB">
            <w:pPr>
              <w:wordWrap w:val="0"/>
              <w:spacing w:line="360" w:lineRule="auto"/>
              <w:rPr>
                <w:color w:val="auto"/>
                <w:szCs w:val="24"/>
              </w:rPr>
            </w:pPr>
            <w:r>
              <w:rPr>
                <w:rFonts w:hint="eastAsia"/>
                <w:color w:val="auto"/>
                <w:szCs w:val="24"/>
              </w:rPr>
              <w:t>（正南清晰彩色影印件）</w:t>
            </w:r>
          </w:p>
        </w:tc>
        <w:tc>
          <w:tcPr>
            <w:tcW w:w="4569" w:type="dxa"/>
          </w:tcPr>
          <w:p w14:paraId="619E8931">
            <w:pPr>
              <w:wordWrap w:val="0"/>
              <w:spacing w:line="360" w:lineRule="auto"/>
              <w:rPr>
                <w:color w:val="auto"/>
                <w:szCs w:val="24"/>
              </w:rPr>
            </w:pPr>
            <w:r>
              <w:rPr>
                <w:rFonts w:hint="eastAsia"/>
                <w:color w:val="auto"/>
                <w:szCs w:val="24"/>
              </w:rPr>
              <w:t>被授权人身份证</w:t>
            </w:r>
          </w:p>
          <w:p w14:paraId="77CADBA8">
            <w:pPr>
              <w:wordWrap w:val="0"/>
              <w:spacing w:line="360" w:lineRule="auto"/>
              <w:rPr>
                <w:color w:val="auto"/>
                <w:szCs w:val="24"/>
              </w:rPr>
            </w:pPr>
            <w:r>
              <w:rPr>
                <w:rFonts w:hint="eastAsia"/>
                <w:color w:val="auto"/>
                <w:szCs w:val="24"/>
              </w:rPr>
              <w:t>（反面清晰彩色影印件）</w:t>
            </w:r>
          </w:p>
        </w:tc>
      </w:tr>
    </w:tbl>
    <w:p w14:paraId="7509BD8D">
      <w:pPr>
        <w:wordWrap w:val="0"/>
        <w:spacing w:line="360" w:lineRule="auto"/>
        <w:rPr>
          <w:bCs/>
          <w:color w:val="auto"/>
        </w:rPr>
        <w:sectPr>
          <w:pgSz w:w="11906" w:h="16838"/>
          <w:pgMar w:top="1134" w:right="1191" w:bottom="1134" w:left="1191" w:header="851" w:footer="992" w:gutter="0"/>
          <w:cols w:space="425" w:num="1"/>
          <w:docGrid w:type="lines" w:linePitch="312" w:charSpace="0"/>
        </w:sectPr>
      </w:pPr>
    </w:p>
    <w:p w14:paraId="22F023FE">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27" w:name="_Toc117244395"/>
      <w:bookmarkStart w:id="528" w:name="_Toc117244510"/>
      <w:bookmarkStart w:id="529" w:name="_Toc107561314"/>
      <w:bookmarkStart w:id="530" w:name="_Toc122527564"/>
      <w:r>
        <w:rPr>
          <w:rFonts w:hint="eastAsia" w:ascii="宋体" w:hAnsi="宋体" w:eastAsia="宋体"/>
          <w:color w:val="auto"/>
          <w:sz w:val="24"/>
          <w:szCs w:val="24"/>
        </w:rPr>
        <w:t>项目负责人、技术负责人简历表</w:t>
      </w:r>
      <w:bookmarkEnd w:id="527"/>
      <w:bookmarkEnd w:id="528"/>
      <w:bookmarkEnd w:id="529"/>
      <w:bookmarkEnd w:id="530"/>
    </w:p>
    <w:p w14:paraId="2BAD1B76">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7D65FB1F">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21527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D42839A">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14:paraId="433539C4">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13A167A8">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14:paraId="7C70B780">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46C610E6">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14:paraId="26C0BAFC">
            <w:pPr>
              <w:wordWrap w:val="0"/>
              <w:autoSpaceDE w:val="0"/>
              <w:autoSpaceDN w:val="0"/>
              <w:adjustRightInd w:val="0"/>
              <w:spacing w:line="360" w:lineRule="auto"/>
              <w:ind w:right="326" w:rightChars="136"/>
              <w:jc w:val="center"/>
              <w:rPr>
                <w:color w:val="auto"/>
                <w:szCs w:val="28"/>
              </w:rPr>
            </w:pPr>
          </w:p>
        </w:tc>
      </w:tr>
      <w:tr w14:paraId="0C14B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4256217C">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14:paraId="71CEA39A">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18FD41BF">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14:paraId="4B272FAE">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009116D8">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14:paraId="47343B47">
            <w:pPr>
              <w:wordWrap w:val="0"/>
              <w:autoSpaceDE w:val="0"/>
              <w:autoSpaceDN w:val="0"/>
              <w:adjustRightInd w:val="0"/>
              <w:spacing w:line="360" w:lineRule="auto"/>
              <w:ind w:right="2" w:rightChars="1"/>
              <w:jc w:val="center"/>
              <w:rPr>
                <w:color w:val="auto"/>
                <w:szCs w:val="28"/>
              </w:rPr>
            </w:pPr>
          </w:p>
        </w:tc>
      </w:tr>
      <w:tr w14:paraId="49AC8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14FAEDEB">
            <w:pPr>
              <w:wordWrap w:val="0"/>
              <w:autoSpaceDE w:val="0"/>
              <w:autoSpaceDN w:val="0"/>
              <w:adjustRightInd w:val="0"/>
              <w:spacing w:line="360" w:lineRule="auto"/>
              <w:jc w:val="center"/>
              <w:rPr>
                <w:color w:val="auto"/>
                <w:szCs w:val="28"/>
              </w:rPr>
            </w:pPr>
            <w:r>
              <w:rPr>
                <w:rFonts w:hint="eastAsia"/>
                <w:color w:val="auto"/>
                <w:szCs w:val="28"/>
              </w:rPr>
              <w:t>参加工作</w:t>
            </w:r>
          </w:p>
          <w:p w14:paraId="7FEBC323">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14:paraId="334508A2">
            <w:pPr>
              <w:wordWrap w:val="0"/>
              <w:autoSpaceDE w:val="0"/>
              <w:autoSpaceDN w:val="0"/>
              <w:adjustRightInd w:val="0"/>
              <w:spacing w:line="360" w:lineRule="auto"/>
              <w:jc w:val="center"/>
              <w:rPr>
                <w:color w:val="auto"/>
                <w:szCs w:val="28"/>
              </w:rPr>
            </w:pPr>
          </w:p>
        </w:tc>
        <w:tc>
          <w:tcPr>
            <w:tcW w:w="1530" w:type="dxa"/>
            <w:gridSpan w:val="2"/>
            <w:vAlign w:val="center"/>
          </w:tcPr>
          <w:p w14:paraId="7FADC828">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14:paraId="731E6483">
            <w:pPr>
              <w:wordWrap w:val="0"/>
              <w:autoSpaceDE w:val="0"/>
              <w:autoSpaceDN w:val="0"/>
              <w:adjustRightInd w:val="0"/>
              <w:spacing w:line="360" w:lineRule="auto"/>
              <w:jc w:val="center"/>
              <w:rPr>
                <w:color w:val="auto"/>
                <w:szCs w:val="28"/>
              </w:rPr>
            </w:pPr>
          </w:p>
        </w:tc>
        <w:tc>
          <w:tcPr>
            <w:tcW w:w="1530" w:type="dxa"/>
            <w:gridSpan w:val="2"/>
            <w:vAlign w:val="center"/>
          </w:tcPr>
          <w:p w14:paraId="0D774005">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14:paraId="22FD215B">
            <w:pPr>
              <w:wordWrap w:val="0"/>
              <w:autoSpaceDE w:val="0"/>
              <w:autoSpaceDN w:val="0"/>
              <w:adjustRightInd w:val="0"/>
              <w:spacing w:line="360" w:lineRule="auto"/>
              <w:jc w:val="center"/>
              <w:rPr>
                <w:color w:val="auto"/>
                <w:szCs w:val="28"/>
              </w:rPr>
            </w:pPr>
          </w:p>
        </w:tc>
      </w:tr>
      <w:tr w14:paraId="63BDC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227A623">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14:paraId="7AE2E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651EEA0F">
            <w:pPr>
              <w:wordWrap w:val="0"/>
              <w:autoSpaceDE w:val="0"/>
              <w:autoSpaceDN w:val="0"/>
              <w:adjustRightInd w:val="0"/>
              <w:spacing w:line="360" w:lineRule="auto"/>
              <w:ind w:right="326" w:rightChars="136"/>
              <w:jc w:val="center"/>
              <w:rPr>
                <w:color w:val="auto"/>
                <w:szCs w:val="28"/>
              </w:rPr>
            </w:pPr>
          </w:p>
        </w:tc>
      </w:tr>
      <w:tr w14:paraId="0D5CD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345EDC6D">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14:paraId="0CED1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72F10B6">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14:paraId="55F5E1FE">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0B353FC5">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4D0A72F1">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14:paraId="33C892BB">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14:paraId="18C8349D">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14:paraId="55683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65756B0">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1A4A5EE7">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29CF5C6C">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1A0C6894">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410AF329">
            <w:pPr>
              <w:wordWrap w:val="0"/>
              <w:autoSpaceDE w:val="0"/>
              <w:autoSpaceDN w:val="0"/>
              <w:adjustRightInd w:val="0"/>
              <w:spacing w:line="360" w:lineRule="auto"/>
              <w:ind w:right="-91" w:rightChars="-38"/>
              <w:jc w:val="center"/>
              <w:rPr>
                <w:color w:val="auto"/>
                <w:szCs w:val="28"/>
              </w:rPr>
            </w:pPr>
          </w:p>
        </w:tc>
        <w:tc>
          <w:tcPr>
            <w:tcW w:w="1337" w:type="dxa"/>
            <w:vAlign w:val="center"/>
          </w:tcPr>
          <w:p w14:paraId="343B78AB">
            <w:pPr>
              <w:wordWrap w:val="0"/>
              <w:autoSpaceDE w:val="0"/>
              <w:autoSpaceDN w:val="0"/>
              <w:adjustRightInd w:val="0"/>
              <w:spacing w:line="360" w:lineRule="auto"/>
              <w:ind w:right="-91" w:rightChars="-38"/>
              <w:jc w:val="center"/>
              <w:rPr>
                <w:color w:val="auto"/>
                <w:szCs w:val="28"/>
              </w:rPr>
            </w:pPr>
          </w:p>
        </w:tc>
      </w:tr>
      <w:tr w14:paraId="77CD0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3EC510D">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907ECF6">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1BF1C51B">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53FD77FB">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5BD14631">
            <w:pPr>
              <w:wordWrap w:val="0"/>
              <w:autoSpaceDE w:val="0"/>
              <w:autoSpaceDN w:val="0"/>
              <w:adjustRightInd w:val="0"/>
              <w:spacing w:line="360" w:lineRule="auto"/>
              <w:ind w:right="-91" w:rightChars="-38"/>
              <w:jc w:val="center"/>
              <w:rPr>
                <w:color w:val="auto"/>
                <w:szCs w:val="28"/>
              </w:rPr>
            </w:pPr>
          </w:p>
        </w:tc>
        <w:tc>
          <w:tcPr>
            <w:tcW w:w="1337" w:type="dxa"/>
            <w:vAlign w:val="center"/>
          </w:tcPr>
          <w:p w14:paraId="42541838">
            <w:pPr>
              <w:wordWrap w:val="0"/>
              <w:autoSpaceDE w:val="0"/>
              <w:autoSpaceDN w:val="0"/>
              <w:adjustRightInd w:val="0"/>
              <w:spacing w:line="360" w:lineRule="auto"/>
              <w:ind w:right="-91" w:rightChars="-38"/>
              <w:jc w:val="center"/>
              <w:rPr>
                <w:color w:val="auto"/>
                <w:szCs w:val="28"/>
              </w:rPr>
            </w:pPr>
          </w:p>
        </w:tc>
      </w:tr>
      <w:tr w14:paraId="475EB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ECD88AB">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48C1BCAB">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72B2225C">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04ED99FE">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6E8A2B47">
            <w:pPr>
              <w:wordWrap w:val="0"/>
              <w:autoSpaceDE w:val="0"/>
              <w:autoSpaceDN w:val="0"/>
              <w:adjustRightInd w:val="0"/>
              <w:spacing w:line="360" w:lineRule="auto"/>
              <w:ind w:right="-91" w:rightChars="-38"/>
              <w:jc w:val="center"/>
              <w:rPr>
                <w:color w:val="auto"/>
                <w:szCs w:val="28"/>
              </w:rPr>
            </w:pPr>
          </w:p>
        </w:tc>
        <w:tc>
          <w:tcPr>
            <w:tcW w:w="1337" w:type="dxa"/>
            <w:vAlign w:val="center"/>
          </w:tcPr>
          <w:p w14:paraId="6A8EE922">
            <w:pPr>
              <w:wordWrap w:val="0"/>
              <w:autoSpaceDE w:val="0"/>
              <w:autoSpaceDN w:val="0"/>
              <w:adjustRightInd w:val="0"/>
              <w:spacing w:line="360" w:lineRule="auto"/>
              <w:ind w:right="-91" w:rightChars="-38"/>
              <w:jc w:val="center"/>
              <w:rPr>
                <w:color w:val="auto"/>
                <w:szCs w:val="28"/>
              </w:rPr>
            </w:pPr>
          </w:p>
        </w:tc>
      </w:tr>
      <w:tr w14:paraId="22A02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4752943">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3ABAD82">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3E07FA13">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1561075F">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4A39CE74">
            <w:pPr>
              <w:wordWrap w:val="0"/>
              <w:autoSpaceDE w:val="0"/>
              <w:autoSpaceDN w:val="0"/>
              <w:adjustRightInd w:val="0"/>
              <w:spacing w:line="360" w:lineRule="auto"/>
              <w:ind w:right="-91" w:rightChars="-38"/>
              <w:jc w:val="center"/>
              <w:rPr>
                <w:color w:val="auto"/>
                <w:szCs w:val="28"/>
              </w:rPr>
            </w:pPr>
          </w:p>
        </w:tc>
        <w:tc>
          <w:tcPr>
            <w:tcW w:w="1337" w:type="dxa"/>
            <w:vAlign w:val="center"/>
          </w:tcPr>
          <w:p w14:paraId="29ABFBC9">
            <w:pPr>
              <w:wordWrap w:val="0"/>
              <w:autoSpaceDE w:val="0"/>
              <w:autoSpaceDN w:val="0"/>
              <w:adjustRightInd w:val="0"/>
              <w:spacing w:line="360" w:lineRule="auto"/>
              <w:ind w:right="-91" w:rightChars="-38"/>
              <w:jc w:val="center"/>
              <w:rPr>
                <w:color w:val="auto"/>
                <w:szCs w:val="28"/>
              </w:rPr>
            </w:pPr>
          </w:p>
        </w:tc>
      </w:tr>
      <w:tr w14:paraId="75668B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5D31BE95">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12394FA8">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7211164C">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6889CB1D">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4B8EA63B">
            <w:pPr>
              <w:wordWrap w:val="0"/>
              <w:autoSpaceDE w:val="0"/>
              <w:autoSpaceDN w:val="0"/>
              <w:adjustRightInd w:val="0"/>
              <w:spacing w:line="360" w:lineRule="auto"/>
              <w:ind w:right="-91" w:rightChars="-38"/>
              <w:jc w:val="center"/>
              <w:rPr>
                <w:color w:val="auto"/>
                <w:szCs w:val="28"/>
              </w:rPr>
            </w:pPr>
          </w:p>
        </w:tc>
        <w:tc>
          <w:tcPr>
            <w:tcW w:w="1337" w:type="dxa"/>
            <w:vAlign w:val="center"/>
          </w:tcPr>
          <w:p w14:paraId="294A7CF8">
            <w:pPr>
              <w:wordWrap w:val="0"/>
              <w:autoSpaceDE w:val="0"/>
              <w:autoSpaceDN w:val="0"/>
              <w:adjustRightInd w:val="0"/>
              <w:spacing w:line="360" w:lineRule="auto"/>
              <w:ind w:right="-91" w:rightChars="-38"/>
              <w:jc w:val="center"/>
              <w:rPr>
                <w:color w:val="auto"/>
                <w:szCs w:val="28"/>
              </w:rPr>
            </w:pPr>
          </w:p>
        </w:tc>
      </w:tr>
    </w:tbl>
    <w:p w14:paraId="3A916CB8">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14:paraId="5302CE39">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51520599">
      <w:pPr>
        <w:wordWrap w:val="0"/>
        <w:spacing w:before="100" w:beforeAutospacing="1" w:after="100" w:afterAutospacing="1" w:line="360" w:lineRule="auto"/>
        <w:ind w:firstLine="3316" w:firstLineChars="1382"/>
        <w:rPr>
          <w:color w:val="auto"/>
        </w:rPr>
      </w:pPr>
      <w:r>
        <w:rPr>
          <w:rFonts w:hint="eastAsia"/>
          <w:color w:val="auto"/>
          <w:szCs w:val="24"/>
        </w:rPr>
        <w:t>日   期：</w:t>
      </w:r>
      <w:r>
        <w:rPr>
          <w:rFonts w:hint="eastAsia"/>
          <w:bCs/>
          <w:color w:val="auto"/>
          <w:u w:val="single"/>
        </w:rPr>
        <w:t xml:space="preserve">                               </w:t>
      </w:r>
    </w:p>
    <w:p w14:paraId="65BB160A">
      <w:pPr>
        <w:pStyle w:val="2"/>
        <w:numPr>
          <w:ilvl w:val="0"/>
          <w:numId w:val="6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14:paraId="6FD80712">
      <w:pPr>
        <w:pStyle w:val="2"/>
        <w:numPr>
          <w:ilvl w:val="0"/>
          <w:numId w:val="52"/>
        </w:numPr>
        <w:tabs>
          <w:tab w:val="left" w:pos="567"/>
        </w:tabs>
        <w:spacing w:before="0" w:after="0" w:line="360" w:lineRule="auto"/>
        <w:ind w:left="482" w:hanging="480" w:hangingChars="200"/>
        <w:jc w:val="left"/>
        <w:rPr>
          <w:rFonts w:ascii="宋体" w:hAnsi="宋体" w:eastAsia="宋体"/>
          <w:color w:val="auto"/>
          <w:sz w:val="24"/>
          <w:szCs w:val="24"/>
        </w:rPr>
      </w:pPr>
      <w:bookmarkStart w:id="531" w:name="_Toc122527565"/>
      <w:bookmarkStart w:id="532" w:name="_Toc117244396"/>
      <w:bookmarkStart w:id="533" w:name="_Toc117244511"/>
      <w:bookmarkStart w:id="534" w:name="_Toc107561315"/>
      <w:r>
        <w:rPr>
          <w:rFonts w:hint="eastAsia" w:ascii="宋体" w:hAnsi="宋体" w:eastAsia="宋体"/>
          <w:color w:val="auto"/>
          <w:sz w:val="24"/>
          <w:szCs w:val="24"/>
        </w:rPr>
        <w:t>项目班子成员情况表</w:t>
      </w:r>
      <w:bookmarkEnd w:id="531"/>
      <w:bookmarkEnd w:id="532"/>
      <w:bookmarkEnd w:id="533"/>
      <w:bookmarkEnd w:id="534"/>
    </w:p>
    <w:p w14:paraId="05C7DCEB">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60141963">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4E94D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14CF2F11">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14:paraId="764FE5DA">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14:paraId="70CF03C6">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14:paraId="65631E61">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14:paraId="63B2FC8E">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14:paraId="0F64B60A">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14:paraId="3590DA64">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14:paraId="6E292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F6C4A91">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7DFD1138">
            <w:pPr>
              <w:wordWrap w:val="0"/>
              <w:spacing w:line="360" w:lineRule="auto"/>
              <w:jc w:val="center"/>
              <w:rPr>
                <w:color w:val="auto"/>
                <w:szCs w:val="24"/>
              </w:rPr>
            </w:pPr>
          </w:p>
        </w:tc>
        <w:tc>
          <w:tcPr>
            <w:tcW w:w="1533" w:type="dxa"/>
            <w:vAlign w:val="center"/>
          </w:tcPr>
          <w:p w14:paraId="0F040394">
            <w:pPr>
              <w:wordWrap w:val="0"/>
              <w:spacing w:line="360" w:lineRule="auto"/>
              <w:jc w:val="center"/>
              <w:rPr>
                <w:color w:val="auto"/>
                <w:szCs w:val="24"/>
              </w:rPr>
            </w:pPr>
          </w:p>
        </w:tc>
        <w:tc>
          <w:tcPr>
            <w:tcW w:w="1134" w:type="dxa"/>
            <w:vAlign w:val="center"/>
          </w:tcPr>
          <w:p w14:paraId="4BE23CD8">
            <w:pPr>
              <w:wordWrap w:val="0"/>
              <w:spacing w:line="360" w:lineRule="auto"/>
              <w:jc w:val="center"/>
              <w:rPr>
                <w:color w:val="auto"/>
                <w:szCs w:val="24"/>
              </w:rPr>
            </w:pPr>
          </w:p>
        </w:tc>
        <w:tc>
          <w:tcPr>
            <w:tcW w:w="1491" w:type="dxa"/>
            <w:vAlign w:val="center"/>
          </w:tcPr>
          <w:p w14:paraId="03D28CCA">
            <w:pPr>
              <w:wordWrap w:val="0"/>
              <w:spacing w:line="360" w:lineRule="auto"/>
              <w:jc w:val="center"/>
              <w:rPr>
                <w:color w:val="auto"/>
                <w:szCs w:val="24"/>
              </w:rPr>
            </w:pPr>
          </w:p>
        </w:tc>
        <w:tc>
          <w:tcPr>
            <w:tcW w:w="1843" w:type="dxa"/>
            <w:vAlign w:val="center"/>
          </w:tcPr>
          <w:p w14:paraId="3EAD2893">
            <w:pPr>
              <w:wordWrap w:val="0"/>
              <w:spacing w:line="360" w:lineRule="auto"/>
              <w:jc w:val="center"/>
              <w:rPr>
                <w:color w:val="auto"/>
                <w:szCs w:val="24"/>
              </w:rPr>
            </w:pPr>
          </w:p>
        </w:tc>
        <w:tc>
          <w:tcPr>
            <w:tcW w:w="1842" w:type="dxa"/>
            <w:vAlign w:val="center"/>
          </w:tcPr>
          <w:p w14:paraId="72850C9E">
            <w:pPr>
              <w:wordWrap w:val="0"/>
              <w:spacing w:line="360" w:lineRule="auto"/>
              <w:jc w:val="center"/>
              <w:rPr>
                <w:color w:val="auto"/>
                <w:szCs w:val="24"/>
              </w:rPr>
            </w:pPr>
          </w:p>
        </w:tc>
      </w:tr>
      <w:tr w14:paraId="51B5F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9738D70">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3D63A59D">
            <w:pPr>
              <w:wordWrap w:val="0"/>
              <w:spacing w:line="360" w:lineRule="auto"/>
              <w:jc w:val="center"/>
              <w:rPr>
                <w:color w:val="auto"/>
                <w:szCs w:val="24"/>
              </w:rPr>
            </w:pPr>
          </w:p>
        </w:tc>
        <w:tc>
          <w:tcPr>
            <w:tcW w:w="1533" w:type="dxa"/>
            <w:vAlign w:val="center"/>
          </w:tcPr>
          <w:p w14:paraId="30FAA64E">
            <w:pPr>
              <w:wordWrap w:val="0"/>
              <w:spacing w:line="360" w:lineRule="auto"/>
              <w:jc w:val="center"/>
              <w:rPr>
                <w:color w:val="auto"/>
                <w:szCs w:val="24"/>
              </w:rPr>
            </w:pPr>
          </w:p>
        </w:tc>
        <w:tc>
          <w:tcPr>
            <w:tcW w:w="1134" w:type="dxa"/>
            <w:vAlign w:val="center"/>
          </w:tcPr>
          <w:p w14:paraId="512AB468">
            <w:pPr>
              <w:wordWrap w:val="0"/>
              <w:spacing w:line="360" w:lineRule="auto"/>
              <w:jc w:val="center"/>
              <w:rPr>
                <w:color w:val="auto"/>
                <w:szCs w:val="24"/>
              </w:rPr>
            </w:pPr>
          </w:p>
        </w:tc>
        <w:tc>
          <w:tcPr>
            <w:tcW w:w="1491" w:type="dxa"/>
            <w:vAlign w:val="center"/>
          </w:tcPr>
          <w:p w14:paraId="274D1536">
            <w:pPr>
              <w:wordWrap w:val="0"/>
              <w:spacing w:line="360" w:lineRule="auto"/>
              <w:jc w:val="center"/>
              <w:rPr>
                <w:color w:val="auto"/>
                <w:szCs w:val="24"/>
              </w:rPr>
            </w:pPr>
          </w:p>
        </w:tc>
        <w:tc>
          <w:tcPr>
            <w:tcW w:w="1843" w:type="dxa"/>
            <w:vAlign w:val="center"/>
          </w:tcPr>
          <w:p w14:paraId="1E6628FC">
            <w:pPr>
              <w:wordWrap w:val="0"/>
              <w:spacing w:line="360" w:lineRule="auto"/>
              <w:jc w:val="center"/>
              <w:rPr>
                <w:color w:val="auto"/>
                <w:szCs w:val="24"/>
              </w:rPr>
            </w:pPr>
          </w:p>
        </w:tc>
        <w:tc>
          <w:tcPr>
            <w:tcW w:w="1842" w:type="dxa"/>
            <w:vAlign w:val="center"/>
          </w:tcPr>
          <w:p w14:paraId="6B5416F4">
            <w:pPr>
              <w:wordWrap w:val="0"/>
              <w:spacing w:line="360" w:lineRule="auto"/>
              <w:jc w:val="center"/>
              <w:rPr>
                <w:color w:val="auto"/>
                <w:szCs w:val="24"/>
              </w:rPr>
            </w:pPr>
          </w:p>
        </w:tc>
      </w:tr>
      <w:tr w14:paraId="3C935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A8C5CE6">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08AFB923">
            <w:pPr>
              <w:wordWrap w:val="0"/>
              <w:spacing w:line="360" w:lineRule="auto"/>
              <w:jc w:val="center"/>
              <w:rPr>
                <w:color w:val="auto"/>
                <w:szCs w:val="24"/>
              </w:rPr>
            </w:pPr>
          </w:p>
        </w:tc>
        <w:tc>
          <w:tcPr>
            <w:tcW w:w="1533" w:type="dxa"/>
            <w:vAlign w:val="center"/>
          </w:tcPr>
          <w:p w14:paraId="4D942BFB">
            <w:pPr>
              <w:wordWrap w:val="0"/>
              <w:spacing w:line="360" w:lineRule="auto"/>
              <w:jc w:val="center"/>
              <w:rPr>
                <w:color w:val="auto"/>
                <w:szCs w:val="24"/>
              </w:rPr>
            </w:pPr>
          </w:p>
        </w:tc>
        <w:tc>
          <w:tcPr>
            <w:tcW w:w="1134" w:type="dxa"/>
            <w:vAlign w:val="center"/>
          </w:tcPr>
          <w:p w14:paraId="3FEAB08E">
            <w:pPr>
              <w:wordWrap w:val="0"/>
              <w:spacing w:line="360" w:lineRule="auto"/>
              <w:jc w:val="center"/>
              <w:rPr>
                <w:color w:val="auto"/>
                <w:szCs w:val="24"/>
              </w:rPr>
            </w:pPr>
          </w:p>
        </w:tc>
        <w:tc>
          <w:tcPr>
            <w:tcW w:w="1491" w:type="dxa"/>
            <w:vAlign w:val="center"/>
          </w:tcPr>
          <w:p w14:paraId="0C11FA75">
            <w:pPr>
              <w:wordWrap w:val="0"/>
              <w:spacing w:line="360" w:lineRule="auto"/>
              <w:jc w:val="center"/>
              <w:rPr>
                <w:color w:val="auto"/>
                <w:szCs w:val="24"/>
              </w:rPr>
            </w:pPr>
          </w:p>
        </w:tc>
        <w:tc>
          <w:tcPr>
            <w:tcW w:w="1843" w:type="dxa"/>
            <w:vAlign w:val="center"/>
          </w:tcPr>
          <w:p w14:paraId="0CBCD502">
            <w:pPr>
              <w:wordWrap w:val="0"/>
              <w:spacing w:line="360" w:lineRule="auto"/>
              <w:jc w:val="center"/>
              <w:rPr>
                <w:color w:val="auto"/>
                <w:szCs w:val="24"/>
              </w:rPr>
            </w:pPr>
          </w:p>
        </w:tc>
        <w:tc>
          <w:tcPr>
            <w:tcW w:w="1842" w:type="dxa"/>
            <w:vAlign w:val="center"/>
          </w:tcPr>
          <w:p w14:paraId="3259D402">
            <w:pPr>
              <w:wordWrap w:val="0"/>
              <w:spacing w:line="360" w:lineRule="auto"/>
              <w:jc w:val="center"/>
              <w:rPr>
                <w:color w:val="auto"/>
                <w:szCs w:val="24"/>
              </w:rPr>
            </w:pPr>
          </w:p>
        </w:tc>
      </w:tr>
      <w:tr w14:paraId="08976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9411BE1">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50426C66">
            <w:pPr>
              <w:wordWrap w:val="0"/>
              <w:spacing w:line="360" w:lineRule="auto"/>
              <w:jc w:val="center"/>
              <w:rPr>
                <w:color w:val="auto"/>
                <w:szCs w:val="24"/>
              </w:rPr>
            </w:pPr>
          </w:p>
        </w:tc>
        <w:tc>
          <w:tcPr>
            <w:tcW w:w="1533" w:type="dxa"/>
            <w:vAlign w:val="center"/>
          </w:tcPr>
          <w:p w14:paraId="093F555A">
            <w:pPr>
              <w:wordWrap w:val="0"/>
              <w:spacing w:line="360" w:lineRule="auto"/>
              <w:jc w:val="center"/>
              <w:rPr>
                <w:color w:val="auto"/>
                <w:szCs w:val="24"/>
              </w:rPr>
            </w:pPr>
          </w:p>
        </w:tc>
        <w:tc>
          <w:tcPr>
            <w:tcW w:w="1134" w:type="dxa"/>
            <w:vAlign w:val="center"/>
          </w:tcPr>
          <w:p w14:paraId="20B89464">
            <w:pPr>
              <w:wordWrap w:val="0"/>
              <w:spacing w:line="360" w:lineRule="auto"/>
              <w:jc w:val="center"/>
              <w:rPr>
                <w:color w:val="auto"/>
                <w:szCs w:val="24"/>
              </w:rPr>
            </w:pPr>
          </w:p>
        </w:tc>
        <w:tc>
          <w:tcPr>
            <w:tcW w:w="1491" w:type="dxa"/>
            <w:vAlign w:val="center"/>
          </w:tcPr>
          <w:p w14:paraId="2F0CA140">
            <w:pPr>
              <w:wordWrap w:val="0"/>
              <w:spacing w:line="360" w:lineRule="auto"/>
              <w:jc w:val="center"/>
              <w:rPr>
                <w:color w:val="auto"/>
                <w:szCs w:val="24"/>
              </w:rPr>
            </w:pPr>
          </w:p>
        </w:tc>
        <w:tc>
          <w:tcPr>
            <w:tcW w:w="1843" w:type="dxa"/>
            <w:vAlign w:val="center"/>
          </w:tcPr>
          <w:p w14:paraId="35F809FB">
            <w:pPr>
              <w:wordWrap w:val="0"/>
              <w:spacing w:line="360" w:lineRule="auto"/>
              <w:jc w:val="center"/>
              <w:rPr>
                <w:color w:val="auto"/>
                <w:szCs w:val="24"/>
              </w:rPr>
            </w:pPr>
          </w:p>
        </w:tc>
        <w:tc>
          <w:tcPr>
            <w:tcW w:w="1842" w:type="dxa"/>
            <w:vAlign w:val="center"/>
          </w:tcPr>
          <w:p w14:paraId="37495B34">
            <w:pPr>
              <w:wordWrap w:val="0"/>
              <w:spacing w:line="360" w:lineRule="auto"/>
              <w:jc w:val="center"/>
              <w:rPr>
                <w:color w:val="auto"/>
                <w:szCs w:val="24"/>
              </w:rPr>
            </w:pPr>
          </w:p>
        </w:tc>
      </w:tr>
      <w:tr w14:paraId="18C94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824F32F">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6F561651">
            <w:pPr>
              <w:wordWrap w:val="0"/>
              <w:spacing w:line="360" w:lineRule="auto"/>
              <w:jc w:val="center"/>
              <w:rPr>
                <w:color w:val="auto"/>
                <w:szCs w:val="24"/>
              </w:rPr>
            </w:pPr>
          </w:p>
        </w:tc>
        <w:tc>
          <w:tcPr>
            <w:tcW w:w="1533" w:type="dxa"/>
            <w:vAlign w:val="center"/>
          </w:tcPr>
          <w:p w14:paraId="3109CB70">
            <w:pPr>
              <w:wordWrap w:val="0"/>
              <w:spacing w:line="360" w:lineRule="auto"/>
              <w:jc w:val="center"/>
              <w:rPr>
                <w:color w:val="auto"/>
                <w:szCs w:val="24"/>
              </w:rPr>
            </w:pPr>
          </w:p>
        </w:tc>
        <w:tc>
          <w:tcPr>
            <w:tcW w:w="1134" w:type="dxa"/>
            <w:vAlign w:val="center"/>
          </w:tcPr>
          <w:p w14:paraId="12BF8F0D">
            <w:pPr>
              <w:wordWrap w:val="0"/>
              <w:spacing w:line="360" w:lineRule="auto"/>
              <w:jc w:val="center"/>
              <w:rPr>
                <w:color w:val="auto"/>
                <w:szCs w:val="24"/>
              </w:rPr>
            </w:pPr>
          </w:p>
        </w:tc>
        <w:tc>
          <w:tcPr>
            <w:tcW w:w="1491" w:type="dxa"/>
            <w:vAlign w:val="center"/>
          </w:tcPr>
          <w:p w14:paraId="75155D3E">
            <w:pPr>
              <w:wordWrap w:val="0"/>
              <w:spacing w:line="360" w:lineRule="auto"/>
              <w:jc w:val="center"/>
              <w:rPr>
                <w:color w:val="auto"/>
                <w:szCs w:val="24"/>
              </w:rPr>
            </w:pPr>
          </w:p>
        </w:tc>
        <w:tc>
          <w:tcPr>
            <w:tcW w:w="1843" w:type="dxa"/>
            <w:vAlign w:val="center"/>
          </w:tcPr>
          <w:p w14:paraId="639903FA">
            <w:pPr>
              <w:wordWrap w:val="0"/>
              <w:spacing w:line="360" w:lineRule="auto"/>
              <w:jc w:val="center"/>
              <w:rPr>
                <w:color w:val="auto"/>
                <w:szCs w:val="24"/>
              </w:rPr>
            </w:pPr>
          </w:p>
        </w:tc>
        <w:tc>
          <w:tcPr>
            <w:tcW w:w="1842" w:type="dxa"/>
            <w:vAlign w:val="center"/>
          </w:tcPr>
          <w:p w14:paraId="32B9E961">
            <w:pPr>
              <w:wordWrap w:val="0"/>
              <w:spacing w:line="360" w:lineRule="auto"/>
              <w:jc w:val="center"/>
              <w:rPr>
                <w:color w:val="auto"/>
                <w:szCs w:val="24"/>
              </w:rPr>
            </w:pPr>
          </w:p>
        </w:tc>
      </w:tr>
      <w:tr w14:paraId="6E20C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58901AA">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02951EED">
            <w:pPr>
              <w:wordWrap w:val="0"/>
              <w:spacing w:line="360" w:lineRule="auto"/>
              <w:jc w:val="center"/>
              <w:rPr>
                <w:color w:val="auto"/>
                <w:szCs w:val="24"/>
              </w:rPr>
            </w:pPr>
          </w:p>
        </w:tc>
        <w:tc>
          <w:tcPr>
            <w:tcW w:w="1533" w:type="dxa"/>
            <w:vAlign w:val="center"/>
          </w:tcPr>
          <w:p w14:paraId="5C9D7111">
            <w:pPr>
              <w:wordWrap w:val="0"/>
              <w:spacing w:line="360" w:lineRule="auto"/>
              <w:jc w:val="center"/>
              <w:rPr>
                <w:color w:val="auto"/>
                <w:szCs w:val="24"/>
              </w:rPr>
            </w:pPr>
          </w:p>
        </w:tc>
        <w:tc>
          <w:tcPr>
            <w:tcW w:w="1134" w:type="dxa"/>
            <w:vAlign w:val="center"/>
          </w:tcPr>
          <w:p w14:paraId="2529B716">
            <w:pPr>
              <w:wordWrap w:val="0"/>
              <w:spacing w:line="360" w:lineRule="auto"/>
              <w:jc w:val="center"/>
              <w:rPr>
                <w:color w:val="auto"/>
                <w:szCs w:val="24"/>
              </w:rPr>
            </w:pPr>
          </w:p>
        </w:tc>
        <w:tc>
          <w:tcPr>
            <w:tcW w:w="1491" w:type="dxa"/>
            <w:vAlign w:val="center"/>
          </w:tcPr>
          <w:p w14:paraId="34BB9CA3">
            <w:pPr>
              <w:wordWrap w:val="0"/>
              <w:spacing w:line="360" w:lineRule="auto"/>
              <w:jc w:val="center"/>
              <w:rPr>
                <w:color w:val="auto"/>
                <w:szCs w:val="24"/>
              </w:rPr>
            </w:pPr>
          </w:p>
        </w:tc>
        <w:tc>
          <w:tcPr>
            <w:tcW w:w="1843" w:type="dxa"/>
            <w:vAlign w:val="center"/>
          </w:tcPr>
          <w:p w14:paraId="2A50F6DA">
            <w:pPr>
              <w:wordWrap w:val="0"/>
              <w:spacing w:line="360" w:lineRule="auto"/>
              <w:jc w:val="center"/>
              <w:rPr>
                <w:color w:val="auto"/>
                <w:szCs w:val="24"/>
              </w:rPr>
            </w:pPr>
          </w:p>
        </w:tc>
        <w:tc>
          <w:tcPr>
            <w:tcW w:w="1842" w:type="dxa"/>
            <w:vAlign w:val="center"/>
          </w:tcPr>
          <w:p w14:paraId="446235A6">
            <w:pPr>
              <w:wordWrap w:val="0"/>
              <w:spacing w:line="360" w:lineRule="auto"/>
              <w:jc w:val="center"/>
              <w:rPr>
                <w:color w:val="auto"/>
                <w:szCs w:val="24"/>
              </w:rPr>
            </w:pPr>
          </w:p>
        </w:tc>
      </w:tr>
      <w:tr w14:paraId="49EE0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B0091BB">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5F458F0B">
            <w:pPr>
              <w:wordWrap w:val="0"/>
              <w:spacing w:line="360" w:lineRule="auto"/>
              <w:jc w:val="center"/>
              <w:rPr>
                <w:color w:val="auto"/>
                <w:szCs w:val="24"/>
              </w:rPr>
            </w:pPr>
          </w:p>
        </w:tc>
        <w:tc>
          <w:tcPr>
            <w:tcW w:w="1533" w:type="dxa"/>
            <w:vAlign w:val="center"/>
          </w:tcPr>
          <w:p w14:paraId="0A18EBCE">
            <w:pPr>
              <w:wordWrap w:val="0"/>
              <w:spacing w:line="360" w:lineRule="auto"/>
              <w:jc w:val="center"/>
              <w:rPr>
                <w:color w:val="auto"/>
                <w:szCs w:val="24"/>
              </w:rPr>
            </w:pPr>
          </w:p>
        </w:tc>
        <w:tc>
          <w:tcPr>
            <w:tcW w:w="1134" w:type="dxa"/>
            <w:vAlign w:val="center"/>
          </w:tcPr>
          <w:p w14:paraId="5D0BAACE">
            <w:pPr>
              <w:wordWrap w:val="0"/>
              <w:spacing w:line="360" w:lineRule="auto"/>
              <w:jc w:val="center"/>
              <w:rPr>
                <w:color w:val="auto"/>
                <w:szCs w:val="24"/>
              </w:rPr>
            </w:pPr>
          </w:p>
        </w:tc>
        <w:tc>
          <w:tcPr>
            <w:tcW w:w="1491" w:type="dxa"/>
            <w:vAlign w:val="center"/>
          </w:tcPr>
          <w:p w14:paraId="070FDBF7">
            <w:pPr>
              <w:wordWrap w:val="0"/>
              <w:spacing w:line="360" w:lineRule="auto"/>
              <w:jc w:val="center"/>
              <w:rPr>
                <w:color w:val="auto"/>
                <w:szCs w:val="24"/>
              </w:rPr>
            </w:pPr>
          </w:p>
        </w:tc>
        <w:tc>
          <w:tcPr>
            <w:tcW w:w="1843" w:type="dxa"/>
            <w:vAlign w:val="center"/>
          </w:tcPr>
          <w:p w14:paraId="0C3F1021">
            <w:pPr>
              <w:wordWrap w:val="0"/>
              <w:spacing w:line="360" w:lineRule="auto"/>
              <w:jc w:val="center"/>
              <w:rPr>
                <w:color w:val="auto"/>
                <w:szCs w:val="24"/>
              </w:rPr>
            </w:pPr>
          </w:p>
        </w:tc>
        <w:tc>
          <w:tcPr>
            <w:tcW w:w="1842" w:type="dxa"/>
            <w:vAlign w:val="center"/>
          </w:tcPr>
          <w:p w14:paraId="7DD0418C">
            <w:pPr>
              <w:wordWrap w:val="0"/>
              <w:spacing w:line="360" w:lineRule="auto"/>
              <w:jc w:val="center"/>
              <w:rPr>
                <w:color w:val="auto"/>
                <w:szCs w:val="24"/>
              </w:rPr>
            </w:pPr>
          </w:p>
        </w:tc>
      </w:tr>
      <w:tr w14:paraId="0E4F8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7C6C10">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6F53DBF">
            <w:pPr>
              <w:wordWrap w:val="0"/>
              <w:spacing w:line="360" w:lineRule="auto"/>
              <w:jc w:val="center"/>
              <w:rPr>
                <w:color w:val="auto"/>
                <w:szCs w:val="24"/>
              </w:rPr>
            </w:pPr>
          </w:p>
        </w:tc>
        <w:tc>
          <w:tcPr>
            <w:tcW w:w="1533" w:type="dxa"/>
            <w:vAlign w:val="center"/>
          </w:tcPr>
          <w:p w14:paraId="53C789FB">
            <w:pPr>
              <w:wordWrap w:val="0"/>
              <w:spacing w:line="360" w:lineRule="auto"/>
              <w:jc w:val="center"/>
              <w:rPr>
                <w:color w:val="auto"/>
                <w:szCs w:val="24"/>
              </w:rPr>
            </w:pPr>
          </w:p>
        </w:tc>
        <w:tc>
          <w:tcPr>
            <w:tcW w:w="1134" w:type="dxa"/>
            <w:vAlign w:val="center"/>
          </w:tcPr>
          <w:p w14:paraId="3EFECE83">
            <w:pPr>
              <w:wordWrap w:val="0"/>
              <w:spacing w:line="360" w:lineRule="auto"/>
              <w:jc w:val="center"/>
              <w:rPr>
                <w:color w:val="auto"/>
                <w:szCs w:val="24"/>
              </w:rPr>
            </w:pPr>
          </w:p>
        </w:tc>
        <w:tc>
          <w:tcPr>
            <w:tcW w:w="1491" w:type="dxa"/>
            <w:vAlign w:val="center"/>
          </w:tcPr>
          <w:p w14:paraId="388754E2">
            <w:pPr>
              <w:wordWrap w:val="0"/>
              <w:spacing w:line="360" w:lineRule="auto"/>
              <w:jc w:val="center"/>
              <w:rPr>
                <w:color w:val="auto"/>
                <w:szCs w:val="24"/>
              </w:rPr>
            </w:pPr>
          </w:p>
        </w:tc>
        <w:tc>
          <w:tcPr>
            <w:tcW w:w="1843" w:type="dxa"/>
            <w:vAlign w:val="center"/>
          </w:tcPr>
          <w:p w14:paraId="46E60D2D">
            <w:pPr>
              <w:wordWrap w:val="0"/>
              <w:spacing w:line="360" w:lineRule="auto"/>
              <w:jc w:val="center"/>
              <w:rPr>
                <w:color w:val="auto"/>
                <w:szCs w:val="24"/>
              </w:rPr>
            </w:pPr>
          </w:p>
        </w:tc>
        <w:tc>
          <w:tcPr>
            <w:tcW w:w="1842" w:type="dxa"/>
            <w:vAlign w:val="center"/>
          </w:tcPr>
          <w:p w14:paraId="65C67B86">
            <w:pPr>
              <w:wordWrap w:val="0"/>
              <w:spacing w:line="360" w:lineRule="auto"/>
              <w:jc w:val="center"/>
              <w:rPr>
                <w:color w:val="auto"/>
                <w:szCs w:val="24"/>
              </w:rPr>
            </w:pPr>
          </w:p>
        </w:tc>
      </w:tr>
      <w:tr w14:paraId="5A98B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8F37302">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D8190B4">
            <w:pPr>
              <w:wordWrap w:val="0"/>
              <w:spacing w:line="360" w:lineRule="auto"/>
              <w:jc w:val="center"/>
              <w:rPr>
                <w:color w:val="auto"/>
                <w:szCs w:val="24"/>
              </w:rPr>
            </w:pPr>
          </w:p>
        </w:tc>
        <w:tc>
          <w:tcPr>
            <w:tcW w:w="1533" w:type="dxa"/>
            <w:vAlign w:val="center"/>
          </w:tcPr>
          <w:p w14:paraId="66B366A4">
            <w:pPr>
              <w:wordWrap w:val="0"/>
              <w:spacing w:line="360" w:lineRule="auto"/>
              <w:jc w:val="center"/>
              <w:rPr>
                <w:color w:val="auto"/>
                <w:szCs w:val="24"/>
              </w:rPr>
            </w:pPr>
          </w:p>
        </w:tc>
        <w:tc>
          <w:tcPr>
            <w:tcW w:w="1134" w:type="dxa"/>
            <w:vAlign w:val="center"/>
          </w:tcPr>
          <w:p w14:paraId="0096744E">
            <w:pPr>
              <w:wordWrap w:val="0"/>
              <w:spacing w:line="360" w:lineRule="auto"/>
              <w:jc w:val="center"/>
              <w:rPr>
                <w:color w:val="auto"/>
                <w:szCs w:val="24"/>
              </w:rPr>
            </w:pPr>
          </w:p>
        </w:tc>
        <w:tc>
          <w:tcPr>
            <w:tcW w:w="1491" w:type="dxa"/>
            <w:vAlign w:val="center"/>
          </w:tcPr>
          <w:p w14:paraId="5DB4F3A6">
            <w:pPr>
              <w:wordWrap w:val="0"/>
              <w:spacing w:line="360" w:lineRule="auto"/>
              <w:jc w:val="center"/>
              <w:rPr>
                <w:color w:val="auto"/>
                <w:szCs w:val="24"/>
              </w:rPr>
            </w:pPr>
          </w:p>
        </w:tc>
        <w:tc>
          <w:tcPr>
            <w:tcW w:w="1843" w:type="dxa"/>
            <w:vAlign w:val="center"/>
          </w:tcPr>
          <w:p w14:paraId="486556FB">
            <w:pPr>
              <w:wordWrap w:val="0"/>
              <w:spacing w:line="360" w:lineRule="auto"/>
              <w:jc w:val="center"/>
              <w:rPr>
                <w:color w:val="auto"/>
                <w:szCs w:val="24"/>
              </w:rPr>
            </w:pPr>
          </w:p>
        </w:tc>
        <w:tc>
          <w:tcPr>
            <w:tcW w:w="1842" w:type="dxa"/>
            <w:vAlign w:val="center"/>
          </w:tcPr>
          <w:p w14:paraId="65771175">
            <w:pPr>
              <w:wordWrap w:val="0"/>
              <w:spacing w:line="360" w:lineRule="auto"/>
              <w:jc w:val="center"/>
              <w:rPr>
                <w:color w:val="auto"/>
                <w:szCs w:val="24"/>
              </w:rPr>
            </w:pPr>
          </w:p>
        </w:tc>
      </w:tr>
      <w:tr w14:paraId="22A43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D8BB8C1">
            <w:pPr>
              <w:wordWrap w:val="0"/>
              <w:spacing w:line="360" w:lineRule="auto"/>
              <w:jc w:val="center"/>
              <w:rPr>
                <w:color w:val="auto"/>
                <w:szCs w:val="24"/>
              </w:rPr>
            </w:pPr>
            <w:r>
              <w:rPr>
                <w:color w:val="auto"/>
                <w:szCs w:val="24"/>
              </w:rPr>
              <w:t>…</w:t>
            </w:r>
          </w:p>
        </w:tc>
        <w:tc>
          <w:tcPr>
            <w:tcW w:w="1113" w:type="dxa"/>
            <w:vAlign w:val="center"/>
          </w:tcPr>
          <w:p w14:paraId="7B85861C">
            <w:pPr>
              <w:wordWrap w:val="0"/>
              <w:spacing w:line="360" w:lineRule="auto"/>
              <w:jc w:val="center"/>
              <w:rPr>
                <w:color w:val="auto"/>
                <w:szCs w:val="24"/>
              </w:rPr>
            </w:pPr>
          </w:p>
        </w:tc>
        <w:tc>
          <w:tcPr>
            <w:tcW w:w="1533" w:type="dxa"/>
            <w:vAlign w:val="center"/>
          </w:tcPr>
          <w:p w14:paraId="2F32894A">
            <w:pPr>
              <w:wordWrap w:val="0"/>
              <w:spacing w:line="360" w:lineRule="auto"/>
              <w:jc w:val="center"/>
              <w:rPr>
                <w:color w:val="auto"/>
                <w:szCs w:val="24"/>
              </w:rPr>
            </w:pPr>
          </w:p>
        </w:tc>
        <w:tc>
          <w:tcPr>
            <w:tcW w:w="1134" w:type="dxa"/>
            <w:vAlign w:val="center"/>
          </w:tcPr>
          <w:p w14:paraId="5613B0CF">
            <w:pPr>
              <w:wordWrap w:val="0"/>
              <w:spacing w:line="360" w:lineRule="auto"/>
              <w:jc w:val="center"/>
              <w:rPr>
                <w:color w:val="auto"/>
                <w:szCs w:val="24"/>
              </w:rPr>
            </w:pPr>
          </w:p>
        </w:tc>
        <w:tc>
          <w:tcPr>
            <w:tcW w:w="1491" w:type="dxa"/>
            <w:vAlign w:val="center"/>
          </w:tcPr>
          <w:p w14:paraId="044322F2">
            <w:pPr>
              <w:wordWrap w:val="0"/>
              <w:spacing w:line="360" w:lineRule="auto"/>
              <w:jc w:val="center"/>
              <w:rPr>
                <w:color w:val="auto"/>
                <w:szCs w:val="24"/>
              </w:rPr>
            </w:pPr>
          </w:p>
        </w:tc>
        <w:tc>
          <w:tcPr>
            <w:tcW w:w="1843" w:type="dxa"/>
            <w:vAlign w:val="center"/>
          </w:tcPr>
          <w:p w14:paraId="3A6C6598">
            <w:pPr>
              <w:wordWrap w:val="0"/>
              <w:spacing w:line="360" w:lineRule="auto"/>
              <w:jc w:val="center"/>
              <w:rPr>
                <w:color w:val="auto"/>
                <w:szCs w:val="24"/>
              </w:rPr>
            </w:pPr>
          </w:p>
        </w:tc>
        <w:tc>
          <w:tcPr>
            <w:tcW w:w="1842" w:type="dxa"/>
            <w:vAlign w:val="center"/>
          </w:tcPr>
          <w:p w14:paraId="555ECDFA">
            <w:pPr>
              <w:wordWrap w:val="0"/>
              <w:spacing w:line="360" w:lineRule="auto"/>
              <w:jc w:val="center"/>
              <w:rPr>
                <w:color w:val="auto"/>
                <w:szCs w:val="24"/>
              </w:rPr>
            </w:pPr>
          </w:p>
        </w:tc>
      </w:tr>
    </w:tbl>
    <w:p w14:paraId="04175922">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14:paraId="0DB3A263">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03431459">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4139A96E">
      <w:pPr>
        <w:pStyle w:val="2"/>
        <w:numPr>
          <w:ilvl w:val="0"/>
          <w:numId w:val="6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p w14:paraId="5A774CB8">
      <w:pPr>
        <w:pStyle w:val="2"/>
        <w:numPr>
          <w:ilvl w:val="0"/>
          <w:numId w:val="52"/>
        </w:numPr>
        <w:tabs>
          <w:tab w:val="left" w:pos="567"/>
        </w:tabs>
        <w:spacing w:before="0" w:after="0" w:line="360" w:lineRule="auto"/>
        <w:ind w:left="482" w:hanging="480" w:hangingChars="200"/>
        <w:jc w:val="left"/>
        <w:rPr>
          <w:rFonts w:ascii="宋体" w:hAnsi="宋体" w:eastAsia="宋体"/>
          <w:color w:val="auto"/>
          <w:sz w:val="24"/>
          <w:szCs w:val="24"/>
        </w:rPr>
      </w:pPr>
      <w:bookmarkStart w:id="535" w:name="_Toc117244512"/>
      <w:bookmarkStart w:id="536" w:name="_Toc107561316"/>
      <w:bookmarkStart w:id="537" w:name="_Toc117244397"/>
      <w:bookmarkStart w:id="538" w:name="_Toc122527566"/>
      <w:r>
        <w:rPr>
          <w:rFonts w:hint="eastAsia" w:ascii="宋体" w:hAnsi="宋体" w:eastAsia="宋体"/>
          <w:color w:val="auto"/>
          <w:sz w:val="24"/>
          <w:szCs w:val="24"/>
        </w:rPr>
        <w:t>供应商类似项目业绩表</w:t>
      </w:r>
      <w:bookmarkEnd w:id="535"/>
      <w:bookmarkEnd w:id="536"/>
      <w:bookmarkEnd w:id="537"/>
      <w:r>
        <w:rPr>
          <w:rFonts w:hint="eastAsia" w:ascii="宋体" w:hAnsi="宋体" w:eastAsia="宋体"/>
          <w:color w:val="auto"/>
          <w:sz w:val="24"/>
          <w:szCs w:val="24"/>
        </w:rPr>
        <w:t>（此表非必填项，可选择填写）</w:t>
      </w:r>
      <w:bookmarkEnd w:id="538"/>
    </w:p>
    <w:p w14:paraId="3163597B">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55259FA1">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30E18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7086F395">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195F8C35">
            <w:pPr>
              <w:wordWrap w:val="0"/>
              <w:spacing w:line="360" w:lineRule="auto"/>
              <w:rPr>
                <w:rFonts w:cs="Courier New"/>
                <w:color w:val="auto"/>
                <w:szCs w:val="24"/>
              </w:rPr>
            </w:pPr>
          </w:p>
        </w:tc>
      </w:tr>
      <w:tr w14:paraId="0BFE0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846DA">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4483A99C">
            <w:pPr>
              <w:wordWrap w:val="0"/>
              <w:spacing w:line="360" w:lineRule="auto"/>
              <w:rPr>
                <w:rFonts w:cs="Courier New"/>
                <w:color w:val="auto"/>
                <w:szCs w:val="24"/>
              </w:rPr>
            </w:pPr>
          </w:p>
        </w:tc>
      </w:tr>
      <w:tr w14:paraId="0D416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5A539900">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45B3CEED">
            <w:pPr>
              <w:wordWrap w:val="0"/>
              <w:spacing w:line="360" w:lineRule="auto"/>
              <w:rPr>
                <w:rFonts w:cs="Courier New"/>
                <w:color w:val="auto"/>
                <w:szCs w:val="24"/>
              </w:rPr>
            </w:pPr>
          </w:p>
        </w:tc>
      </w:tr>
      <w:tr w14:paraId="1C26D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BF1A9E8">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34BE24A5">
            <w:pPr>
              <w:wordWrap w:val="0"/>
              <w:spacing w:line="360" w:lineRule="auto"/>
              <w:rPr>
                <w:rFonts w:cs="Courier New"/>
                <w:color w:val="auto"/>
                <w:szCs w:val="24"/>
              </w:rPr>
            </w:pPr>
          </w:p>
        </w:tc>
      </w:tr>
      <w:tr w14:paraId="29164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17465460">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4CA9C4EE">
            <w:pPr>
              <w:wordWrap w:val="0"/>
              <w:spacing w:line="360" w:lineRule="auto"/>
              <w:rPr>
                <w:rFonts w:cs="Courier New"/>
                <w:color w:val="auto"/>
                <w:szCs w:val="24"/>
              </w:rPr>
            </w:pPr>
          </w:p>
        </w:tc>
      </w:tr>
      <w:tr w14:paraId="65BF2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50400255">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0C145EEC">
            <w:pPr>
              <w:wordWrap w:val="0"/>
              <w:spacing w:line="360" w:lineRule="auto"/>
              <w:rPr>
                <w:rFonts w:cs="Courier New"/>
                <w:color w:val="auto"/>
                <w:szCs w:val="24"/>
              </w:rPr>
            </w:pPr>
          </w:p>
        </w:tc>
      </w:tr>
      <w:tr w14:paraId="6C362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688B407C">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14:paraId="3DC7F6F8">
            <w:pPr>
              <w:wordWrap w:val="0"/>
              <w:spacing w:line="360" w:lineRule="auto"/>
              <w:rPr>
                <w:rFonts w:cs="Courier New"/>
                <w:color w:val="auto"/>
                <w:szCs w:val="24"/>
              </w:rPr>
            </w:pPr>
          </w:p>
        </w:tc>
      </w:tr>
    </w:tbl>
    <w:p w14:paraId="73415477">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14:paraId="35355A95">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14:paraId="66904758">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072000C3">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011A5B2B">
      <w:pPr>
        <w:spacing w:line="360" w:lineRule="auto"/>
        <w:rPr>
          <w:color w:val="auto"/>
          <w:szCs w:val="32"/>
        </w:rPr>
      </w:pPr>
    </w:p>
    <w:p w14:paraId="1156CB22">
      <w:pPr>
        <w:spacing w:line="360" w:lineRule="auto"/>
        <w:rPr>
          <w:color w:val="auto"/>
        </w:rPr>
      </w:pPr>
      <w:bookmarkStart w:id="539" w:name="_Toc107561317"/>
    </w:p>
    <w:bookmarkEnd w:id="539"/>
    <w:p w14:paraId="3F72A4E8">
      <w:pPr>
        <w:pStyle w:val="2"/>
        <w:numPr>
          <w:ilvl w:val="0"/>
          <w:numId w:val="6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bookmarkEnd w:id="442"/>
    <w:bookmarkEnd w:id="443"/>
    <w:bookmarkEnd w:id="444"/>
    <w:bookmarkEnd w:id="445"/>
    <w:bookmarkEnd w:id="446"/>
    <w:bookmarkEnd w:id="447"/>
    <w:bookmarkEnd w:id="448"/>
    <w:bookmarkEnd w:id="449"/>
    <w:bookmarkEnd w:id="450"/>
    <w:bookmarkEnd w:id="451"/>
    <w:bookmarkEnd w:id="452"/>
    <w:bookmarkEnd w:id="453"/>
    <w:bookmarkEnd w:id="454"/>
    <w:p w14:paraId="4B18C2D4">
      <w:pPr>
        <w:pStyle w:val="2"/>
        <w:numPr>
          <w:ilvl w:val="0"/>
          <w:numId w:val="52"/>
        </w:numPr>
        <w:tabs>
          <w:tab w:val="left" w:pos="567"/>
        </w:tabs>
        <w:spacing w:before="0" w:after="0" w:line="360" w:lineRule="auto"/>
        <w:ind w:left="482" w:hanging="482" w:hangingChars="200"/>
        <w:jc w:val="left"/>
        <w:rPr>
          <w:b w:val="0"/>
          <w:color w:val="auto"/>
          <w:sz w:val="24"/>
          <w:szCs w:val="24"/>
        </w:rPr>
      </w:pPr>
      <w:bookmarkStart w:id="540" w:name="_Toc122527567"/>
      <w:bookmarkStart w:id="541" w:name="_Toc120806131"/>
      <w:bookmarkStart w:id="542" w:name="_Toc117244398"/>
      <w:bookmarkStart w:id="543"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40"/>
      <w:bookmarkEnd w:id="541"/>
    </w:p>
    <w:p w14:paraId="50CF6201">
      <w:pPr>
        <w:spacing w:line="360" w:lineRule="auto"/>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w:t>
      </w:r>
      <w:r>
        <w:rPr>
          <w:rFonts w:ascii="楷体" w:hAnsi="楷体" w:eastAsia="楷体"/>
          <w:color w:val="auto"/>
          <w:szCs w:val="24"/>
        </w:rPr>
        <w:t>）</w:t>
      </w:r>
    </w:p>
    <w:p w14:paraId="5720A6E4">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61B64D04">
      <w:pPr>
        <w:pStyle w:val="11"/>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ADD8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3635DED7">
            <w:pPr>
              <w:spacing w:line="360" w:lineRule="auto"/>
              <w:ind w:left="-120" w:leftChars="-50" w:right="-120" w:rightChars="-50"/>
              <w:jc w:val="center"/>
              <w:rPr>
                <w:rFonts w:cs="宋体"/>
                <w:b/>
                <w:color w:val="auto"/>
              </w:rPr>
            </w:pPr>
            <w:r>
              <w:rPr>
                <w:rFonts w:hint="eastAsia" w:cs="仿宋_GB2312"/>
                <w:b/>
                <w:color w:val="auto"/>
                <w:szCs w:val="24"/>
              </w:rPr>
              <w:t>序号</w:t>
            </w:r>
          </w:p>
        </w:tc>
        <w:tc>
          <w:tcPr>
            <w:tcW w:w="1655" w:type="dxa"/>
            <w:shd w:val="pct10" w:color="C3BD96" w:themeColor="background2" w:themeShade="BF" w:fill="DDD9C4" w:themeFill="background2" w:themeFillShade="E6"/>
            <w:vAlign w:val="center"/>
          </w:tcPr>
          <w:p w14:paraId="7FFF40E6">
            <w:pPr>
              <w:wordWrap w:val="0"/>
              <w:spacing w:line="360" w:lineRule="auto"/>
              <w:ind w:left="-55" w:leftChars="-23" w:right="-74" w:rightChars="-31"/>
              <w:jc w:val="center"/>
              <w:rPr>
                <w:rFonts w:cs="宋体"/>
                <w:b/>
                <w:color w:val="auto"/>
              </w:rPr>
            </w:pPr>
            <w:r>
              <w:rPr>
                <w:rFonts w:hint="eastAsia" w:cs="宋体"/>
                <w:b/>
                <w:color w:val="auto"/>
              </w:rPr>
              <w:t>名称</w:t>
            </w:r>
          </w:p>
        </w:tc>
        <w:tc>
          <w:tcPr>
            <w:tcW w:w="1111" w:type="dxa"/>
            <w:shd w:val="pct10" w:color="C3BD96" w:themeColor="background2" w:themeShade="BF" w:fill="DDD9C4" w:themeFill="background2" w:themeFillShade="E6"/>
            <w:vAlign w:val="center"/>
          </w:tcPr>
          <w:p w14:paraId="2A93DC13">
            <w:pPr>
              <w:wordWrap w:val="0"/>
              <w:spacing w:line="360" w:lineRule="auto"/>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50FADC7B">
            <w:pPr>
              <w:wordWrap w:val="0"/>
              <w:spacing w:line="360" w:lineRule="auto"/>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3BD96" w:themeColor="background2" w:themeShade="BF" w:fill="DDD9C4" w:themeFill="background2" w:themeFillShade="E6"/>
            <w:vAlign w:val="center"/>
          </w:tcPr>
          <w:p w14:paraId="1CA3F776">
            <w:pPr>
              <w:wordWrap w:val="0"/>
              <w:spacing w:line="360" w:lineRule="auto"/>
              <w:ind w:left="-55" w:leftChars="-23" w:right="-74" w:rightChars="-31"/>
              <w:jc w:val="center"/>
              <w:rPr>
                <w:rFonts w:cs="宋体"/>
                <w:b/>
                <w:color w:val="auto"/>
              </w:rPr>
            </w:pPr>
            <w:r>
              <w:rPr>
                <w:rFonts w:hint="eastAsia" w:cs="宋体"/>
                <w:b/>
                <w:color w:val="auto"/>
              </w:rPr>
              <w:t>单位</w:t>
            </w:r>
          </w:p>
        </w:tc>
        <w:tc>
          <w:tcPr>
            <w:tcW w:w="913" w:type="dxa"/>
            <w:shd w:val="pct10" w:color="C3BD96" w:themeColor="background2" w:themeShade="BF" w:fill="DDD9C4" w:themeFill="background2" w:themeFillShade="E6"/>
            <w:vAlign w:val="center"/>
          </w:tcPr>
          <w:p w14:paraId="265E1720">
            <w:pPr>
              <w:wordWrap w:val="0"/>
              <w:spacing w:line="360" w:lineRule="auto"/>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3BD96" w:themeColor="background2" w:themeShade="BF" w:fill="DDD9C4" w:themeFill="background2" w:themeFillShade="E6"/>
            <w:vAlign w:val="center"/>
          </w:tcPr>
          <w:p w14:paraId="55A9FA69">
            <w:pPr>
              <w:spacing w:line="360" w:lineRule="auto"/>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3BD96" w:themeColor="background2" w:themeShade="BF" w:fill="DDD9C4" w:themeFill="background2" w:themeFillShade="E6"/>
            <w:vAlign w:val="center"/>
          </w:tcPr>
          <w:p w14:paraId="70EFD658">
            <w:pPr>
              <w:spacing w:line="360" w:lineRule="auto"/>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3BD96" w:themeColor="background2" w:themeShade="BF" w:fill="DDD9C4" w:themeFill="background2" w:themeFillShade="E6"/>
          </w:tcPr>
          <w:p w14:paraId="43BAF587">
            <w:pPr>
              <w:spacing w:line="360" w:lineRule="auto"/>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1D0B9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457B8299">
            <w:pPr>
              <w:wordWrap w:val="0"/>
              <w:spacing w:line="360" w:lineRule="auto"/>
              <w:ind w:left="-55" w:leftChars="-23" w:right="-74" w:rightChars="-31"/>
              <w:jc w:val="center"/>
              <w:rPr>
                <w:color w:val="auto"/>
              </w:rPr>
            </w:pPr>
            <w:r>
              <w:rPr>
                <w:rFonts w:hint="eastAsia"/>
                <w:color w:val="auto"/>
              </w:rPr>
              <w:t>1</w:t>
            </w:r>
          </w:p>
        </w:tc>
        <w:tc>
          <w:tcPr>
            <w:tcW w:w="1655" w:type="dxa"/>
            <w:shd w:val="clear" w:color="auto" w:fill="auto"/>
            <w:vAlign w:val="center"/>
          </w:tcPr>
          <w:p w14:paraId="37F44063">
            <w:pPr>
              <w:wordWrap w:val="0"/>
              <w:spacing w:line="360" w:lineRule="auto"/>
              <w:ind w:left="-55" w:leftChars="-23" w:right="-74" w:rightChars="-31"/>
              <w:jc w:val="center"/>
              <w:rPr>
                <w:color w:val="auto"/>
              </w:rPr>
            </w:pPr>
          </w:p>
        </w:tc>
        <w:tc>
          <w:tcPr>
            <w:tcW w:w="1111" w:type="dxa"/>
            <w:shd w:val="clear" w:color="auto" w:fill="auto"/>
            <w:vAlign w:val="center"/>
          </w:tcPr>
          <w:p w14:paraId="2F22C9EF">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683802A1">
            <w:pPr>
              <w:wordWrap w:val="0"/>
              <w:spacing w:line="360" w:lineRule="auto"/>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62A4390">
            <w:pPr>
              <w:wordWrap w:val="0"/>
              <w:spacing w:line="360" w:lineRule="auto"/>
              <w:ind w:left="-55" w:leftChars="-23" w:right="-430" w:rightChars="-179"/>
              <w:jc w:val="center"/>
              <w:rPr>
                <w:rFonts w:cs="宋体"/>
                <w:color w:val="auto"/>
                <w:szCs w:val="24"/>
              </w:rPr>
            </w:pPr>
          </w:p>
        </w:tc>
        <w:tc>
          <w:tcPr>
            <w:tcW w:w="913" w:type="dxa"/>
            <w:shd w:val="clear" w:color="auto" w:fill="auto"/>
            <w:vAlign w:val="center"/>
          </w:tcPr>
          <w:p w14:paraId="0A7F3427">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62023924">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3591E7EB">
            <w:pPr>
              <w:wordWrap w:val="0"/>
              <w:spacing w:line="360" w:lineRule="auto"/>
              <w:ind w:left="-55" w:leftChars="-23" w:right="-74" w:rightChars="-31"/>
              <w:jc w:val="center"/>
              <w:rPr>
                <w:rFonts w:cs="宋体"/>
                <w:color w:val="auto"/>
                <w:szCs w:val="24"/>
              </w:rPr>
            </w:pPr>
          </w:p>
        </w:tc>
        <w:tc>
          <w:tcPr>
            <w:tcW w:w="1268" w:type="dxa"/>
          </w:tcPr>
          <w:p w14:paraId="790F73D7">
            <w:pPr>
              <w:wordWrap w:val="0"/>
              <w:spacing w:line="360" w:lineRule="auto"/>
              <w:ind w:left="-55" w:leftChars="-23" w:right="-74" w:rightChars="-31"/>
              <w:jc w:val="center"/>
              <w:rPr>
                <w:rFonts w:cs="宋体"/>
                <w:color w:val="auto"/>
                <w:szCs w:val="24"/>
              </w:rPr>
            </w:pPr>
          </w:p>
        </w:tc>
      </w:tr>
      <w:tr w14:paraId="7DD7B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59412A52">
            <w:pPr>
              <w:wordWrap w:val="0"/>
              <w:spacing w:line="360" w:lineRule="auto"/>
              <w:ind w:left="-55" w:leftChars="-23" w:right="-74" w:rightChars="-31"/>
              <w:jc w:val="center"/>
              <w:rPr>
                <w:color w:val="auto"/>
              </w:rPr>
            </w:pPr>
            <w:r>
              <w:rPr>
                <w:rFonts w:hint="eastAsia"/>
                <w:color w:val="auto"/>
              </w:rPr>
              <w:t>2</w:t>
            </w:r>
          </w:p>
        </w:tc>
        <w:tc>
          <w:tcPr>
            <w:tcW w:w="1655" w:type="dxa"/>
            <w:shd w:val="clear" w:color="auto" w:fill="auto"/>
            <w:vAlign w:val="center"/>
          </w:tcPr>
          <w:p w14:paraId="73265F0B">
            <w:pPr>
              <w:wordWrap w:val="0"/>
              <w:spacing w:line="360" w:lineRule="auto"/>
              <w:ind w:left="-55" w:leftChars="-23" w:right="-74" w:rightChars="-31"/>
              <w:jc w:val="center"/>
              <w:rPr>
                <w:color w:val="auto"/>
              </w:rPr>
            </w:pPr>
          </w:p>
        </w:tc>
        <w:tc>
          <w:tcPr>
            <w:tcW w:w="1111" w:type="dxa"/>
            <w:shd w:val="clear" w:color="auto" w:fill="auto"/>
            <w:vAlign w:val="center"/>
          </w:tcPr>
          <w:p w14:paraId="3A51057D">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77CACBD0">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15A6FA53">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14:paraId="46E66B88">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2CFBC59A">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1DB07C46">
            <w:pPr>
              <w:wordWrap w:val="0"/>
              <w:spacing w:line="360" w:lineRule="auto"/>
              <w:ind w:left="-55" w:leftChars="-23" w:right="-74" w:rightChars="-31"/>
              <w:jc w:val="center"/>
              <w:rPr>
                <w:rFonts w:cs="宋体"/>
                <w:color w:val="auto"/>
                <w:szCs w:val="24"/>
              </w:rPr>
            </w:pPr>
          </w:p>
        </w:tc>
        <w:tc>
          <w:tcPr>
            <w:tcW w:w="1268" w:type="dxa"/>
          </w:tcPr>
          <w:p w14:paraId="65B781E3">
            <w:pPr>
              <w:wordWrap w:val="0"/>
              <w:spacing w:line="360" w:lineRule="auto"/>
              <w:ind w:left="-55" w:leftChars="-23" w:right="-74" w:rightChars="-31"/>
              <w:jc w:val="center"/>
              <w:rPr>
                <w:rFonts w:cs="宋体"/>
                <w:color w:val="auto"/>
                <w:szCs w:val="24"/>
              </w:rPr>
            </w:pPr>
          </w:p>
        </w:tc>
      </w:tr>
      <w:tr w14:paraId="64727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28C06096">
            <w:pPr>
              <w:wordWrap w:val="0"/>
              <w:spacing w:line="360" w:lineRule="auto"/>
              <w:ind w:left="-55" w:leftChars="-23" w:right="-74" w:rightChars="-31"/>
              <w:jc w:val="center"/>
              <w:rPr>
                <w:color w:val="auto"/>
              </w:rPr>
            </w:pPr>
            <w:r>
              <w:rPr>
                <w:rFonts w:hint="eastAsia"/>
                <w:color w:val="auto"/>
              </w:rPr>
              <w:t>3</w:t>
            </w:r>
          </w:p>
        </w:tc>
        <w:tc>
          <w:tcPr>
            <w:tcW w:w="1655" w:type="dxa"/>
            <w:shd w:val="clear" w:color="auto" w:fill="auto"/>
            <w:vAlign w:val="center"/>
          </w:tcPr>
          <w:p w14:paraId="41C13622">
            <w:pPr>
              <w:wordWrap w:val="0"/>
              <w:spacing w:line="360" w:lineRule="auto"/>
              <w:ind w:left="-55" w:leftChars="-23" w:right="-74" w:rightChars="-31"/>
              <w:jc w:val="center"/>
              <w:rPr>
                <w:color w:val="auto"/>
              </w:rPr>
            </w:pPr>
          </w:p>
        </w:tc>
        <w:tc>
          <w:tcPr>
            <w:tcW w:w="1111" w:type="dxa"/>
            <w:shd w:val="clear" w:color="auto" w:fill="auto"/>
            <w:vAlign w:val="center"/>
          </w:tcPr>
          <w:p w14:paraId="4D722A04">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45B3CAB6">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61A2D07E">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14:paraId="4F8539AC">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190F7B83">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20C51C81">
            <w:pPr>
              <w:wordWrap w:val="0"/>
              <w:spacing w:line="360" w:lineRule="auto"/>
              <w:ind w:left="-55" w:leftChars="-23" w:right="-74" w:rightChars="-31"/>
              <w:jc w:val="center"/>
              <w:rPr>
                <w:rFonts w:cs="宋体"/>
                <w:color w:val="auto"/>
                <w:szCs w:val="24"/>
              </w:rPr>
            </w:pPr>
          </w:p>
        </w:tc>
        <w:tc>
          <w:tcPr>
            <w:tcW w:w="1268" w:type="dxa"/>
          </w:tcPr>
          <w:p w14:paraId="3D3D2AD5">
            <w:pPr>
              <w:wordWrap w:val="0"/>
              <w:spacing w:line="360" w:lineRule="auto"/>
              <w:ind w:left="-55" w:leftChars="-23" w:right="-74" w:rightChars="-31"/>
              <w:jc w:val="center"/>
              <w:rPr>
                <w:rFonts w:cs="宋体"/>
                <w:color w:val="auto"/>
                <w:szCs w:val="24"/>
              </w:rPr>
            </w:pPr>
          </w:p>
        </w:tc>
      </w:tr>
      <w:tr w14:paraId="67D19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52BF7CD">
            <w:pPr>
              <w:wordWrap w:val="0"/>
              <w:spacing w:line="360" w:lineRule="auto"/>
              <w:ind w:left="-55" w:leftChars="-23" w:right="-74" w:rightChars="-31"/>
              <w:jc w:val="center"/>
              <w:rPr>
                <w:color w:val="auto"/>
              </w:rPr>
            </w:pPr>
            <w:r>
              <w:rPr>
                <w:rFonts w:hint="eastAsia"/>
                <w:color w:val="auto"/>
              </w:rPr>
              <w:t>…</w:t>
            </w:r>
          </w:p>
        </w:tc>
        <w:tc>
          <w:tcPr>
            <w:tcW w:w="1655" w:type="dxa"/>
            <w:shd w:val="clear" w:color="auto" w:fill="auto"/>
            <w:vAlign w:val="center"/>
          </w:tcPr>
          <w:p w14:paraId="02F834C0">
            <w:pPr>
              <w:wordWrap w:val="0"/>
              <w:spacing w:line="360" w:lineRule="auto"/>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71638146">
            <w:pPr>
              <w:wordWrap w:val="0"/>
              <w:spacing w:line="360" w:lineRule="auto"/>
              <w:ind w:left="-55" w:leftChars="-23" w:right="-74" w:rightChars="-31"/>
              <w:jc w:val="left"/>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60910964">
            <w:pPr>
              <w:wordWrap w:val="0"/>
              <w:spacing w:line="360" w:lineRule="auto"/>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6A334DB1">
            <w:pPr>
              <w:wordWrap w:val="0"/>
              <w:spacing w:line="360" w:lineRule="auto"/>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60BDBA26">
            <w:pPr>
              <w:wordWrap w:val="0"/>
              <w:spacing w:line="360" w:lineRule="auto"/>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48BA38D2">
            <w:pPr>
              <w:wordWrap w:val="0"/>
              <w:spacing w:line="360" w:lineRule="auto"/>
              <w:ind w:left="-55" w:leftChars="-23" w:right="-74" w:rightChars="-31"/>
              <w:jc w:val="left"/>
              <w:rPr>
                <w:rFonts w:cs="宋体"/>
                <w:color w:val="auto"/>
                <w:szCs w:val="24"/>
              </w:rPr>
            </w:pPr>
            <w:r>
              <w:rPr>
                <w:rFonts w:hint="eastAsia"/>
                <w:color w:val="auto"/>
              </w:rPr>
              <w:t>…</w:t>
            </w:r>
          </w:p>
        </w:tc>
        <w:tc>
          <w:tcPr>
            <w:tcW w:w="1394" w:type="dxa"/>
            <w:shd w:val="clear" w:color="auto" w:fill="auto"/>
            <w:vAlign w:val="center"/>
          </w:tcPr>
          <w:p w14:paraId="1080E5AC">
            <w:pPr>
              <w:wordWrap w:val="0"/>
              <w:spacing w:line="360" w:lineRule="auto"/>
              <w:ind w:left="-55" w:leftChars="-23" w:right="-74" w:rightChars="-31"/>
              <w:jc w:val="center"/>
              <w:rPr>
                <w:rFonts w:cs="宋体"/>
                <w:color w:val="auto"/>
                <w:szCs w:val="24"/>
              </w:rPr>
            </w:pPr>
            <w:r>
              <w:rPr>
                <w:rFonts w:hint="eastAsia"/>
                <w:color w:val="auto"/>
              </w:rPr>
              <w:t>…</w:t>
            </w:r>
          </w:p>
        </w:tc>
        <w:tc>
          <w:tcPr>
            <w:tcW w:w="1268" w:type="dxa"/>
          </w:tcPr>
          <w:p w14:paraId="035F5BB8">
            <w:pPr>
              <w:wordWrap w:val="0"/>
              <w:spacing w:line="360" w:lineRule="auto"/>
              <w:ind w:left="-55" w:leftChars="-23" w:right="-74" w:rightChars="-31"/>
              <w:jc w:val="center"/>
              <w:rPr>
                <w:color w:val="auto"/>
              </w:rPr>
            </w:pPr>
          </w:p>
        </w:tc>
      </w:tr>
      <w:tr w14:paraId="3A28F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205A6D56">
            <w:pPr>
              <w:wordWrap w:val="0"/>
              <w:spacing w:line="360" w:lineRule="auto"/>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59D52C44">
            <w:pPr>
              <w:wordWrap w:val="0"/>
              <w:spacing w:line="360" w:lineRule="auto"/>
              <w:ind w:left="-55" w:leftChars="-23" w:right="-74" w:rightChars="-31"/>
              <w:jc w:val="left"/>
              <w:rPr>
                <w:rFonts w:cs="宋体"/>
                <w:color w:val="auto"/>
                <w:szCs w:val="24"/>
              </w:rPr>
            </w:pPr>
          </w:p>
        </w:tc>
      </w:tr>
      <w:tr w14:paraId="53304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0EBBE601">
            <w:pPr>
              <w:wordWrap w:val="0"/>
              <w:spacing w:line="360" w:lineRule="auto"/>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296FD9C5">
            <w:pPr>
              <w:wordWrap w:val="0"/>
              <w:spacing w:line="360" w:lineRule="auto"/>
              <w:ind w:left="-55" w:leftChars="-23" w:right="-74" w:rightChars="-31"/>
              <w:jc w:val="left"/>
              <w:rPr>
                <w:rFonts w:cs="宋体"/>
                <w:color w:val="auto"/>
                <w:szCs w:val="24"/>
              </w:rPr>
            </w:pPr>
          </w:p>
        </w:tc>
      </w:tr>
    </w:tbl>
    <w:p w14:paraId="61D72B3D">
      <w:pPr>
        <w:spacing w:line="360" w:lineRule="auto"/>
        <w:ind w:left="723" w:hanging="723" w:hangingChars="30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”栏中注明对应产品属于“节能或环保或创新”产品。</w:t>
      </w:r>
    </w:p>
    <w:p w14:paraId="3D73D559">
      <w:pPr>
        <w:spacing w:line="360" w:lineRule="auto"/>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的应提供行政部门颁发的创新产品应用示范推荐目录（有效期内且所投产品应与清单中产品规格型号一致）。</w:t>
      </w:r>
    </w:p>
    <w:p w14:paraId="54BDF464">
      <w:pPr>
        <w:spacing w:line="360" w:lineRule="auto"/>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附相关证明材料，导致的后果由供应商自行承担。</w:t>
      </w:r>
    </w:p>
    <w:p w14:paraId="76E30C28">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30CEEE6">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2FEFFB73">
      <w:pPr>
        <w:widowControl/>
        <w:jc w:val="left"/>
        <w:rPr>
          <w:rFonts w:asciiTheme="majorHAnsi" w:hAnsiTheme="majorHAnsi" w:eastAsiaTheme="majorEastAsia" w:cstheme="majorBidi"/>
          <w:b/>
          <w:bCs/>
          <w:color w:val="auto"/>
          <w:szCs w:val="21"/>
        </w:rPr>
      </w:pPr>
      <w:r>
        <w:rPr>
          <w:color w:val="auto"/>
          <w:szCs w:val="21"/>
        </w:rPr>
        <w:br w:type="page"/>
      </w:r>
    </w:p>
    <w:p w14:paraId="338FA4B6">
      <w:pPr>
        <w:pStyle w:val="2"/>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44" w:name="_Toc122527568"/>
      <w:r>
        <w:rPr>
          <w:rFonts w:hint="eastAsia"/>
          <w:color w:val="auto"/>
          <w:sz w:val="24"/>
          <w:szCs w:val="21"/>
        </w:rPr>
        <w:t>享受</w:t>
      </w:r>
      <w:r>
        <w:rPr>
          <w:rFonts w:hint="eastAsia" w:ascii="宋体" w:hAnsi="宋体" w:eastAsia="宋体"/>
          <w:color w:val="auto"/>
          <w:sz w:val="24"/>
          <w:szCs w:val="24"/>
        </w:rPr>
        <w:t>价格扣除优惠政策应提供的材料</w:t>
      </w:r>
      <w:bookmarkEnd w:id="544"/>
    </w:p>
    <w:p w14:paraId="1444848A">
      <w:pPr>
        <w:pStyle w:val="11"/>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42"/>
      <w:bookmarkEnd w:id="543"/>
    </w:p>
    <w:p w14:paraId="0B209D2C">
      <w:pPr>
        <w:pStyle w:val="45"/>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联合协议书（适用于联合体磋商）</w:t>
      </w:r>
    </w:p>
    <w:p w14:paraId="7CFC423A">
      <w:pPr>
        <w:pStyle w:val="11"/>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14:paraId="07A6C769">
      <w:pPr>
        <w:pStyle w:val="45"/>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分包意向协议书（适用于成交后分包）</w:t>
      </w:r>
    </w:p>
    <w:p w14:paraId="4B921B84">
      <w:pPr>
        <w:pStyle w:val="11"/>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01D606AF">
      <w:pPr>
        <w:pStyle w:val="45"/>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中小企业声明函</w:t>
      </w:r>
    </w:p>
    <w:p w14:paraId="217B50B4">
      <w:pPr>
        <w:pStyle w:val="11"/>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1EB8727B">
      <w:pPr>
        <w:pStyle w:val="45"/>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监狱企业的证明文件（适用于监狱企业）</w:t>
      </w:r>
    </w:p>
    <w:p w14:paraId="7D686497">
      <w:pPr>
        <w:pStyle w:val="11"/>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72A29711">
      <w:pPr>
        <w:pStyle w:val="45"/>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残疾人福利性单位声明函（适用于残疾人福利性单位）</w:t>
      </w:r>
    </w:p>
    <w:p w14:paraId="2BA0E588">
      <w:pPr>
        <w:pStyle w:val="11"/>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5E166BD6">
      <w:pPr>
        <w:spacing w:line="360" w:lineRule="auto"/>
        <w:rPr>
          <w:color w:val="auto"/>
        </w:rPr>
      </w:pPr>
    </w:p>
    <w:p w14:paraId="04A16FF0">
      <w:pPr>
        <w:pStyle w:val="23"/>
        <w:rPr>
          <w:color w:val="auto"/>
        </w:rPr>
      </w:pPr>
    </w:p>
    <w:p w14:paraId="76965455">
      <w:pPr>
        <w:rPr>
          <w:color w:val="auto"/>
        </w:rPr>
      </w:pPr>
    </w:p>
    <w:p w14:paraId="59C7A50C">
      <w:pPr>
        <w:pStyle w:val="23"/>
        <w:rPr>
          <w:color w:val="auto"/>
        </w:rPr>
      </w:pPr>
    </w:p>
    <w:p w14:paraId="6934AE7D">
      <w:pPr>
        <w:rPr>
          <w:color w:val="auto"/>
        </w:rPr>
      </w:pPr>
    </w:p>
    <w:p w14:paraId="32D8FB00">
      <w:pPr>
        <w:pStyle w:val="23"/>
        <w:rPr>
          <w:color w:val="auto"/>
        </w:rPr>
      </w:pPr>
    </w:p>
    <w:p w14:paraId="569353AC">
      <w:pPr>
        <w:rPr>
          <w:color w:val="auto"/>
        </w:rPr>
      </w:pPr>
    </w:p>
    <w:p w14:paraId="013563FE">
      <w:pPr>
        <w:pStyle w:val="23"/>
        <w:rPr>
          <w:color w:val="auto"/>
        </w:rPr>
      </w:pPr>
    </w:p>
    <w:p w14:paraId="2F197922">
      <w:pPr>
        <w:rPr>
          <w:color w:val="auto"/>
        </w:rPr>
      </w:pPr>
    </w:p>
    <w:p w14:paraId="1A7C9C14">
      <w:pPr>
        <w:pStyle w:val="23"/>
        <w:rPr>
          <w:color w:val="auto"/>
        </w:rPr>
      </w:pPr>
    </w:p>
    <w:p w14:paraId="16EC91BA">
      <w:pPr>
        <w:rPr>
          <w:color w:val="auto"/>
        </w:rPr>
      </w:pPr>
    </w:p>
    <w:p w14:paraId="5173E3F6">
      <w:pPr>
        <w:pStyle w:val="23"/>
        <w:rPr>
          <w:color w:val="auto"/>
        </w:rPr>
      </w:pPr>
    </w:p>
    <w:p w14:paraId="75774887">
      <w:pPr>
        <w:rPr>
          <w:color w:val="auto"/>
        </w:rPr>
      </w:pPr>
    </w:p>
    <w:p w14:paraId="6E8826B0">
      <w:pPr>
        <w:pStyle w:val="23"/>
        <w:rPr>
          <w:color w:val="auto"/>
        </w:rPr>
      </w:pPr>
    </w:p>
    <w:p w14:paraId="6FCF9605">
      <w:pPr>
        <w:rPr>
          <w:color w:val="auto"/>
        </w:rPr>
      </w:pPr>
    </w:p>
    <w:p w14:paraId="25F0011A">
      <w:pPr>
        <w:pStyle w:val="23"/>
        <w:rPr>
          <w:color w:val="auto"/>
        </w:rPr>
      </w:pPr>
    </w:p>
    <w:p w14:paraId="146D5F3E">
      <w:pPr>
        <w:rPr>
          <w:color w:val="auto"/>
        </w:rPr>
      </w:pPr>
    </w:p>
    <w:p w14:paraId="7F76864A">
      <w:pPr>
        <w:pStyle w:val="23"/>
        <w:rPr>
          <w:color w:val="auto"/>
        </w:rPr>
      </w:pPr>
    </w:p>
    <w:p w14:paraId="1C6AB25D">
      <w:pPr>
        <w:rPr>
          <w:color w:val="auto"/>
        </w:rPr>
      </w:pPr>
    </w:p>
    <w:p w14:paraId="072B9642">
      <w:pPr>
        <w:pStyle w:val="11"/>
        <w:spacing w:line="360" w:lineRule="auto"/>
        <w:rPr>
          <w:color w:val="auto"/>
        </w:rPr>
      </w:pPr>
    </w:p>
    <w:p w14:paraId="23AD2F80">
      <w:pPr>
        <w:pStyle w:val="2"/>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5" w:name="_Toc122527569"/>
      <w:bookmarkStart w:id="546" w:name="_Toc117244399"/>
      <w:bookmarkStart w:id="547" w:name="_Toc117244514"/>
      <w:r>
        <w:rPr>
          <w:rFonts w:hint="eastAsia" w:ascii="宋体" w:hAnsi="宋体" w:eastAsia="宋体" w:cs="Times New Roman"/>
          <w:color w:val="auto"/>
          <w:sz w:val="24"/>
          <w:szCs w:val="24"/>
        </w:rPr>
        <w:t>磋商货物（或服务）介绍，项目建设（服务）方案</w:t>
      </w:r>
      <w:bookmarkEnd w:id="545"/>
    </w:p>
    <w:p w14:paraId="1BAE6628">
      <w:pPr>
        <w:pStyle w:val="11"/>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46"/>
      <w:bookmarkEnd w:id="547"/>
      <w:r>
        <w:rPr>
          <w:rFonts w:ascii="楷体" w:hAnsi="楷体" w:eastAsia="楷体"/>
          <w:color w:val="auto"/>
          <w:szCs w:val="24"/>
        </w:rPr>
        <w:t xml:space="preserve"> </w:t>
      </w:r>
    </w:p>
    <w:p w14:paraId="66137626">
      <w:pPr>
        <w:spacing w:line="360" w:lineRule="auto"/>
        <w:rPr>
          <w:color w:val="auto"/>
        </w:rPr>
      </w:pPr>
    </w:p>
    <w:p w14:paraId="5295A8E4">
      <w:pPr>
        <w:pStyle w:val="23"/>
        <w:rPr>
          <w:color w:val="auto"/>
        </w:rPr>
      </w:pPr>
    </w:p>
    <w:p w14:paraId="4144B4C2">
      <w:pPr>
        <w:rPr>
          <w:color w:val="auto"/>
        </w:rPr>
      </w:pPr>
    </w:p>
    <w:p w14:paraId="698E67B7">
      <w:pPr>
        <w:pStyle w:val="23"/>
        <w:rPr>
          <w:color w:val="auto"/>
        </w:rPr>
      </w:pPr>
    </w:p>
    <w:p w14:paraId="0AB82D0D">
      <w:pPr>
        <w:rPr>
          <w:color w:val="auto"/>
        </w:rPr>
      </w:pPr>
    </w:p>
    <w:p w14:paraId="3568E24B">
      <w:pPr>
        <w:pStyle w:val="23"/>
        <w:rPr>
          <w:color w:val="auto"/>
        </w:rPr>
      </w:pPr>
    </w:p>
    <w:p w14:paraId="5C985550">
      <w:pPr>
        <w:rPr>
          <w:color w:val="auto"/>
        </w:rPr>
      </w:pPr>
    </w:p>
    <w:p w14:paraId="7CA236A5">
      <w:pPr>
        <w:pStyle w:val="23"/>
        <w:rPr>
          <w:color w:val="auto"/>
        </w:rPr>
      </w:pPr>
    </w:p>
    <w:p w14:paraId="4B587E94">
      <w:pPr>
        <w:rPr>
          <w:color w:val="auto"/>
        </w:rPr>
      </w:pPr>
    </w:p>
    <w:p w14:paraId="1D703009">
      <w:pPr>
        <w:pStyle w:val="23"/>
        <w:rPr>
          <w:color w:val="auto"/>
        </w:rPr>
      </w:pPr>
    </w:p>
    <w:p w14:paraId="72C5BB0A">
      <w:pPr>
        <w:rPr>
          <w:color w:val="auto"/>
        </w:rPr>
      </w:pPr>
    </w:p>
    <w:p w14:paraId="2C8805B3">
      <w:pPr>
        <w:pStyle w:val="23"/>
        <w:rPr>
          <w:color w:val="auto"/>
        </w:rPr>
      </w:pPr>
    </w:p>
    <w:p w14:paraId="418DB234">
      <w:pPr>
        <w:rPr>
          <w:color w:val="auto"/>
        </w:rPr>
      </w:pPr>
    </w:p>
    <w:p w14:paraId="7E284053">
      <w:pPr>
        <w:pStyle w:val="23"/>
        <w:rPr>
          <w:color w:val="auto"/>
        </w:rPr>
      </w:pPr>
    </w:p>
    <w:p w14:paraId="02CEC286">
      <w:pPr>
        <w:rPr>
          <w:color w:val="auto"/>
        </w:rPr>
      </w:pPr>
    </w:p>
    <w:p w14:paraId="2F39CC3E">
      <w:pPr>
        <w:pStyle w:val="23"/>
        <w:rPr>
          <w:color w:val="auto"/>
        </w:rPr>
      </w:pPr>
    </w:p>
    <w:p w14:paraId="74C1E56C">
      <w:pPr>
        <w:rPr>
          <w:color w:val="auto"/>
        </w:rPr>
      </w:pPr>
    </w:p>
    <w:p w14:paraId="0C028A9E">
      <w:pPr>
        <w:pStyle w:val="23"/>
        <w:rPr>
          <w:color w:val="auto"/>
        </w:rPr>
      </w:pPr>
    </w:p>
    <w:p w14:paraId="372B1739">
      <w:pPr>
        <w:rPr>
          <w:color w:val="auto"/>
        </w:rPr>
      </w:pPr>
    </w:p>
    <w:p w14:paraId="1304CFE8">
      <w:pPr>
        <w:pStyle w:val="23"/>
        <w:rPr>
          <w:color w:val="auto"/>
        </w:rPr>
      </w:pPr>
    </w:p>
    <w:p w14:paraId="55E144CA">
      <w:pPr>
        <w:rPr>
          <w:color w:val="auto"/>
        </w:rPr>
      </w:pPr>
    </w:p>
    <w:p w14:paraId="0AADA452">
      <w:pPr>
        <w:pStyle w:val="23"/>
        <w:rPr>
          <w:color w:val="auto"/>
        </w:rPr>
      </w:pPr>
    </w:p>
    <w:p w14:paraId="72572C86">
      <w:pPr>
        <w:rPr>
          <w:color w:val="auto"/>
        </w:rPr>
      </w:pPr>
    </w:p>
    <w:p w14:paraId="61292B6F">
      <w:pPr>
        <w:pStyle w:val="23"/>
        <w:rPr>
          <w:color w:val="auto"/>
        </w:rPr>
      </w:pPr>
    </w:p>
    <w:p w14:paraId="536A8871">
      <w:pPr>
        <w:rPr>
          <w:color w:val="auto"/>
        </w:rPr>
      </w:pPr>
    </w:p>
    <w:p w14:paraId="21A028B0">
      <w:pPr>
        <w:pStyle w:val="23"/>
        <w:rPr>
          <w:color w:val="auto"/>
        </w:rPr>
      </w:pPr>
    </w:p>
    <w:p w14:paraId="3DDD554A">
      <w:pPr>
        <w:rPr>
          <w:color w:val="auto"/>
        </w:rPr>
      </w:pPr>
    </w:p>
    <w:p w14:paraId="7D10D0EC">
      <w:pPr>
        <w:pStyle w:val="23"/>
        <w:rPr>
          <w:color w:val="auto"/>
        </w:rPr>
      </w:pPr>
    </w:p>
    <w:p w14:paraId="549411B8">
      <w:pPr>
        <w:rPr>
          <w:color w:val="auto"/>
        </w:rPr>
      </w:pPr>
    </w:p>
    <w:p w14:paraId="5F8970AA">
      <w:pPr>
        <w:pStyle w:val="11"/>
        <w:spacing w:line="360" w:lineRule="auto"/>
        <w:rPr>
          <w:color w:val="auto"/>
        </w:rPr>
      </w:pPr>
    </w:p>
    <w:p w14:paraId="4A94430E">
      <w:pPr>
        <w:pStyle w:val="2"/>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8" w:name="_Toc122527570"/>
      <w:bookmarkStart w:id="549" w:name="_Toc117244400"/>
      <w:bookmarkStart w:id="550" w:name="_Toc117244515"/>
      <w:r>
        <w:rPr>
          <w:rFonts w:hint="eastAsia" w:ascii="宋体" w:hAnsi="宋体" w:eastAsia="宋体" w:cs="Times New Roman"/>
          <w:color w:val="auto"/>
          <w:sz w:val="24"/>
          <w:szCs w:val="24"/>
        </w:rPr>
        <w:t>竞争性磋商文件要求提供或供应商认为需提供的其它资料</w:t>
      </w:r>
      <w:bookmarkEnd w:id="548"/>
    </w:p>
    <w:p w14:paraId="42609899">
      <w:pPr>
        <w:pStyle w:val="11"/>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49"/>
      <w:bookmarkEnd w:id="550"/>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DB79">
    <w:pPr>
      <w:pStyle w:val="20"/>
      <w:ind w:firstLine="560"/>
      <w:jc w:val="center"/>
    </w:pPr>
  </w:p>
  <w:p w14:paraId="17D71EA5">
    <w:pPr>
      <w:pStyle w:val="20"/>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B593">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5BB1746B">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7EC0">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3753">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91</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88</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A7ED">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4511">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DB17">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8E29">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85094"/>
    <w:multiLevelType w:val="singleLevel"/>
    <w:tmpl w:val="B2385094"/>
    <w:lvl w:ilvl="0" w:tentative="0">
      <w:start w:val="8"/>
      <w:numFmt w:val="decimal"/>
      <w:suff w:val="nothing"/>
      <w:lvlText w:val="%1．"/>
      <w:lvlJc w:val="left"/>
    </w:lvl>
  </w:abstractNum>
  <w:abstractNum w:abstractNumId="1">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6">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7">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9">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5">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1DE8B79F"/>
    <w:multiLevelType w:val="singleLevel"/>
    <w:tmpl w:val="1DE8B79F"/>
    <w:lvl w:ilvl="0" w:tentative="0">
      <w:start w:val="9"/>
      <w:numFmt w:val="decimal"/>
      <w:suff w:val="nothing"/>
      <w:lvlText w:val="（%1）"/>
      <w:lvlJc w:val="left"/>
    </w:lvl>
  </w:abstractNum>
  <w:abstractNum w:abstractNumId="21">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4">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292B1F68"/>
    <w:multiLevelType w:val="singleLevel"/>
    <w:tmpl w:val="292B1F68"/>
    <w:lvl w:ilvl="0" w:tentative="0">
      <w:start w:val="1"/>
      <w:numFmt w:val="decimal"/>
      <w:lvlText w:val="%1."/>
      <w:lvlJc w:val="left"/>
      <w:pPr>
        <w:tabs>
          <w:tab w:val="left" w:pos="312"/>
        </w:tabs>
      </w:pPr>
    </w:lvl>
  </w:abstractNum>
  <w:abstractNum w:abstractNumId="28">
    <w:nsid w:val="2A0256CE"/>
    <w:multiLevelType w:val="multilevel"/>
    <w:tmpl w:val="2A0256CE"/>
    <w:lvl w:ilvl="0" w:tentative="0">
      <w:start w:val="1"/>
      <w:numFmt w:val="decimal"/>
      <w:lvlText w:val="3.%1"/>
      <w:lvlJc w:val="left"/>
      <w:pPr>
        <w:ind w:left="654"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9">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2">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4">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6">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7">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8">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9">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2">
    <w:nsid w:val="5D19584B"/>
    <w:multiLevelType w:val="singleLevel"/>
    <w:tmpl w:val="5D19584B"/>
    <w:lvl w:ilvl="0" w:tentative="0">
      <w:start w:val="2"/>
      <w:numFmt w:val="decimal"/>
      <w:suff w:val="nothing"/>
      <w:lvlText w:val="%1、"/>
      <w:lvlJc w:val="left"/>
    </w:lvl>
  </w:abstractNum>
  <w:abstractNum w:abstractNumId="53">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2">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9">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0">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7"/>
  </w:num>
  <w:num w:numId="2">
    <w:abstractNumId w:val="26"/>
  </w:num>
  <w:num w:numId="3">
    <w:abstractNumId w:val="61"/>
  </w:num>
  <w:num w:numId="4">
    <w:abstractNumId w:val="30"/>
  </w:num>
  <w:num w:numId="5">
    <w:abstractNumId w:val="19"/>
  </w:num>
  <w:num w:numId="6">
    <w:abstractNumId w:val="50"/>
  </w:num>
  <w:num w:numId="7">
    <w:abstractNumId w:val="4"/>
  </w:num>
  <w:num w:numId="8">
    <w:abstractNumId w:val="2"/>
  </w:num>
  <w:num w:numId="9">
    <w:abstractNumId w:val="18"/>
  </w:num>
  <w:num w:numId="10">
    <w:abstractNumId w:val="67"/>
  </w:num>
  <w:num w:numId="11">
    <w:abstractNumId w:val="16"/>
  </w:num>
  <w:num w:numId="12">
    <w:abstractNumId w:val="60"/>
  </w:num>
  <w:num w:numId="13">
    <w:abstractNumId w:val="54"/>
  </w:num>
  <w:num w:numId="14">
    <w:abstractNumId w:val="1"/>
  </w:num>
  <w:num w:numId="15">
    <w:abstractNumId w:val="57"/>
  </w:num>
  <w:num w:numId="16">
    <w:abstractNumId w:val="58"/>
  </w:num>
  <w:num w:numId="17">
    <w:abstractNumId w:val="9"/>
  </w:num>
  <w:num w:numId="18">
    <w:abstractNumId w:val="34"/>
  </w:num>
  <w:num w:numId="19">
    <w:abstractNumId w:val="70"/>
  </w:num>
  <w:num w:numId="20">
    <w:abstractNumId w:val="11"/>
  </w:num>
  <w:num w:numId="21">
    <w:abstractNumId w:val="68"/>
  </w:num>
  <w:num w:numId="22">
    <w:abstractNumId w:val="5"/>
  </w:num>
  <w:num w:numId="23">
    <w:abstractNumId w:val="6"/>
  </w:num>
  <w:num w:numId="24">
    <w:abstractNumId w:val="32"/>
  </w:num>
  <w:num w:numId="25">
    <w:abstractNumId w:val="66"/>
  </w:num>
  <w:num w:numId="26">
    <w:abstractNumId w:val="29"/>
  </w:num>
  <w:num w:numId="27">
    <w:abstractNumId w:val="12"/>
  </w:num>
  <w:num w:numId="28">
    <w:abstractNumId w:val="33"/>
  </w:num>
  <w:num w:numId="29">
    <w:abstractNumId w:val="43"/>
  </w:num>
  <w:num w:numId="30">
    <w:abstractNumId w:val="65"/>
  </w:num>
  <w:num w:numId="31">
    <w:abstractNumId w:val="49"/>
  </w:num>
  <w:num w:numId="32">
    <w:abstractNumId w:val="36"/>
  </w:num>
  <w:num w:numId="33">
    <w:abstractNumId w:val="55"/>
  </w:num>
  <w:num w:numId="34">
    <w:abstractNumId w:val="42"/>
  </w:num>
  <w:num w:numId="35">
    <w:abstractNumId w:val="44"/>
  </w:num>
  <w:num w:numId="36">
    <w:abstractNumId w:val="7"/>
  </w:num>
  <w:num w:numId="37">
    <w:abstractNumId w:val="45"/>
  </w:num>
  <w:num w:numId="38">
    <w:abstractNumId w:val="38"/>
  </w:num>
  <w:num w:numId="39">
    <w:abstractNumId w:val="41"/>
  </w:num>
  <w:num w:numId="40">
    <w:abstractNumId w:val="22"/>
  </w:num>
  <w:num w:numId="41">
    <w:abstractNumId w:val="20"/>
  </w:num>
  <w:num w:numId="42">
    <w:abstractNumId w:val="52"/>
  </w:num>
  <w:num w:numId="43">
    <w:abstractNumId w:val="0"/>
  </w:num>
  <w:num w:numId="44">
    <w:abstractNumId w:val="37"/>
  </w:num>
  <w:num w:numId="45">
    <w:abstractNumId w:val="27"/>
  </w:num>
  <w:num w:numId="46">
    <w:abstractNumId w:val="25"/>
  </w:num>
  <w:num w:numId="47">
    <w:abstractNumId w:val="21"/>
  </w:num>
  <w:num w:numId="48">
    <w:abstractNumId w:val="28"/>
  </w:num>
  <w:num w:numId="49">
    <w:abstractNumId w:val="62"/>
  </w:num>
  <w:num w:numId="50">
    <w:abstractNumId w:val="64"/>
  </w:num>
  <w:num w:numId="51">
    <w:abstractNumId w:val="23"/>
  </w:num>
  <w:num w:numId="52">
    <w:abstractNumId w:val="8"/>
  </w:num>
  <w:num w:numId="53">
    <w:abstractNumId w:val="17"/>
  </w:num>
  <w:num w:numId="54">
    <w:abstractNumId w:val="10"/>
  </w:num>
  <w:num w:numId="55">
    <w:abstractNumId w:val="40"/>
  </w:num>
  <w:num w:numId="56">
    <w:abstractNumId w:val="69"/>
  </w:num>
  <w:num w:numId="57">
    <w:abstractNumId w:val="63"/>
  </w:num>
  <w:num w:numId="58">
    <w:abstractNumId w:val="51"/>
  </w:num>
  <w:num w:numId="59">
    <w:abstractNumId w:val="39"/>
  </w:num>
  <w:num w:numId="60">
    <w:abstractNumId w:val="24"/>
  </w:num>
  <w:num w:numId="61">
    <w:abstractNumId w:val="56"/>
  </w:num>
  <w:num w:numId="62">
    <w:abstractNumId w:val="53"/>
  </w:num>
  <w:num w:numId="63">
    <w:abstractNumId w:val="13"/>
  </w:num>
  <w:num w:numId="64">
    <w:abstractNumId w:val="15"/>
  </w:num>
  <w:num w:numId="65">
    <w:abstractNumId w:val="31"/>
  </w:num>
  <w:num w:numId="66">
    <w:abstractNumId w:val="48"/>
  </w:num>
  <w:num w:numId="67">
    <w:abstractNumId w:val="14"/>
  </w:num>
  <w:num w:numId="68">
    <w:abstractNumId w:val="46"/>
  </w:num>
  <w:num w:numId="69">
    <w:abstractNumId w:val="3"/>
  </w:num>
  <w:num w:numId="70">
    <w:abstractNumId w:val="35"/>
  </w:num>
  <w:num w:numId="7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4C1700"/>
    <w:rsid w:val="01EF572E"/>
    <w:rsid w:val="023F0A87"/>
    <w:rsid w:val="02DE662A"/>
    <w:rsid w:val="02E57CDF"/>
    <w:rsid w:val="035A3F4A"/>
    <w:rsid w:val="039B1947"/>
    <w:rsid w:val="03D26FD0"/>
    <w:rsid w:val="03E31491"/>
    <w:rsid w:val="04003C23"/>
    <w:rsid w:val="041B0A5C"/>
    <w:rsid w:val="04684643"/>
    <w:rsid w:val="04A61B92"/>
    <w:rsid w:val="04DF79EF"/>
    <w:rsid w:val="05B71FA9"/>
    <w:rsid w:val="05EC6528"/>
    <w:rsid w:val="063D4CBA"/>
    <w:rsid w:val="06810789"/>
    <w:rsid w:val="06BC4E06"/>
    <w:rsid w:val="07E723EF"/>
    <w:rsid w:val="08144D37"/>
    <w:rsid w:val="0885365D"/>
    <w:rsid w:val="089003ED"/>
    <w:rsid w:val="08962DA7"/>
    <w:rsid w:val="08EE76BA"/>
    <w:rsid w:val="09000350"/>
    <w:rsid w:val="09FD2EFE"/>
    <w:rsid w:val="0A4578BB"/>
    <w:rsid w:val="0A9A7155"/>
    <w:rsid w:val="0ADB0F46"/>
    <w:rsid w:val="0AFA02DB"/>
    <w:rsid w:val="0B1D55F8"/>
    <w:rsid w:val="0B24469B"/>
    <w:rsid w:val="0BA006BB"/>
    <w:rsid w:val="0C2F21A2"/>
    <w:rsid w:val="0CF87B8D"/>
    <w:rsid w:val="0D140B10"/>
    <w:rsid w:val="0D7C7760"/>
    <w:rsid w:val="0E5C05EF"/>
    <w:rsid w:val="0EF43EAD"/>
    <w:rsid w:val="105D112B"/>
    <w:rsid w:val="10D60B3D"/>
    <w:rsid w:val="11301FEB"/>
    <w:rsid w:val="1139194B"/>
    <w:rsid w:val="115A1B44"/>
    <w:rsid w:val="11B26D50"/>
    <w:rsid w:val="11CF1B13"/>
    <w:rsid w:val="11FC5168"/>
    <w:rsid w:val="12465803"/>
    <w:rsid w:val="127128F3"/>
    <w:rsid w:val="129151CC"/>
    <w:rsid w:val="12A460C1"/>
    <w:rsid w:val="12C30C3D"/>
    <w:rsid w:val="131C2708"/>
    <w:rsid w:val="13925E00"/>
    <w:rsid w:val="13D701AD"/>
    <w:rsid w:val="14305E5E"/>
    <w:rsid w:val="144F52AB"/>
    <w:rsid w:val="14BF5434"/>
    <w:rsid w:val="15664AE6"/>
    <w:rsid w:val="158D16F4"/>
    <w:rsid w:val="16C72C34"/>
    <w:rsid w:val="16CA1CAB"/>
    <w:rsid w:val="171633F9"/>
    <w:rsid w:val="175E2CE2"/>
    <w:rsid w:val="17894A4B"/>
    <w:rsid w:val="1850765B"/>
    <w:rsid w:val="18AD2173"/>
    <w:rsid w:val="19B260C7"/>
    <w:rsid w:val="19BD517D"/>
    <w:rsid w:val="19D63004"/>
    <w:rsid w:val="19F00251"/>
    <w:rsid w:val="1A6C6FD6"/>
    <w:rsid w:val="1A967EBE"/>
    <w:rsid w:val="1B581726"/>
    <w:rsid w:val="1B9B61B6"/>
    <w:rsid w:val="1C7B3292"/>
    <w:rsid w:val="1CA373A1"/>
    <w:rsid w:val="1D6B7F07"/>
    <w:rsid w:val="1D795F19"/>
    <w:rsid w:val="1D8B01C8"/>
    <w:rsid w:val="1E0068A1"/>
    <w:rsid w:val="1E0B5D9D"/>
    <w:rsid w:val="1E272254"/>
    <w:rsid w:val="1E336318"/>
    <w:rsid w:val="1E6A4C4C"/>
    <w:rsid w:val="1E7601ED"/>
    <w:rsid w:val="1E7A1067"/>
    <w:rsid w:val="1ECB1A04"/>
    <w:rsid w:val="1EE203E4"/>
    <w:rsid w:val="1EFB31D4"/>
    <w:rsid w:val="1F6E53CE"/>
    <w:rsid w:val="1F950F0E"/>
    <w:rsid w:val="20007812"/>
    <w:rsid w:val="200B5929"/>
    <w:rsid w:val="202E0631"/>
    <w:rsid w:val="20722C6F"/>
    <w:rsid w:val="215F3717"/>
    <w:rsid w:val="21854D51"/>
    <w:rsid w:val="21A10EA0"/>
    <w:rsid w:val="21D62F70"/>
    <w:rsid w:val="221F1AAE"/>
    <w:rsid w:val="226F3225"/>
    <w:rsid w:val="22B20386"/>
    <w:rsid w:val="232E2103"/>
    <w:rsid w:val="23E74394"/>
    <w:rsid w:val="240B1DBB"/>
    <w:rsid w:val="24392B0D"/>
    <w:rsid w:val="2451030E"/>
    <w:rsid w:val="25334925"/>
    <w:rsid w:val="25DC0DBB"/>
    <w:rsid w:val="26153106"/>
    <w:rsid w:val="265E2CFF"/>
    <w:rsid w:val="266D2343"/>
    <w:rsid w:val="285B7210"/>
    <w:rsid w:val="295D4808"/>
    <w:rsid w:val="29C76E0D"/>
    <w:rsid w:val="29DB3E72"/>
    <w:rsid w:val="2A1B45E1"/>
    <w:rsid w:val="2A946CEF"/>
    <w:rsid w:val="2ACB7241"/>
    <w:rsid w:val="2C1F62D1"/>
    <w:rsid w:val="2C716146"/>
    <w:rsid w:val="2CAC2DE6"/>
    <w:rsid w:val="2D32459D"/>
    <w:rsid w:val="2D6D7CCB"/>
    <w:rsid w:val="2D94105E"/>
    <w:rsid w:val="2D973E05"/>
    <w:rsid w:val="2E6C1D31"/>
    <w:rsid w:val="2F0A66A0"/>
    <w:rsid w:val="2FA47241"/>
    <w:rsid w:val="2FE31B3C"/>
    <w:rsid w:val="303D1BD7"/>
    <w:rsid w:val="30A027B7"/>
    <w:rsid w:val="30B17ECF"/>
    <w:rsid w:val="30CB71E3"/>
    <w:rsid w:val="31E00383"/>
    <w:rsid w:val="31E74D13"/>
    <w:rsid w:val="32074A52"/>
    <w:rsid w:val="3239017C"/>
    <w:rsid w:val="326C2B28"/>
    <w:rsid w:val="326E4B18"/>
    <w:rsid w:val="32A55811"/>
    <w:rsid w:val="3328032A"/>
    <w:rsid w:val="334D4E93"/>
    <w:rsid w:val="337C6572"/>
    <w:rsid w:val="33F374F1"/>
    <w:rsid w:val="34443AB5"/>
    <w:rsid w:val="34652711"/>
    <w:rsid w:val="34931DC5"/>
    <w:rsid w:val="34AB0137"/>
    <w:rsid w:val="34BF51F2"/>
    <w:rsid w:val="34E2328A"/>
    <w:rsid w:val="34F43BD5"/>
    <w:rsid w:val="35386E11"/>
    <w:rsid w:val="355F375B"/>
    <w:rsid w:val="35832941"/>
    <w:rsid w:val="35A37AA1"/>
    <w:rsid w:val="36C46BAE"/>
    <w:rsid w:val="36DC18A1"/>
    <w:rsid w:val="36E36908"/>
    <w:rsid w:val="36EF1119"/>
    <w:rsid w:val="374B5143"/>
    <w:rsid w:val="37E1109A"/>
    <w:rsid w:val="382A0C93"/>
    <w:rsid w:val="3843545B"/>
    <w:rsid w:val="38F44D1F"/>
    <w:rsid w:val="398C2F98"/>
    <w:rsid w:val="39F5535E"/>
    <w:rsid w:val="39FE7083"/>
    <w:rsid w:val="3A466A7B"/>
    <w:rsid w:val="3AB94550"/>
    <w:rsid w:val="3ACF11D7"/>
    <w:rsid w:val="3AFA0DF0"/>
    <w:rsid w:val="3B363C75"/>
    <w:rsid w:val="3B630D1F"/>
    <w:rsid w:val="3BBB7F67"/>
    <w:rsid w:val="3BD426FF"/>
    <w:rsid w:val="3BD96A10"/>
    <w:rsid w:val="3BF32CA1"/>
    <w:rsid w:val="3C0D6158"/>
    <w:rsid w:val="3C364BD2"/>
    <w:rsid w:val="3C65032A"/>
    <w:rsid w:val="3C826FD0"/>
    <w:rsid w:val="3C8D3D8A"/>
    <w:rsid w:val="3C9B2F35"/>
    <w:rsid w:val="3CD71A19"/>
    <w:rsid w:val="3CF641AF"/>
    <w:rsid w:val="3D615D36"/>
    <w:rsid w:val="3E0B0D27"/>
    <w:rsid w:val="3E0C3F27"/>
    <w:rsid w:val="3E484649"/>
    <w:rsid w:val="3E546BCB"/>
    <w:rsid w:val="3F6C4A68"/>
    <w:rsid w:val="3FB54248"/>
    <w:rsid w:val="3FDF2EC6"/>
    <w:rsid w:val="3FF12E5A"/>
    <w:rsid w:val="40150F02"/>
    <w:rsid w:val="40357B2D"/>
    <w:rsid w:val="40AF442B"/>
    <w:rsid w:val="40F6645A"/>
    <w:rsid w:val="412172BC"/>
    <w:rsid w:val="4149735F"/>
    <w:rsid w:val="416C5E78"/>
    <w:rsid w:val="419C2551"/>
    <w:rsid w:val="41AF4CFE"/>
    <w:rsid w:val="41C167DE"/>
    <w:rsid w:val="41DA2B3F"/>
    <w:rsid w:val="4232518D"/>
    <w:rsid w:val="42CE24B3"/>
    <w:rsid w:val="42E44F0D"/>
    <w:rsid w:val="43726059"/>
    <w:rsid w:val="441445A5"/>
    <w:rsid w:val="451E2121"/>
    <w:rsid w:val="452C3ABA"/>
    <w:rsid w:val="456C0C58"/>
    <w:rsid w:val="45C443A8"/>
    <w:rsid w:val="45CF4C28"/>
    <w:rsid w:val="45EA505A"/>
    <w:rsid w:val="46484442"/>
    <w:rsid w:val="465C4507"/>
    <w:rsid w:val="466F387B"/>
    <w:rsid w:val="46B520B5"/>
    <w:rsid w:val="47051A26"/>
    <w:rsid w:val="476A10AC"/>
    <w:rsid w:val="47FC75AA"/>
    <w:rsid w:val="48384A85"/>
    <w:rsid w:val="48455675"/>
    <w:rsid w:val="48874BF8"/>
    <w:rsid w:val="48D433F2"/>
    <w:rsid w:val="49292141"/>
    <w:rsid w:val="497E78B1"/>
    <w:rsid w:val="4A095F80"/>
    <w:rsid w:val="4B1C1A05"/>
    <w:rsid w:val="4C4B5B52"/>
    <w:rsid w:val="4DA250C7"/>
    <w:rsid w:val="4DA370C6"/>
    <w:rsid w:val="4DC024C7"/>
    <w:rsid w:val="4E3B53D7"/>
    <w:rsid w:val="4F6D483F"/>
    <w:rsid w:val="4FB21842"/>
    <w:rsid w:val="4FD70744"/>
    <w:rsid w:val="5033596E"/>
    <w:rsid w:val="50A83C61"/>
    <w:rsid w:val="5166324A"/>
    <w:rsid w:val="51A11B6E"/>
    <w:rsid w:val="52367BE2"/>
    <w:rsid w:val="5268331F"/>
    <w:rsid w:val="52B07B8F"/>
    <w:rsid w:val="52D51CAA"/>
    <w:rsid w:val="52D95337"/>
    <w:rsid w:val="52DB4C79"/>
    <w:rsid w:val="532F31A9"/>
    <w:rsid w:val="536D782E"/>
    <w:rsid w:val="53A26E5C"/>
    <w:rsid w:val="53EC2E48"/>
    <w:rsid w:val="547C0049"/>
    <w:rsid w:val="54996485"/>
    <w:rsid w:val="54A11E85"/>
    <w:rsid w:val="552A3C28"/>
    <w:rsid w:val="5592206E"/>
    <w:rsid w:val="562C577E"/>
    <w:rsid w:val="56520719"/>
    <w:rsid w:val="567A298E"/>
    <w:rsid w:val="568B216D"/>
    <w:rsid w:val="571903F8"/>
    <w:rsid w:val="572103E6"/>
    <w:rsid w:val="57455A7D"/>
    <w:rsid w:val="585A65D3"/>
    <w:rsid w:val="5905549B"/>
    <w:rsid w:val="59086805"/>
    <w:rsid w:val="59194514"/>
    <w:rsid w:val="5919648E"/>
    <w:rsid w:val="594F1EAF"/>
    <w:rsid w:val="599E6158"/>
    <w:rsid w:val="59E30AC0"/>
    <w:rsid w:val="59E407B8"/>
    <w:rsid w:val="5A0E3B19"/>
    <w:rsid w:val="5A800F63"/>
    <w:rsid w:val="5B4C509D"/>
    <w:rsid w:val="5B98317F"/>
    <w:rsid w:val="5D417BA8"/>
    <w:rsid w:val="5DA86032"/>
    <w:rsid w:val="5DD5772D"/>
    <w:rsid w:val="5E0250EF"/>
    <w:rsid w:val="5E75348A"/>
    <w:rsid w:val="5EB7151D"/>
    <w:rsid w:val="5F5C109D"/>
    <w:rsid w:val="5F751F44"/>
    <w:rsid w:val="5F864151"/>
    <w:rsid w:val="60015D41"/>
    <w:rsid w:val="605E23F2"/>
    <w:rsid w:val="60937992"/>
    <w:rsid w:val="609702AE"/>
    <w:rsid w:val="60EA4B93"/>
    <w:rsid w:val="614A0FF7"/>
    <w:rsid w:val="617C5500"/>
    <w:rsid w:val="61AE54A0"/>
    <w:rsid w:val="61B769E1"/>
    <w:rsid w:val="6226015E"/>
    <w:rsid w:val="622E7E06"/>
    <w:rsid w:val="623D395F"/>
    <w:rsid w:val="624C1640"/>
    <w:rsid w:val="62563156"/>
    <w:rsid w:val="62E53885"/>
    <w:rsid w:val="631D1EC8"/>
    <w:rsid w:val="63786307"/>
    <w:rsid w:val="63A81D02"/>
    <w:rsid w:val="63B53257"/>
    <w:rsid w:val="63E762F9"/>
    <w:rsid w:val="63F42180"/>
    <w:rsid w:val="640007DD"/>
    <w:rsid w:val="641066DF"/>
    <w:rsid w:val="64303CEE"/>
    <w:rsid w:val="64322AF9"/>
    <w:rsid w:val="645440C9"/>
    <w:rsid w:val="64794284"/>
    <w:rsid w:val="65004FA3"/>
    <w:rsid w:val="653D3504"/>
    <w:rsid w:val="65CA4E72"/>
    <w:rsid w:val="65ED5B8B"/>
    <w:rsid w:val="662621EA"/>
    <w:rsid w:val="668140F3"/>
    <w:rsid w:val="669E2A8C"/>
    <w:rsid w:val="66BB5028"/>
    <w:rsid w:val="678E0806"/>
    <w:rsid w:val="67C1666E"/>
    <w:rsid w:val="67E57164"/>
    <w:rsid w:val="68C24AB1"/>
    <w:rsid w:val="68DA14FC"/>
    <w:rsid w:val="69017C28"/>
    <w:rsid w:val="69802A62"/>
    <w:rsid w:val="6A195131"/>
    <w:rsid w:val="6A3D083B"/>
    <w:rsid w:val="6A522375"/>
    <w:rsid w:val="6A9A4F55"/>
    <w:rsid w:val="6B00180F"/>
    <w:rsid w:val="6B853C13"/>
    <w:rsid w:val="6BD93D17"/>
    <w:rsid w:val="6BDB5825"/>
    <w:rsid w:val="6C3B1211"/>
    <w:rsid w:val="6C914C22"/>
    <w:rsid w:val="6CB26586"/>
    <w:rsid w:val="6CC748C8"/>
    <w:rsid w:val="6D233E90"/>
    <w:rsid w:val="6D417909"/>
    <w:rsid w:val="6DC13001"/>
    <w:rsid w:val="6DC62555"/>
    <w:rsid w:val="6E5B49FB"/>
    <w:rsid w:val="6E6B2D9B"/>
    <w:rsid w:val="6EF037B8"/>
    <w:rsid w:val="6F4C1992"/>
    <w:rsid w:val="6F8475A9"/>
    <w:rsid w:val="6F974B7A"/>
    <w:rsid w:val="6FA23DA0"/>
    <w:rsid w:val="6FAC3760"/>
    <w:rsid w:val="6FD20CED"/>
    <w:rsid w:val="70101E48"/>
    <w:rsid w:val="70565919"/>
    <w:rsid w:val="709A3647"/>
    <w:rsid w:val="70D34D1C"/>
    <w:rsid w:val="71E879A4"/>
    <w:rsid w:val="72065905"/>
    <w:rsid w:val="72253C9E"/>
    <w:rsid w:val="72355744"/>
    <w:rsid w:val="727934D3"/>
    <w:rsid w:val="72AC21C8"/>
    <w:rsid w:val="72FF4428"/>
    <w:rsid w:val="737361D7"/>
    <w:rsid w:val="737C0AB1"/>
    <w:rsid w:val="73830FF7"/>
    <w:rsid w:val="73A83704"/>
    <w:rsid w:val="73AE476C"/>
    <w:rsid w:val="73E77BBD"/>
    <w:rsid w:val="73FC578C"/>
    <w:rsid w:val="743B1556"/>
    <w:rsid w:val="744D66F5"/>
    <w:rsid w:val="744D6C15"/>
    <w:rsid w:val="74834B43"/>
    <w:rsid w:val="7518006F"/>
    <w:rsid w:val="752844B3"/>
    <w:rsid w:val="752B003D"/>
    <w:rsid w:val="753B1B7C"/>
    <w:rsid w:val="753E08B8"/>
    <w:rsid w:val="76894E1C"/>
    <w:rsid w:val="76CC49BA"/>
    <w:rsid w:val="770703A6"/>
    <w:rsid w:val="77DC2F9F"/>
    <w:rsid w:val="781A76D5"/>
    <w:rsid w:val="785632FC"/>
    <w:rsid w:val="78584264"/>
    <w:rsid w:val="788E3BC0"/>
    <w:rsid w:val="78E5728C"/>
    <w:rsid w:val="79342C66"/>
    <w:rsid w:val="7A0A691E"/>
    <w:rsid w:val="7AE446F6"/>
    <w:rsid w:val="7B0E3828"/>
    <w:rsid w:val="7B3D4DDC"/>
    <w:rsid w:val="7BBB653C"/>
    <w:rsid w:val="7BF64FBC"/>
    <w:rsid w:val="7C1F52BA"/>
    <w:rsid w:val="7C633120"/>
    <w:rsid w:val="7CAD7C9A"/>
    <w:rsid w:val="7D0D15B6"/>
    <w:rsid w:val="7D885FD8"/>
    <w:rsid w:val="7DF16E2A"/>
    <w:rsid w:val="7E1C1443"/>
    <w:rsid w:val="7E4761DE"/>
    <w:rsid w:val="7E600C3C"/>
    <w:rsid w:val="7E652492"/>
    <w:rsid w:val="7E870BF2"/>
    <w:rsid w:val="7ED2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link w:val="64"/>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next w:val="1"/>
    <w:qFormat/>
    <w:uiPriority w:val="0"/>
    <w:pPr>
      <w:ind w:firstLine="420"/>
    </w:pPr>
    <w:rPr>
      <w:rFonts w:ascii="等线" w:hAnsi="等线" w:eastAsia="等线" w:cs="Times New Roman"/>
    </w:rPr>
  </w:style>
  <w:style w:type="paragraph" w:styleId="9">
    <w:name w:val="Document Map"/>
    <w:basedOn w:val="1"/>
    <w:link w:val="53"/>
    <w:semiHidden/>
    <w:unhideWhenUsed/>
    <w:qFormat/>
    <w:uiPriority w:val="99"/>
    <w:rPr>
      <w:sz w:val="18"/>
      <w:szCs w:val="18"/>
    </w:rPr>
  </w:style>
  <w:style w:type="paragraph" w:styleId="10">
    <w:name w:val="annotation text"/>
    <w:basedOn w:val="1"/>
    <w:link w:val="44"/>
    <w:unhideWhenUsed/>
    <w:qFormat/>
    <w:uiPriority w:val="99"/>
    <w:pPr>
      <w:jc w:val="left"/>
    </w:pPr>
  </w:style>
  <w:style w:type="paragraph" w:styleId="11">
    <w:name w:val="Body Text"/>
    <w:basedOn w:val="1"/>
    <w:next w:val="1"/>
    <w:link w:val="61"/>
    <w:qFormat/>
    <w:uiPriority w:val="99"/>
    <w:pPr>
      <w:spacing w:line="420" w:lineRule="auto"/>
    </w:pPr>
  </w:style>
  <w:style w:type="paragraph" w:styleId="12">
    <w:name w:val="Body Text Indent"/>
    <w:basedOn w:val="1"/>
    <w:next w:val="13"/>
    <w:autoRedefine/>
    <w:unhideWhenUsed/>
    <w:qFormat/>
    <w:uiPriority w:val="0"/>
    <w:pPr>
      <w:spacing w:after="120"/>
      <w:ind w:left="420" w:leftChars="200"/>
    </w:pPr>
  </w:style>
  <w:style w:type="paragraph" w:styleId="13">
    <w:name w:val="Body Text First Indent 2"/>
    <w:basedOn w:val="12"/>
    <w:next w:val="1"/>
    <w:autoRedefine/>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4">
    <w:name w:val="toc 5"/>
    <w:basedOn w:val="1"/>
    <w:next w:val="1"/>
    <w:autoRedefine/>
    <w:unhideWhenUsed/>
    <w:qFormat/>
    <w:uiPriority w:val="39"/>
    <w:pPr>
      <w:ind w:left="840"/>
      <w:jc w:val="left"/>
    </w:pPr>
    <w:rPr>
      <w:sz w:val="18"/>
      <w:szCs w:val="18"/>
    </w:rPr>
  </w:style>
  <w:style w:type="paragraph" w:styleId="15">
    <w:name w:val="toc 3"/>
    <w:basedOn w:val="1"/>
    <w:next w:val="1"/>
    <w:autoRedefine/>
    <w:unhideWhenUsed/>
    <w:qFormat/>
    <w:uiPriority w:val="39"/>
    <w:pPr>
      <w:ind w:left="420"/>
      <w:jc w:val="left"/>
    </w:pPr>
    <w:rPr>
      <w:i/>
      <w:iCs/>
      <w:sz w:val="20"/>
    </w:rPr>
  </w:style>
  <w:style w:type="paragraph" w:styleId="16">
    <w:name w:val="Plain Text"/>
    <w:basedOn w:val="1"/>
    <w:link w:val="50"/>
    <w:autoRedefine/>
    <w:semiHidden/>
    <w:unhideWhenUsed/>
    <w:qFormat/>
    <w:uiPriority w:val="99"/>
    <w:rPr>
      <w:rFonts w:hAnsi="Courier New" w:cs="Courier New"/>
      <w:szCs w:val="21"/>
    </w:rPr>
  </w:style>
  <w:style w:type="paragraph" w:styleId="17">
    <w:name w:val="toc 8"/>
    <w:basedOn w:val="1"/>
    <w:next w:val="1"/>
    <w:autoRedefine/>
    <w:unhideWhenUsed/>
    <w:qFormat/>
    <w:uiPriority w:val="39"/>
    <w:pPr>
      <w:ind w:left="1470"/>
      <w:jc w:val="left"/>
    </w:pPr>
    <w:rPr>
      <w:sz w:val="18"/>
      <w:szCs w:val="18"/>
    </w:rPr>
  </w:style>
  <w:style w:type="paragraph" w:styleId="18">
    <w:name w:val="Date"/>
    <w:basedOn w:val="1"/>
    <w:next w:val="1"/>
    <w:link w:val="48"/>
    <w:autoRedefine/>
    <w:semiHidden/>
    <w:unhideWhenUsed/>
    <w:qFormat/>
    <w:uiPriority w:val="99"/>
    <w:pPr>
      <w:ind w:left="100" w:leftChars="2500"/>
    </w:pPr>
  </w:style>
  <w:style w:type="paragraph" w:styleId="19">
    <w:name w:val="Balloon Text"/>
    <w:basedOn w:val="1"/>
    <w:link w:val="43"/>
    <w:autoRedefine/>
    <w:semiHidden/>
    <w:unhideWhenUsed/>
    <w:qFormat/>
    <w:uiPriority w:val="99"/>
    <w:rPr>
      <w:sz w:val="18"/>
      <w:szCs w:val="18"/>
    </w:rPr>
  </w:style>
  <w:style w:type="paragraph" w:styleId="20">
    <w:name w:val="footer"/>
    <w:basedOn w:val="1"/>
    <w:next w:val="21"/>
    <w:link w:val="39"/>
    <w:autoRedefine/>
    <w:unhideWhenUsed/>
    <w:qFormat/>
    <w:uiPriority w:val="99"/>
    <w:pPr>
      <w:tabs>
        <w:tab w:val="center" w:pos="4153"/>
        <w:tab w:val="right" w:pos="8306"/>
      </w:tabs>
      <w:snapToGrid w:val="0"/>
      <w:jc w:val="left"/>
    </w:pPr>
    <w:rPr>
      <w:sz w:val="18"/>
      <w:szCs w:val="18"/>
    </w:rPr>
  </w:style>
  <w:style w:type="paragraph" w:customStyle="1" w:styleId="21">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spacing w:before="120" w:after="120"/>
      <w:jc w:val="left"/>
    </w:pPr>
    <w:rPr>
      <w:b/>
      <w:bCs/>
      <w:caps/>
    </w:rPr>
  </w:style>
  <w:style w:type="paragraph" w:styleId="24">
    <w:name w:val="toc 4"/>
    <w:basedOn w:val="1"/>
    <w:next w:val="5"/>
    <w:autoRedefine/>
    <w:unhideWhenUsed/>
    <w:qFormat/>
    <w:uiPriority w:val="39"/>
    <w:pPr>
      <w:ind w:left="630"/>
      <w:jc w:val="left"/>
    </w:pPr>
    <w:rPr>
      <w:sz w:val="18"/>
      <w:szCs w:val="18"/>
    </w:rPr>
  </w:style>
  <w:style w:type="paragraph" w:styleId="25">
    <w:name w:val="toc 6"/>
    <w:basedOn w:val="1"/>
    <w:next w:val="1"/>
    <w:autoRedefine/>
    <w:unhideWhenUsed/>
    <w:qFormat/>
    <w:uiPriority w:val="39"/>
    <w:pPr>
      <w:ind w:left="1050"/>
      <w:jc w:val="left"/>
    </w:pPr>
    <w:rPr>
      <w:sz w:val="18"/>
      <w:szCs w:val="18"/>
    </w:rPr>
  </w:style>
  <w:style w:type="paragraph" w:styleId="26">
    <w:name w:val="toc 2"/>
    <w:basedOn w:val="27"/>
    <w:next w:val="2"/>
    <w:link w:val="62"/>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7">
    <w:name w:val="Quote"/>
    <w:basedOn w:val="1"/>
    <w:next w:val="1"/>
    <w:link w:val="40"/>
    <w:autoRedefine/>
    <w:qFormat/>
    <w:uiPriority w:val="29"/>
    <w:rPr>
      <w:i/>
      <w:iCs/>
      <w:color w:val="000000" w:themeColor="text1"/>
      <w14:textFill>
        <w14:solidFill>
          <w14:schemeClr w14:val="tx1"/>
        </w14:solidFill>
      </w14:textFill>
    </w:rPr>
  </w:style>
  <w:style w:type="paragraph" w:styleId="28">
    <w:name w:val="toc 9"/>
    <w:basedOn w:val="1"/>
    <w:next w:val="1"/>
    <w:autoRedefine/>
    <w:unhideWhenUsed/>
    <w:qFormat/>
    <w:uiPriority w:val="39"/>
    <w:pPr>
      <w:ind w:left="1680"/>
      <w:jc w:val="left"/>
    </w:pPr>
    <w:rPr>
      <w:sz w:val="18"/>
      <w:szCs w:val="18"/>
    </w:rPr>
  </w:style>
  <w:style w:type="paragraph" w:styleId="29">
    <w:name w:val="Normal (Web)"/>
    <w:basedOn w:val="1"/>
    <w:autoRedefine/>
    <w:unhideWhenUsed/>
    <w:qFormat/>
    <w:uiPriority w:val="99"/>
    <w:pPr>
      <w:widowControl/>
      <w:spacing w:before="100" w:beforeAutospacing="1" w:after="100" w:afterAutospacing="1"/>
      <w:jc w:val="left"/>
    </w:pPr>
    <w:rPr>
      <w:rFonts w:cs="宋体"/>
      <w:szCs w:val="24"/>
    </w:rPr>
  </w:style>
  <w:style w:type="paragraph" w:styleId="30">
    <w:name w:val="annotation subject"/>
    <w:basedOn w:val="10"/>
    <w:next w:val="10"/>
    <w:link w:val="47"/>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autoRedefine/>
    <w:qFormat/>
    <w:uiPriority w:val="20"/>
    <w:rPr>
      <w:i/>
      <w:iCs/>
    </w:rPr>
  </w:style>
  <w:style w:type="character" w:styleId="36">
    <w:name w:val="Hyperlink"/>
    <w:basedOn w:val="33"/>
    <w:autoRedefine/>
    <w:unhideWhenUsed/>
    <w:qFormat/>
    <w:uiPriority w:val="99"/>
    <w:rPr>
      <w:rFonts w:eastAsia="宋体"/>
      <w:color w:val="0000FF" w:themeColor="hyperlink"/>
      <w:u w:val="none"/>
      <w14:textFill>
        <w14:solidFill>
          <w14:schemeClr w14:val="hlink"/>
        </w14:solidFill>
      </w14:textFill>
    </w:rPr>
  </w:style>
  <w:style w:type="character" w:styleId="37">
    <w:name w:val="annotation reference"/>
    <w:autoRedefine/>
    <w:qFormat/>
    <w:uiPriority w:val="99"/>
    <w:rPr>
      <w:sz w:val="21"/>
    </w:rPr>
  </w:style>
  <w:style w:type="character" w:customStyle="1" w:styleId="38">
    <w:name w:val="页眉 字符"/>
    <w:basedOn w:val="33"/>
    <w:link w:val="22"/>
    <w:autoRedefine/>
    <w:qFormat/>
    <w:uiPriority w:val="99"/>
    <w:rPr>
      <w:sz w:val="18"/>
      <w:szCs w:val="18"/>
    </w:rPr>
  </w:style>
  <w:style w:type="character" w:customStyle="1" w:styleId="39">
    <w:name w:val="页脚 字符"/>
    <w:basedOn w:val="33"/>
    <w:link w:val="20"/>
    <w:autoRedefine/>
    <w:qFormat/>
    <w:uiPriority w:val="99"/>
    <w:rPr>
      <w:sz w:val="18"/>
      <w:szCs w:val="18"/>
    </w:rPr>
  </w:style>
  <w:style w:type="character" w:customStyle="1" w:styleId="40">
    <w:name w:val="引用 字符"/>
    <w:basedOn w:val="33"/>
    <w:link w:val="27"/>
    <w:autoRedefine/>
    <w:qFormat/>
    <w:uiPriority w:val="29"/>
    <w:rPr>
      <w:i/>
      <w:iCs/>
      <w:color w:val="000000" w:themeColor="text1"/>
      <w14:textFill>
        <w14:solidFill>
          <w14:schemeClr w14:val="tx1"/>
        </w14:solidFill>
      </w14:textFill>
    </w:rPr>
  </w:style>
  <w:style w:type="character" w:customStyle="1" w:styleId="41">
    <w:name w:val="标题 2 字符"/>
    <w:basedOn w:val="33"/>
    <w:link w:val="2"/>
    <w:autoRedefine/>
    <w:qFormat/>
    <w:uiPriority w:val="9"/>
    <w:rPr>
      <w:rFonts w:asciiTheme="majorHAnsi" w:hAnsiTheme="majorHAnsi" w:eastAsiaTheme="majorEastAsia" w:cstheme="majorBidi"/>
      <w:b/>
      <w:bCs/>
      <w:sz w:val="32"/>
      <w:szCs w:val="32"/>
    </w:rPr>
  </w:style>
  <w:style w:type="character" w:customStyle="1" w:styleId="42">
    <w:name w:val="标题 1 字符"/>
    <w:basedOn w:val="33"/>
    <w:link w:val="3"/>
    <w:autoRedefine/>
    <w:qFormat/>
    <w:uiPriority w:val="9"/>
    <w:rPr>
      <w:b/>
      <w:bCs/>
      <w:kern w:val="44"/>
      <w:sz w:val="44"/>
      <w:szCs w:val="44"/>
    </w:rPr>
  </w:style>
  <w:style w:type="character" w:customStyle="1" w:styleId="43">
    <w:name w:val="批注框文本 字符"/>
    <w:basedOn w:val="33"/>
    <w:link w:val="19"/>
    <w:autoRedefine/>
    <w:semiHidden/>
    <w:qFormat/>
    <w:uiPriority w:val="99"/>
    <w:rPr>
      <w:sz w:val="18"/>
      <w:szCs w:val="18"/>
    </w:rPr>
  </w:style>
  <w:style w:type="character" w:customStyle="1" w:styleId="44">
    <w:name w:val="批注文字 字符"/>
    <w:basedOn w:val="33"/>
    <w:link w:val="10"/>
    <w:autoRedefine/>
    <w:qFormat/>
    <w:uiPriority w:val="99"/>
  </w:style>
  <w:style w:type="paragraph" w:styleId="45">
    <w:name w:val="List Paragraph"/>
    <w:basedOn w:val="1"/>
    <w:link w:val="46"/>
    <w:autoRedefine/>
    <w:qFormat/>
    <w:uiPriority w:val="34"/>
    <w:pPr>
      <w:ind w:firstLine="420" w:firstLineChars="200"/>
    </w:pPr>
  </w:style>
  <w:style w:type="character" w:customStyle="1" w:styleId="46">
    <w:name w:val="列表段落 字符"/>
    <w:link w:val="45"/>
    <w:autoRedefine/>
    <w:qFormat/>
    <w:uiPriority w:val="34"/>
  </w:style>
  <w:style w:type="character" w:customStyle="1" w:styleId="47">
    <w:name w:val="批注主题 字符"/>
    <w:basedOn w:val="44"/>
    <w:link w:val="30"/>
    <w:autoRedefine/>
    <w:semiHidden/>
    <w:qFormat/>
    <w:uiPriority w:val="99"/>
    <w:rPr>
      <w:b/>
      <w:bCs/>
    </w:rPr>
  </w:style>
  <w:style w:type="character" w:customStyle="1" w:styleId="48">
    <w:name w:val="日期 字符"/>
    <w:basedOn w:val="33"/>
    <w:link w:val="18"/>
    <w:autoRedefine/>
    <w:semiHidden/>
    <w:qFormat/>
    <w:uiPriority w:val="99"/>
  </w:style>
  <w:style w:type="paragraph" w:customStyle="1" w:styleId="4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纯文本 字符"/>
    <w:basedOn w:val="33"/>
    <w:link w:val="16"/>
    <w:autoRedefine/>
    <w:semiHidden/>
    <w:qFormat/>
    <w:uiPriority w:val="99"/>
    <w:rPr>
      <w:rFonts w:ascii="宋体" w:hAnsi="Courier New" w:eastAsia="宋体" w:cs="Courier New"/>
      <w:szCs w:val="21"/>
    </w:rPr>
  </w:style>
  <w:style w:type="character" w:customStyle="1" w:styleId="51">
    <w:name w:val="明显强调1"/>
    <w:basedOn w:val="33"/>
    <w:autoRedefine/>
    <w:qFormat/>
    <w:uiPriority w:val="21"/>
    <w:rPr>
      <w:b/>
      <w:bCs/>
      <w:i/>
      <w:iCs/>
      <w:color w:val="4F81BD" w:themeColor="accent1"/>
      <w14:textFill>
        <w14:solidFill>
          <w14:schemeClr w14:val="accent1"/>
        </w14:solidFill>
      </w14:textFill>
    </w:rPr>
  </w:style>
  <w:style w:type="character" w:customStyle="1" w:styleId="52">
    <w:name w:val="标题 4 字符"/>
    <w:link w:val="5"/>
    <w:autoRedefine/>
    <w:qFormat/>
    <w:uiPriority w:val="0"/>
    <w:rPr>
      <w:rFonts w:ascii="Arial" w:hAnsi="Arial" w:eastAsia="黑体"/>
      <w:b/>
      <w:sz w:val="28"/>
    </w:rPr>
  </w:style>
  <w:style w:type="character" w:customStyle="1" w:styleId="53">
    <w:name w:val="文档结构图 字符"/>
    <w:basedOn w:val="33"/>
    <w:link w:val="9"/>
    <w:autoRedefine/>
    <w:semiHidden/>
    <w:qFormat/>
    <w:uiPriority w:val="99"/>
    <w:rPr>
      <w:rFonts w:ascii="宋体" w:hAnsiTheme="minorHAnsi" w:cstheme="minorBidi"/>
      <w:kern w:val="2"/>
      <w:sz w:val="18"/>
      <w:szCs w:val="18"/>
    </w:rPr>
  </w:style>
  <w:style w:type="table" w:customStyle="1" w:styleId="54">
    <w:name w:val="网格型1"/>
    <w:basedOn w:val="31"/>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2"/>
    <w:basedOn w:val="31"/>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书籍标题1"/>
    <w:basedOn w:val="33"/>
    <w:autoRedefine/>
    <w:qFormat/>
    <w:uiPriority w:val="33"/>
    <w:rPr>
      <w:b/>
      <w:bCs/>
      <w:smallCaps/>
      <w:spacing w:val="5"/>
    </w:rPr>
  </w:style>
  <w:style w:type="character" w:customStyle="1" w:styleId="58">
    <w:name w:val="标题 3 字符"/>
    <w:basedOn w:val="33"/>
    <w:link w:val="4"/>
    <w:autoRedefine/>
    <w:qFormat/>
    <w:uiPriority w:val="9"/>
    <w:rPr>
      <w:rFonts w:asciiTheme="minorHAnsi" w:hAnsiTheme="minorHAnsi" w:eastAsiaTheme="minorEastAsia" w:cstheme="minorBidi"/>
      <w:b/>
      <w:bCs/>
      <w:kern w:val="2"/>
      <w:sz w:val="32"/>
      <w:szCs w:val="32"/>
    </w:rPr>
  </w:style>
  <w:style w:type="character" w:customStyle="1" w:styleId="59">
    <w:name w:val="不明显强调1"/>
    <w:basedOn w:val="33"/>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60">
    <w:name w:val="样式1"/>
    <w:basedOn w:val="26"/>
    <w:link w:val="63"/>
    <w:autoRedefine/>
    <w:qFormat/>
    <w:uiPriority w:val="0"/>
  </w:style>
  <w:style w:type="character" w:customStyle="1" w:styleId="61">
    <w:name w:val="正文文本 字符"/>
    <w:basedOn w:val="33"/>
    <w:link w:val="11"/>
    <w:autoRedefine/>
    <w:qFormat/>
    <w:uiPriority w:val="99"/>
    <w:rPr>
      <w:rFonts w:asciiTheme="minorHAnsi" w:hAnsiTheme="minorHAnsi" w:eastAsiaTheme="minorEastAsia" w:cstheme="minorBidi"/>
      <w:kern w:val="2"/>
      <w:sz w:val="24"/>
      <w:szCs w:val="22"/>
    </w:rPr>
  </w:style>
  <w:style w:type="character" w:customStyle="1" w:styleId="62">
    <w:name w:val="TOC 2 字符"/>
    <w:basedOn w:val="40"/>
    <w:link w:val="26"/>
    <w:qFormat/>
    <w:uiPriority w:val="39"/>
    <w:rPr>
      <w:bCs/>
      <w:i w:val="0"/>
      <w:iCs w:val="0"/>
      <w:color w:val="000000" w:themeColor="text1"/>
      <w:szCs w:val="32"/>
      <w14:textFill>
        <w14:solidFill>
          <w14:schemeClr w14:val="tx1"/>
        </w14:solidFill>
      </w14:textFill>
    </w:rPr>
  </w:style>
  <w:style w:type="character" w:customStyle="1" w:styleId="63">
    <w:name w:val="样式1 Char"/>
    <w:basedOn w:val="62"/>
    <w:link w:val="60"/>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4">
    <w:name w:val="标题 5 字符"/>
    <w:basedOn w:val="33"/>
    <w:link w:val="6"/>
    <w:qFormat/>
    <w:uiPriority w:val="9"/>
    <w:rPr>
      <w:rFonts w:asciiTheme="minorHAnsi" w:hAnsiTheme="minorHAnsi" w:eastAsiaTheme="minorEastAsia" w:cstheme="minorBidi"/>
      <w:b/>
      <w:bCs/>
      <w:kern w:val="2"/>
      <w:sz w:val="28"/>
      <w:szCs w:val="28"/>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67">
    <w:name w:val="NormalCharacter"/>
    <w:semiHidden/>
    <w:qFormat/>
    <w:uiPriority w:val="0"/>
  </w:style>
  <w:style w:type="paragraph" w:customStyle="1" w:styleId="68">
    <w:name w:val="Table Paragraph"/>
    <w:basedOn w:val="1"/>
    <w:qFormat/>
    <w:uiPriority w:val="1"/>
    <w:pPr>
      <w:widowControl w:val="0"/>
      <w:jc w:val="left"/>
      <w:textAlignment w:val="auto"/>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3940</Words>
  <Characters>4763</Characters>
  <Lines>457</Lines>
  <Paragraphs>128</Paragraphs>
  <TotalTime>122</TotalTime>
  <ScaleCrop>false</ScaleCrop>
  <LinksUpToDate>false</LinksUpToDate>
  <CharactersWithSpaces>5260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Zippo_MM</cp:lastModifiedBy>
  <cp:lastPrinted>2023-04-18T02:38:00Z</cp:lastPrinted>
  <dcterms:modified xsi:type="dcterms:W3CDTF">2025-04-11T08:11:56Z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20FCFBC81BD64D7FA048B8A089652809_13</vt:lpwstr>
  </property>
  <property fmtid="{D5CDD505-2E9C-101B-9397-08002B2CF9AE}" pid="4" name="KSOTemplateDocerSaveRecord">
    <vt:lpwstr>eyJoZGlkIjoiODgxM2I1MmY4MWU4MTIzZTliODc4MDFiMzZlNmRkOGMiLCJ1c2VySWQiOiIyNTE2Mjk1NjQifQ==</vt:lpwstr>
  </property>
</Properties>
</file>