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69DAC">
      <w:pPr>
        <w:tabs>
          <w:tab w:val="left" w:pos="8222"/>
        </w:tabs>
        <w:spacing w:line="360" w:lineRule="auto"/>
        <w:ind w:right="1493" w:rightChars="622"/>
        <w:jc w:val="center"/>
        <w:rPr>
          <w:rFonts w:ascii="微软雅黑" w:hAnsi="微软雅黑" w:eastAsia="微软雅黑"/>
          <w:b/>
          <w:bCs/>
          <w:sz w:val="44"/>
          <w:szCs w:val="44"/>
        </w:rPr>
      </w:pPr>
      <w:bookmarkStart w:id="551" w:name="_GoBack"/>
      <w:bookmarkEnd w:id="551"/>
    </w:p>
    <w:p w14:paraId="76459858">
      <w:pPr>
        <w:tabs>
          <w:tab w:val="left" w:pos="8222"/>
        </w:tabs>
        <w:spacing w:before="312" w:beforeLines="100" w:after="312" w:afterLines="100" w:line="360" w:lineRule="auto"/>
        <w:jc w:val="center"/>
        <w:rPr>
          <w:rFonts w:ascii="微软雅黑" w:hAnsi="微软雅黑" w:eastAsia="微软雅黑"/>
          <w:b/>
          <w:bCs/>
          <w:sz w:val="96"/>
          <w:szCs w:val="96"/>
        </w:rPr>
      </w:pPr>
      <w:r>
        <w:rPr>
          <w:rFonts w:hint="eastAsia" w:ascii="黑体" w:hAnsi="黑体" w:eastAsia="黑体" w:cs="黑体"/>
          <w:b/>
          <w:bCs/>
          <w:sz w:val="96"/>
          <w:szCs w:val="96"/>
          <w:lang w:eastAsia="zh-CN"/>
        </w:rPr>
        <w:t>随县</w:t>
      </w:r>
      <w:r>
        <w:rPr>
          <w:rFonts w:hint="eastAsia" w:ascii="黑体" w:hAnsi="黑体" w:eastAsia="黑体" w:cs="黑体"/>
          <w:b/>
          <w:bCs/>
          <w:sz w:val="96"/>
          <w:szCs w:val="96"/>
        </w:rPr>
        <w:t>政府集中采购</w:t>
      </w:r>
    </w:p>
    <w:p w14:paraId="0FCB8599">
      <w:pPr>
        <w:tabs>
          <w:tab w:val="left" w:pos="8222"/>
        </w:tabs>
        <w:spacing w:before="312" w:beforeLines="100" w:after="312" w:afterLines="100" w:line="360" w:lineRule="auto"/>
        <w:jc w:val="center"/>
        <w:rPr>
          <w:rFonts w:hint="eastAsia" w:ascii="黑体" w:hAnsi="黑体" w:eastAsia="黑体" w:cs="黑体"/>
          <w:b/>
          <w:bCs/>
          <w:sz w:val="84"/>
          <w:szCs w:val="84"/>
        </w:rPr>
      </w:pPr>
      <w:r>
        <w:rPr>
          <w:rFonts w:hint="eastAsia" w:ascii="黑体" w:hAnsi="黑体" w:eastAsia="黑体" w:cs="黑体"/>
          <w:b/>
          <w:bCs/>
          <w:sz w:val="84"/>
          <w:szCs w:val="84"/>
        </w:rPr>
        <w:t>竞争性磋商文本</w:t>
      </w:r>
    </w:p>
    <w:p w14:paraId="08F25F8A">
      <w:pPr>
        <w:pStyle w:val="11"/>
        <w:jc w:val="center"/>
        <w:rPr>
          <w:sz w:val="36"/>
          <w:szCs w:val="36"/>
        </w:rPr>
      </w:pPr>
    </w:p>
    <w:p w14:paraId="7E4E2D70">
      <w:pPr>
        <w:pStyle w:val="11"/>
        <w:jc w:val="center"/>
      </w:pPr>
    </w:p>
    <w:p w14:paraId="551C5725">
      <w:pPr>
        <w:pStyle w:val="11"/>
        <w:jc w:val="center"/>
      </w:pPr>
    </w:p>
    <w:p w14:paraId="27BC1264">
      <w:pPr>
        <w:pStyle w:val="11"/>
        <w:jc w:val="both"/>
        <w:rPr>
          <w:rFonts w:ascii="微软雅黑" w:hAnsi="微软雅黑" w:eastAsia="微软雅黑"/>
          <w:b/>
          <w:sz w:val="32"/>
          <w:szCs w:val="32"/>
        </w:rPr>
      </w:pPr>
    </w:p>
    <w:p w14:paraId="7DD21E51">
      <w:pPr>
        <w:suppressLineNumbers/>
        <w:spacing w:line="360" w:lineRule="auto"/>
        <w:ind w:right="-22" w:rightChars="-9" w:firstLine="1265" w:firstLineChars="350"/>
        <w:rPr>
          <w:rFonts w:hint="default" w:ascii="仿宋" w:hAnsi="仿宋" w:eastAsia="仿宋" w:cs="仿宋"/>
          <w:b/>
          <w:bCs/>
          <w:sz w:val="36"/>
          <w:szCs w:val="36"/>
          <w:lang w:val="en-US" w:eastAsia="zh-CN"/>
        </w:rPr>
      </w:pPr>
      <w:r>
        <w:rPr>
          <w:rFonts w:hint="eastAsia" w:ascii="仿宋" w:hAnsi="仿宋" w:eastAsia="仿宋" w:cs="仿宋"/>
          <w:b/>
          <w:bCs/>
          <w:sz w:val="36"/>
          <w:szCs w:val="36"/>
        </w:rPr>
        <w:t>项目编号：</w:t>
      </w:r>
      <w:r>
        <w:rPr>
          <w:rFonts w:hint="eastAsia" w:ascii="仿宋" w:hAnsi="仿宋" w:eastAsia="仿宋" w:cs="仿宋"/>
          <w:b/>
          <w:bCs/>
          <w:sz w:val="36"/>
          <w:szCs w:val="36"/>
          <w:lang w:val="en-US" w:eastAsia="zh-CN"/>
        </w:rPr>
        <w:t>SXZC</w:t>
      </w:r>
      <w:r>
        <w:rPr>
          <w:rFonts w:hint="eastAsia" w:ascii="仿宋" w:hAnsi="仿宋" w:eastAsia="仿宋" w:cs="仿宋"/>
          <w:b/>
          <w:bCs/>
          <w:sz w:val="36"/>
          <w:szCs w:val="36"/>
        </w:rPr>
        <w:t>-202</w:t>
      </w:r>
      <w:r>
        <w:rPr>
          <w:rFonts w:hint="eastAsia" w:ascii="仿宋" w:hAnsi="仿宋" w:eastAsia="仿宋" w:cs="仿宋"/>
          <w:b/>
          <w:bCs/>
          <w:sz w:val="36"/>
          <w:szCs w:val="36"/>
          <w:lang w:val="en-US" w:eastAsia="zh-CN"/>
        </w:rPr>
        <w:t>3</w:t>
      </w:r>
      <w:r>
        <w:rPr>
          <w:rFonts w:hint="eastAsia" w:ascii="仿宋" w:hAnsi="仿宋" w:eastAsia="仿宋" w:cs="仿宋"/>
          <w:b/>
          <w:bCs/>
          <w:sz w:val="36"/>
          <w:szCs w:val="36"/>
        </w:rPr>
        <w:t>-00</w:t>
      </w:r>
      <w:r>
        <w:rPr>
          <w:rFonts w:hint="eastAsia" w:ascii="仿宋" w:hAnsi="仿宋" w:eastAsia="仿宋" w:cs="仿宋"/>
          <w:b/>
          <w:bCs/>
          <w:sz w:val="36"/>
          <w:szCs w:val="36"/>
          <w:lang w:val="en-US" w:eastAsia="zh-CN"/>
        </w:rPr>
        <w:t>02</w:t>
      </w:r>
    </w:p>
    <w:p w14:paraId="20628322">
      <w:pPr>
        <w:ind w:right="-22" w:rightChars="-9" w:firstLine="1261" w:firstLineChars="262"/>
        <w:rPr>
          <w:rFonts w:hint="eastAsia" w:ascii="仿宋" w:hAnsi="仿宋" w:eastAsia="仿宋" w:cs="仿宋"/>
          <w:b/>
          <w:bCs/>
          <w:kern w:val="0"/>
          <w:sz w:val="36"/>
          <w:szCs w:val="36"/>
          <w:lang w:eastAsia="zh-CN"/>
        </w:rPr>
      </w:pPr>
      <w:r>
        <w:rPr>
          <w:rFonts w:hint="eastAsia" w:ascii="仿宋" w:hAnsi="仿宋" w:eastAsia="仿宋" w:cs="仿宋"/>
          <w:b/>
          <w:bCs/>
          <w:spacing w:val="60"/>
          <w:kern w:val="0"/>
          <w:sz w:val="36"/>
          <w:szCs w:val="36"/>
          <w:fitText w:val="1800" w:id="2112753069"/>
        </w:rPr>
        <w:t>采购人</w:t>
      </w:r>
      <w:r>
        <w:rPr>
          <w:rFonts w:hint="eastAsia" w:ascii="仿宋" w:hAnsi="仿宋" w:eastAsia="仿宋" w:cs="仿宋"/>
          <w:b/>
          <w:bCs/>
          <w:spacing w:val="0"/>
          <w:kern w:val="0"/>
          <w:sz w:val="36"/>
          <w:szCs w:val="36"/>
          <w:fitText w:val="1800" w:id="2112753069"/>
        </w:rPr>
        <w:t>：</w:t>
      </w:r>
      <w:r>
        <w:rPr>
          <w:rFonts w:hint="eastAsia" w:ascii="仿宋" w:hAnsi="仿宋" w:eastAsia="仿宋" w:cs="仿宋"/>
          <w:b/>
          <w:bCs/>
          <w:kern w:val="0"/>
          <w:sz w:val="36"/>
          <w:szCs w:val="36"/>
          <w:lang w:eastAsia="zh-CN"/>
        </w:rPr>
        <w:t>随县水利和湖泊局</w:t>
      </w:r>
    </w:p>
    <w:p w14:paraId="2E893C40">
      <w:pPr>
        <w:ind w:right="-22" w:rightChars="-9" w:firstLine="1084" w:firstLineChars="300"/>
        <w:rPr>
          <w:rFonts w:hint="default" w:ascii="仿宋" w:hAnsi="仿宋" w:eastAsia="仿宋" w:cs="仿宋"/>
          <w:b/>
          <w:bCs/>
          <w:kern w:val="0"/>
          <w:sz w:val="36"/>
          <w:szCs w:val="36"/>
          <w:lang w:val="en-US" w:eastAsia="zh-CN"/>
        </w:rPr>
      </w:pPr>
      <w:r>
        <w:rPr>
          <w:rFonts w:hint="eastAsia" w:ascii="仿宋" w:hAnsi="仿宋" w:eastAsia="仿宋" w:cs="仿宋"/>
          <w:b/>
          <w:bCs/>
          <w:sz w:val="36"/>
          <w:szCs w:val="36"/>
        </w:rPr>
        <w:t>项目名称：</w:t>
      </w:r>
      <w:r>
        <w:rPr>
          <w:rFonts w:hint="eastAsia" w:ascii="仿宋" w:hAnsi="仿宋" w:eastAsia="仿宋" w:cs="仿宋"/>
          <w:b/>
          <w:bCs/>
          <w:kern w:val="0"/>
          <w:sz w:val="36"/>
          <w:szCs w:val="36"/>
          <w:lang w:eastAsia="zh-CN"/>
        </w:rPr>
        <w:t>随县镇级自来水厂资产评估项目</w:t>
      </w:r>
    </w:p>
    <w:p w14:paraId="0B359CCB">
      <w:pPr>
        <w:ind w:right="-22" w:rightChars="-9" w:firstLine="1084" w:firstLineChars="300"/>
        <w:rPr>
          <w:rFonts w:hint="eastAsia" w:ascii="仿宋" w:hAnsi="仿宋" w:eastAsia="仿宋" w:cs="仿宋"/>
          <w:b/>
          <w:bCs/>
          <w:kern w:val="0"/>
          <w:sz w:val="36"/>
          <w:szCs w:val="36"/>
          <w:lang w:eastAsia="zh-CN"/>
        </w:rPr>
      </w:pPr>
      <w:r>
        <w:rPr>
          <w:rFonts w:hint="eastAsia" w:ascii="仿宋" w:hAnsi="仿宋" w:eastAsia="仿宋" w:cs="仿宋"/>
          <w:b/>
          <w:bCs/>
          <w:kern w:val="0"/>
          <w:sz w:val="36"/>
          <w:szCs w:val="36"/>
          <w:lang w:eastAsia="zh-CN"/>
        </w:rPr>
        <w:t>采购内容：详见磋商文件</w:t>
      </w:r>
    </w:p>
    <w:p w14:paraId="604B27DD">
      <w:pPr>
        <w:pStyle w:val="11"/>
        <w:jc w:val="center"/>
        <w:rPr>
          <w:rFonts w:ascii="微软雅黑" w:hAnsi="微软雅黑" w:eastAsia="微软雅黑"/>
          <w:b/>
          <w:sz w:val="32"/>
          <w:szCs w:val="32"/>
        </w:rPr>
      </w:pPr>
    </w:p>
    <w:p w14:paraId="306BE3AD">
      <w:pPr>
        <w:pStyle w:val="11"/>
        <w:jc w:val="center"/>
        <w:rPr>
          <w:rFonts w:ascii="微软雅黑" w:hAnsi="微软雅黑" w:eastAsia="微软雅黑"/>
          <w:b/>
          <w:sz w:val="32"/>
          <w:szCs w:val="32"/>
        </w:rPr>
      </w:pPr>
    </w:p>
    <w:p w14:paraId="2E170224">
      <w:pPr>
        <w:pStyle w:val="11"/>
        <w:jc w:val="both"/>
        <w:rPr>
          <w:rFonts w:ascii="微软雅黑" w:hAnsi="微软雅黑" w:eastAsia="微软雅黑"/>
          <w:b/>
          <w:sz w:val="32"/>
          <w:szCs w:val="32"/>
        </w:rPr>
      </w:pPr>
    </w:p>
    <w:p w14:paraId="7B8F4F4F">
      <w:pPr>
        <w:pStyle w:val="11"/>
        <w:jc w:val="center"/>
        <w:rPr>
          <w:rFonts w:hint="eastAsia" w:ascii="仿宋" w:hAnsi="仿宋" w:eastAsia="仿宋" w:cs="仿宋"/>
          <w:b/>
          <w:bCs/>
          <w:kern w:val="0"/>
          <w:sz w:val="36"/>
          <w:szCs w:val="36"/>
          <w:lang w:val="en-US" w:eastAsia="zh-CN" w:bidi="ar-SA"/>
        </w:rPr>
      </w:pPr>
      <w:r>
        <w:rPr>
          <w:rFonts w:hint="eastAsia" w:ascii="仿宋" w:hAnsi="仿宋" w:eastAsia="仿宋" w:cs="仿宋"/>
          <w:b/>
          <w:bCs/>
          <w:kern w:val="0"/>
          <w:sz w:val="36"/>
          <w:szCs w:val="36"/>
          <w:lang w:val="en-US" w:eastAsia="zh-CN" w:bidi="ar-SA"/>
        </w:rPr>
        <w:t>随县公共资源交易中心（随县政府采购中心）</w:t>
      </w:r>
    </w:p>
    <w:p w14:paraId="2197A909">
      <w:pPr>
        <w:pStyle w:val="11"/>
        <w:jc w:val="center"/>
        <w:rPr>
          <w:rFonts w:hint="eastAsia" w:ascii="仿宋" w:hAnsi="仿宋" w:eastAsia="仿宋" w:cs="仿宋"/>
          <w:b/>
          <w:bCs/>
          <w:kern w:val="0"/>
          <w:sz w:val="36"/>
          <w:szCs w:val="36"/>
          <w:lang w:val="en-US" w:eastAsia="zh-CN" w:bidi="ar-SA"/>
        </w:rPr>
      </w:pPr>
    </w:p>
    <w:p w14:paraId="7831F7A0">
      <w:pPr>
        <w:pStyle w:val="20"/>
        <w:tabs>
          <w:tab w:val="left" w:pos="1418"/>
          <w:tab w:val="left" w:pos="1701"/>
          <w:tab w:val="left" w:pos="1843"/>
          <w:tab w:val="left" w:pos="1985"/>
          <w:tab w:val="clear" w:pos="4153"/>
          <w:tab w:val="clear" w:pos="8306"/>
        </w:tabs>
        <w:jc w:val="center"/>
        <w:rPr>
          <w:rFonts w:hint="eastAsia" w:ascii="仿宋" w:hAnsi="仿宋" w:eastAsia="仿宋" w:cs="仿宋"/>
          <w:b/>
          <w:bCs/>
          <w:kern w:val="0"/>
          <w:sz w:val="36"/>
          <w:szCs w:val="36"/>
          <w:lang w:val="en-US" w:eastAsia="zh-CN" w:bidi="ar-SA"/>
        </w:rPr>
      </w:pPr>
      <w:r>
        <w:rPr>
          <w:rFonts w:hint="eastAsia" w:ascii="仿宋" w:hAnsi="仿宋" w:eastAsia="仿宋" w:cs="仿宋"/>
          <w:b/>
          <w:bCs/>
          <w:kern w:val="0"/>
          <w:sz w:val="36"/>
          <w:szCs w:val="36"/>
          <w:lang w:val="en-US" w:eastAsia="zh-CN" w:bidi="ar-SA"/>
        </w:rPr>
        <w:t>二〇二三年</w:t>
      </w:r>
    </w:p>
    <w:p w14:paraId="2290E29A">
      <w:pPr>
        <w:pStyle w:val="11"/>
        <w:jc w:val="center"/>
        <w:rPr>
          <w:rFonts w:ascii="微软雅黑" w:hAnsi="微软雅黑" w:eastAsia="微软雅黑"/>
          <w:b/>
          <w:sz w:val="36"/>
          <w:szCs w:val="36"/>
        </w:rPr>
      </w:pPr>
    </w:p>
    <w:p w14:paraId="3921D729">
      <w:pPr>
        <w:pStyle w:val="11"/>
        <w:jc w:val="center"/>
      </w:pPr>
    </w:p>
    <w:p w14:paraId="0B8A8A3F"/>
    <w:p w14:paraId="2F8C16A9">
      <w:pPr>
        <w:pStyle w:val="2"/>
      </w:pPr>
    </w:p>
    <w:p w14:paraId="5405F84C">
      <w:pPr>
        <w:widowControl/>
        <w:suppressLineNumbers/>
        <w:spacing w:line="360" w:lineRule="auto"/>
        <w:ind w:right="-22" w:rightChars="-9"/>
        <w:jc w:val="center"/>
        <w:rPr>
          <w:rFonts w:ascii="仿宋" w:hAnsi="仿宋" w:eastAsia="仿宋" w:cs="仿宋"/>
          <w:b/>
          <w:bCs/>
          <w:sz w:val="32"/>
          <w:szCs w:val="32"/>
          <w:lang w:val="zh-CN"/>
        </w:rPr>
      </w:pPr>
      <w:r>
        <w:rPr>
          <w:rFonts w:hint="eastAsia" w:ascii="仿宋" w:hAnsi="仿宋" w:eastAsia="仿宋" w:cs="仿宋"/>
          <w:b/>
          <w:bCs/>
          <w:sz w:val="32"/>
          <w:szCs w:val="32"/>
          <w:lang w:val="zh-CN"/>
        </w:rPr>
        <w:t>温馨提示:供应商特别注意事项</w:t>
      </w:r>
    </w:p>
    <w:p w14:paraId="6E5EC041">
      <w:pPr>
        <w:pStyle w:val="15"/>
        <w:ind w:left="840"/>
        <w:rPr>
          <w:lang w:val="zh-CN"/>
        </w:rPr>
      </w:pPr>
    </w:p>
    <w:p w14:paraId="26175584">
      <w:pPr>
        <w:widowControl/>
        <w:suppressLineNumbers/>
        <w:spacing w:line="480" w:lineRule="auto"/>
        <w:ind w:right="-22" w:rightChars="-9" w:firstLine="422" w:firstLineChars="175"/>
        <w:jc w:val="left"/>
        <w:rPr>
          <w:rFonts w:ascii="仿宋" w:hAnsi="仿宋" w:eastAsia="仿宋" w:cs="仿宋"/>
          <w:b/>
          <w:bCs/>
          <w:sz w:val="24"/>
          <w:szCs w:val="24"/>
          <w:lang w:val="zh-CN"/>
        </w:rPr>
      </w:pPr>
      <w:r>
        <w:rPr>
          <w:rFonts w:hint="eastAsia" w:ascii="仿宋" w:hAnsi="仿宋" w:eastAsia="仿宋" w:cs="仿宋"/>
          <w:b/>
          <w:bCs/>
          <w:sz w:val="24"/>
          <w:szCs w:val="24"/>
          <w:lang w:val="zh-CN"/>
        </w:rPr>
        <w:t>一</w:t>
      </w:r>
      <w:r>
        <w:rPr>
          <w:rFonts w:hint="default" w:ascii="仿宋" w:hAnsi="仿宋" w:eastAsia="仿宋" w:cs="仿宋"/>
          <w:b/>
          <w:bCs/>
          <w:sz w:val="24"/>
          <w:szCs w:val="24"/>
        </w:rPr>
        <w:t>、</w:t>
      </w:r>
      <w:r>
        <w:rPr>
          <w:rFonts w:hint="eastAsia" w:ascii="仿宋" w:hAnsi="仿宋" w:eastAsia="仿宋" w:cs="仿宋"/>
          <w:b/>
          <w:bCs/>
          <w:sz w:val="24"/>
          <w:szCs w:val="24"/>
          <w:lang w:val="zh-CN"/>
        </w:rPr>
        <w:t xml:space="preserve"> 一律不接受纸质投标文件，只接受具备法律效力的电子投标文件。供应商参加投标前，应当</w:t>
      </w:r>
      <w:r>
        <w:rPr>
          <w:rFonts w:hint="eastAsia" w:ascii="仿宋" w:hAnsi="仿宋" w:eastAsia="仿宋" w:cs="仿宋"/>
          <w:b/>
          <w:bCs/>
          <w:sz w:val="24"/>
          <w:szCs w:val="24"/>
        </w:rPr>
        <w:t>在</w:t>
      </w:r>
      <w:r>
        <w:rPr>
          <w:rFonts w:hint="eastAsia" w:ascii="仿宋" w:hAnsi="仿宋" w:eastAsia="仿宋" w:cs="仿宋"/>
          <w:b/>
          <w:bCs/>
          <w:sz w:val="24"/>
          <w:szCs w:val="24"/>
          <w:lang w:eastAsia="zh-CN"/>
        </w:rPr>
        <w:t>随县</w:t>
      </w:r>
      <w:r>
        <w:rPr>
          <w:rFonts w:hint="eastAsia" w:ascii="仿宋" w:hAnsi="仿宋" w:eastAsia="仿宋" w:cs="仿宋"/>
          <w:b/>
          <w:bCs/>
          <w:sz w:val="24"/>
          <w:szCs w:val="24"/>
        </w:rPr>
        <w:t>政府电子采购平台进行注册并</w:t>
      </w:r>
      <w:r>
        <w:rPr>
          <w:rFonts w:hint="eastAsia" w:ascii="仿宋" w:hAnsi="仿宋" w:eastAsia="仿宋" w:cs="仿宋"/>
          <w:b/>
          <w:bCs/>
          <w:sz w:val="24"/>
          <w:szCs w:val="24"/>
          <w:lang w:val="zh-CN"/>
        </w:rPr>
        <w:t>办理CA数字证书和电子签章。</w:t>
      </w:r>
    </w:p>
    <w:p w14:paraId="06C23D46">
      <w:pPr>
        <w:widowControl/>
        <w:suppressLineNumbers/>
        <w:spacing w:line="480" w:lineRule="auto"/>
        <w:ind w:right="-22" w:rightChars="-9" w:firstLine="422" w:firstLineChars="175"/>
        <w:jc w:val="left"/>
        <w:rPr>
          <w:rFonts w:ascii="仿宋" w:hAnsi="仿宋" w:eastAsia="仿宋" w:cs="仿宋"/>
          <w:b/>
          <w:bCs/>
          <w:sz w:val="24"/>
          <w:szCs w:val="24"/>
          <w:lang w:val="zh-CN"/>
        </w:rPr>
      </w:pPr>
      <w:r>
        <w:rPr>
          <w:rFonts w:hint="eastAsia" w:ascii="仿宋" w:hAnsi="仿宋" w:eastAsia="仿宋" w:cs="仿宋"/>
          <w:b/>
          <w:bCs/>
          <w:sz w:val="24"/>
          <w:szCs w:val="24"/>
          <w:lang w:val="zh-CN"/>
        </w:rPr>
        <w:t>二、供应商应依法妥善保管和使用 CA数字证书(账号密码)、电子签章。依《中华人民共和国电子签名法》，本项目使用CA数字证书(供应商的账号密码)、电子签章等形成的数据电文、电子签名等内容，将被视为具备法律效力且得到了供应商确认。</w:t>
      </w:r>
    </w:p>
    <w:p w14:paraId="72586B95">
      <w:pPr>
        <w:widowControl/>
        <w:suppressLineNumbers/>
        <w:spacing w:line="480" w:lineRule="auto"/>
        <w:ind w:right="-22" w:rightChars="-9" w:firstLine="422" w:firstLineChars="175"/>
        <w:jc w:val="left"/>
        <w:rPr>
          <w:rFonts w:ascii="仿宋" w:hAnsi="仿宋" w:eastAsia="仿宋" w:cs="仿宋"/>
          <w:b/>
          <w:bCs/>
          <w:sz w:val="24"/>
          <w:szCs w:val="24"/>
          <w:lang w:val="zh-CN"/>
        </w:rPr>
      </w:pPr>
      <w:r>
        <w:rPr>
          <w:rFonts w:hint="eastAsia" w:ascii="仿宋" w:hAnsi="仿宋" w:eastAsia="仿宋" w:cs="仿宋"/>
          <w:b/>
          <w:bCs/>
          <w:sz w:val="24"/>
          <w:szCs w:val="24"/>
          <w:lang w:val="zh-CN"/>
        </w:rPr>
        <w:t>三、 供应商应于投标截止前上传电子投标文件,同时供应商应充分考虑上传电子投标文件时的不可预见因素，逾期或错误投递的投标文件恕不接收。</w:t>
      </w:r>
    </w:p>
    <w:p w14:paraId="559411D0">
      <w:pPr>
        <w:widowControl/>
        <w:suppressLineNumbers/>
        <w:spacing w:line="480" w:lineRule="auto"/>
        <w:ind w:right="-22" w:rightChars="-9" w:firstLine="422" w:firstLineChars="175"/>
        <w:jc w:val="left"/>
        <w:rPr>
          <w:rFonts w:ascii="仿宋" w:hAnsi="仿宋" w:eastAsia="仿宋" w:cs="仿宋"/>
          <w:b/>
          <w:bCs/>
          <w:sz w:val="24"/>
          <w:szCs w:val="24"/>
          <w:lang w:val="zh-CN"/>
        </w:rPr>
      </w:pPr>
      <w:r>
        <w:rPr>
          <w:rFonts w:hint="eastAsia" w:ascii="仿宋" w:hAnsi="仿宋" w:eastAsia="仿宋" w:cs="仿宋"/>
          <w:b/>
          <w:bCs/>
          <w:sz w:val="24"/>
          <w:szCs w:val="24"/>
          <w:lang w:val="zh-CN"/>
        </w:rPr>
        <w:t>四、加★号的条款均被视为不可偏离的指标要求，必须一一响应。若有一项带“★”的指标要求未响应或不满足，将按投标无效处理。</w:t>
      </w:r>
    </w:p>
    <w:p w14:paraId="0BA1E13B">
      <w:pPr>
        <w:widowControl/>
        <w:suppressLineNumbers/>
        <w:spacing w:line="480" w:lineRule="auto"/>
        <w:ind w:right="-22" w:rightChars="-9" w:firstLine="422" w:firstLineChars="175"/>
        <w:jc w:val="left"/>
        <w:rPr>
          <w:rFonts w:ascii="仿宋" w:hAnsi="仿宋" w:eastAsia="仿宋" w:cs="仿宋"/>
          <w:sz w:val="24"/>
          <w:szCs w:val="24"/>
          <w:lang w:val="zh-CN"/>
        </w:rPr>
      </w:pPr>
      <w:r>
        <w:rPr>
          <w:rFonts w:hint="eastAsia" w:ascii="仿宋" w:hAnsi="仿宋" w:eastAsia="仿宋" w:cs="仿宋"/>
          <w:b/>
          <w:bCs/>
          <w:sz w:val="24"/>
          <w:szCs w:val="24"/>
          <w:lang w:val="zh-CN"/>
        </w:rPr>
        <w:t>五、供应商应按照</w:t>
      </w:r>
      <w:r>
        <w:rPr>
          <w:rFonts w:hint="eastAsia" w:ascii="仿宋" w:hAnsi="仿宋" w:eastAsia="仿宋" w:cs="仿宋"/>
          <w:b/>
          <w:bCs/>
          <w:sz w:val="24"/>
          <w:szCs w:val="24"/>
          <w:lang w:eastAsia="zh-CN"/>
        </w:rPr>
        <w:t>随县</w:t>
      </w:r>
      <w:r>
        <w:rPr>
          <w:rFonts w:hint="eastAsia" w:ascii="仿宋" w:hAnsi="仿宋" w:eastAsia="仿宋" w:cs="仿宋"/>
          <w:b/>
          <w:bCs/>
          <w:sz w:val="24"/>
          <w:szCs w:val="24"/>
        </w:rPr>
        <w:t>政府电子采购平台</w:t>
      </w:r>
      <w:r>
        <w:rPr>
          <w:rFonts w:hint="eastAsia" w:ascii="仿宋" w:hAnsi="仿宋" w:eastAsia="仿宋" w:cs="仿宋"/>
          <w:b/>
          <w:bCs/>
          <w:sz w:val="24"/>
          <w:szCs w:val="24"/>
          <w:lang w:val="zh-CN"/>
        </w:rPr>
        <w:t>的要求, 对</w:t>
      </w:r>
      <w:r>
        <w:rPr>
          <w:rFonts w:hint="eastAsia" w:ascii="仿宋" w:hAnsi="仿宋" w:eastAsia="仿宋" w:cs="仿宋"/>
          <w:b/>
          <w:bCs/>
          <w:sz w:val="24"/>
          <w:szCs w:val="24"/>
        </w:rPr>
        <w:t>平台</w:t>
      </w:r>
      <w:r>
        <w:rPr>
          <w:rFonts w:hint="eastAsia" w:ascii="仿宋" w:hAnsi="仿宋" w:eastAsia="仿宋" w:cs="仿宋"/>
          <w:b/>
          <w:bCs/>
          <w:sz w:val="24"/>
          <w:szCs w:val="24"/>
          <w:lang w:val="zh-CN"/>
        </w:rPr>
        <w:t>每一项要求上传对应的证明文件或投标内容。如未按照</w:t>
      </w:r>
      <w:r>
        <w:rPr>
          <w:rFonts w:hint="eastAsia" w:ascii="仿宋" w:hAnsi="仿宋" w:eastAsia="仿宋" w:cs="仿宋"/>
          <w:b/>
          <w:bCs/>
          <w:sz w:val="24"/>
          <w:szCs w:val="24"/>
        </w:rPr>
        <w:t>平台</w:t>
      </w:r>
      <w:r>
        <w:rPr>
          <w:rFonts w:hint="eastAsia" w:ascii="仿宋" w:hAnsi="仿宋" w:eastAsia="仿宋" w:cs="仿宋"/>
          <w:b/>
          <w:bCs/>
          <w:sz w:val="24"/>
          <w:szCs w:val="24"/>
          <w:lang w:val="zh-CN"/>
        </w:rPr>
        <w:t>要求对应上传的，采购代理机构、评标委员会可视为其未提供该项的证明文件或投标内容。</w:t>
      </w:r>
    </w:p>
    <w:p w14:paraId="2EA8E5C6">
      <w:pPr>
        <w:widowControl/>
        <w:suppressLineNumbers/>
        <w:spacing w:line="480" w:lineRule="auto"/>
        <w:ind w:right="-22" w:rightChars="-9" w:firstLine="422" w:firstLineChars="175"/>
        <w:jc w:val="left"/>
        <w:rPr>
          <w:rFonts w:ascii="仿宋" w:hAnsi="仿宋" w:eastAsia="仿宋" w:cs="仿宋"/>
          <w:b/>
          <w:sz w:val="24"/>
          <w:szCs w:val="24"/>
          <w:lang w:val="zh-CN"/>
        </w:rPr>
      </w:pPr>
      <w:r>
        <w:rPr>
          <w:rFonts w:hint="eastAsia" w:ascii="仿宋" w:hAnsi="仿宋" w:eastAsia="仿宋" w:cs="仿宋"/>
          <w:b/>
          <w:sz w:val="24"/>
          <w:szCs w:val="24"/>
        </w:rPr>
        <w:t>六</w:t>
      </w:r>
      <w:r>
        <w:rPr>
          <w:rFonts w:hint="eastAsia" w:ascii="仿宋" w:hAnsi="仿宋" w:eastAsia="仿宋" w:cs="仿宋"/>
          <w:b/>
          <w:sz w:val="24"/>
          <w:szCs w:val="24"/>
          <w:lang w:val="zh-CN"/>
        </w:rPr>
        <w:t>、供应商一旦依法被确认为中标人，其投标文件中的相关内容(主要中标标的的名称、规格型号、数量、单价、服务要求等)，将会随中标结果公告一并发布在采购信息发布网上，接受社会监督。</w:t>
      </w:r>
    </w:p>
    <w:p w14:paraId="0915833F">
      <w:pPr>
        <w:widowControl/>
        <w:suppressLineNumbers/>
        <w:spacing w:line="480" w:lineRule="auto"/>
        <w:ind w:right="-22" w:rightChars="-9" w:firstLine="422" w:firstLineChars="175"/>
        <w:jc w:val="left"/>
        <w:rPr>
          <w:rFonts w:ascii="仿宋" w:hAnsi="仿宋" w:eastAsia="仿宋" w:cs="仿宋"/>
          <w:b/>
          <w:sz w:val="24"/>
          <w:szCs w:val="24"/>
          <w:lang w:val="zh-CN"/>
        </w:rPr>
      </w:pPr>
      <w:r>
        <w:rPr>
          <w:rFonts w:hint="eastAsia" w:ascii="仿宋" w:hAnsi="仿宋" w:eastAsia="仿宋" w:cs="仿宋"/>
          <w:b/>
          <w:sz w:val="24"/>
          <w:szCs w:val="24"/>
        </w:rPr>
        <w:t>七</w:t>
      </w:r>
      <w:r>
        <w:rPr>
          <w:rFonts w:hint="eastAsia" w:ascii="仿宋" w:hAnsi="仿宋" w:eastAsia="仿宋" w:cs="仿宋"/>
          <w:b/>
          <w:sz w:val="24"/>
          <w:szCs w:val="24"/>
          <w:lang w:val="zh-CN"/>
        </w:rPr>
        <w:t>、</w:t>
      </w:r>
      <w:r>
        <w:rPr>
          <w:rFonts w:hint="eastAsia" w:ascii="仿宋" w:hAnsi="仿宋" w:eastAsia="仿宋" w:cs="仿宋"/>
          <w:b/>
          <w:sz w:val="24"/>
          <w:szCs w:val="24"/>
          <w:lang w:eastAsia="zh-CN"/>
        </w:rPr>
        <w:t>随县</w:t>
      </w:r>
      <w:r>
        <w:rPr>
          <w:rFonts w:hint="eastAsia" w:ascii="仿宋" w:hAnsi="仿宋" w:eastAsia="仿宋" w:cs="仿宋"/>
          <w:b/>
          <w:sz w:val="24"/>
          <w:szCs w:val="24"/>
          <w:lang w:val="zh-CN"/>
        </w:rPr>
        <w:t>政府采购中心为采购代理机构，不对供应商提交的相关资料的真实性负责，如供应商发现相关资料被盗用或复制，应遵循法律途径解决，追究侵权者责任。</w:t>
      </w:r>
    </w:p>
    <w:p w14:paraId="2DCDCFBA">
      <w:pPr>
        <w:suppressLineNumbers/>
        <w:spacing w:line="480" w:lineRule="auto"/>
        <w:ind w:right="-22" w:rightChars="-9"/>
        <w:rPr>
          <w:rFonts w:ascii="仿宋" w:hAnsi="仿宋" w:eastAsia="仿宋" w:cs="仿宋"/>
          <w:b/>
          <w:sz w:val="44"/>
        </w:rPr>
      </w:pPr>
      <w:r>
        <w:rPr>
          <w:rFonts w:hint="eastAsia" w:ascii="仿宋" w:hAnsi="仿宋" w:eastAsia="仿宋" w:cs="仿宋"/>
          <w:b/>
          <w:sz w:val="24"/>
          <w:szCs w:val="24"/>
          <w:lang w:val="zh-CN"/>
        </w:rPr>
        <w:t>(本提示内容非招标文件的组成部分，仅为善意提醒。</w:t>
      </w:r>
      <w:r>
        <w:rPr>
          <w:rFonts w:hint="eastAsia" w:ascii="仿宋" w:hAnsi="仿宋" w:eastAsia="仿宋" w:cs="仿宋"/>
          <w:b/>
          <w:bCs/>
          <w:sz w:val="24"/>
          <w:szCs w:val="24"/>
          <w:lang w:val="zh-CN"/>
        </w:rPr>
        <w:t>如有不一致，以招标文件为准。</w:t>
      </w:r>
      <w:r>
        <w:rPr>
          <w:rFonts w:hint="eastAsia" w:ascii="仿宋" w:hAnsi="仿宋" w:eastAsia="仿宋" w:cs="仿宋"/>
          <w:sz w:val="24"/>
          <w:szCs w:val="24"/>
          <w:lang w:val="zh-CN"/>
        </w:rPr>
        <w:t>)</w:t>
      </w:r>
    </w:p>
    <w:p w14:paraId="4C85B463">
      <w:pPr>
        <w:suppressLineNumbers/>
        <w:spacing w:line="480" w:lineRule="auto"/>
        <w:ind w:right="-22" w:rightChars="-9"/>
        <w:jc w:val="center"/>
        <w:rPr>
          <w:rFonts w:ascii="仿宋" w:hAnsi="仿宋" w:eastAsia="仿宋" w:cs="仿宋"/>
          <w:b/>
          <w:sz w:val="44"/>
        </w:rPr>
        <w:sectPr>
          <w:headerReference r:id="rId3" w:type="default"/>
          <w:footerReference r:id="rId5" w:type="default"/>
          <w:headerReference r:id="rId4" w:type="even"/>
          <w:footerReference r:id="rId6" w:type="even"/>
          <w:pgSz w:w="11906" w:h="16838"/>
          <w:pgMar w:top="1102" w:right="1255" w:bottom="816" w:left="1211" w:header="624" w:footer="0" w:gutter="0"/>
          <w:pgBorders>
            <w:top w:val="none" w:sz="0" w:space="0"/>
            <w:left w:val="none" w:sz="0" w:space="0"/>
            <w:bottom w:val="none" w:sz="0" w:space="0"/>
            <w:right w:val="none" w:sz="0" w:space="0"/>
          </w:pgBorders>
          <w:pgNumType w:start="3"/>
          <w:cols w:space="425" w:num="1"/>
          <w:docGrid w:type="lines" w:linePitch="312" w:charSpace="0"/>
        </w:sectPr>
      </w:pPr>
    </w:p>
    <w:p w14:paraId="274EDD95">
      <w:pPr>
        <w:pStyle w:val="11"/>
        <w:jc w:val="center"/>
      </w:pPr>
    </w:p>
    <w:p w14:paraId="79AD838C">
      <w:pPr>
        <w:tabs>
          <w:tab w:val="left" w:pos="8222"/>
        </w:tabs>
        <w:wordWrap w:val="0"/>
        <w:spacing w:line="360" w:lineRule="auto"/>
        <w:ind w:right="1492" w:rightChars="622"/>
        <w:rPr>
          <w:bCs/>
          <w:sz w:val="36"/>
          <w:szCs w:val="24"/>
        </w:rPr>
      </w:pPr>
      <w:r>
        <w:rPr>
          <w:bCs/>
          <w:sz w:val="36"/>
          <w:szCs w:val="24"/>
        </w:rPr>
        <w:fldChar w:fldCharType="begin"/>
      </w:r>
      <w:r>
        <w:rPr>
          <w:bCs/>
          <w:sz w:val="36"/>
          <w:szCs w:val="24"/>
        </w:rPr>
        <w:instrText xml:space="preserve">  </w:instrText>
      </w:r>
      <w:r>
        <w:rPr>
          <w:bCs/>
          <w:sz w:val="36"/>
          <w:szCs w:val="24"/>
        </w:rPr>
        <w:fldChar w:fldCharType="end"/>
      </w:r>
    </w:p>
    <w:p w14:paraId="4BD8D3CF">
      <w:pPr>
        <w:tabs>
          <w:tab w:val="left" w:pos="8222"/>
        </w:tabs>
        <w:wordWrap w:val="0"/>
        <w:spacing w:line="360" w:lineRule="auto"/>
        <w:ind w:right="1492" w:rightChars="622"/>
        <w:jc w:val="left"/>
        <w:rPr>
          <w:bCs/>
          <w:sz w:val="36"/>
          <w:szCs w:val="24"/>
        </w:rPr>
      </w:pPr>
    </w:p>
    <w:p w14:paraId="3EFC5029">
      <w:pPr>
        <w:tabs>
          <w:tab w:val="left" w:pos="8222"/>
        </w:tabs>
        <w:wordWrap w:val="0"/>
        <w:spacing w:line="360" w:lineRule="auto"/>
        <w:jc w:val="center"/>
        <w:rPr>
          <w:b/>
          <w:bCs/>
          <w:sz w:val="72"/>
          <w:szCs w:val="72"/>
        </w:rPr>
      </w:pPr>
      <w:r>
        <w:rPr>
          <w:rFonts w:hint="eastAsia"/>
          <w:b/>
          <w:bCs/>
          <w:sz w:val="72"/>
          <w:szCs w:val="72"/>
          <w:lang w:eastAsia="zh-CN"/>
        </w:rPr>
        <w:t>随县</w:t>
      </w:r>
      <w:r>
        <w:rPr>
          <w:rFonts w:hint="eastAsia"/>
          <w:b/>
          <w:bCs/>
          <w:sz w:val="72"/>
          <w:szCs w:val="72"/>
        </w:rPr>
        <w:t>政府采购</w:t>
      </w:r>
    </w:p>
    <w:p w14:paraId="0EFCC8A0">
      <w:pPr>
        <w:tabs>
          <w:tab w:val="left" w:pos="8222"/>
        </w:tabs>
        <w:wordWrap w:val="0"/>
        <w:spacing w:line="360" w:lineRule="auto"/>
        <w:ind w:right="1492" w:rightChars="622"/>
        <w:jc w:val="left"/>
        <w:rPr>
          <w:b/>
          <w:bCs/>
          <w:sz w:val="72"/>
          <w:szCs w:val="72"/>
        </w:rPr>
      </w:pPr>
    </w:p>
    <w:p w14:paraId="2EC0192F">
      <w:pPr>
        <w:tabs>
          <w:tab w:val="left" w:pos="8222"/>
        </w:tabs>
        <w:spacing w:line="360" w:lineRule="auto"/>
        <w:jc w:val="center"/>
        <w:rPr>
          <w:b/>
          <w:bCs/>
          <w:sz w:val="84"/>
          <w:szCs w:val="84"/>
        </w:rPr>
      </w:pPr>
      <w:r>
        <w:rPr>
          <w:rFonts w:hint="eastAsia"/>
          <w:b/>
          <w:bCs/>
          <w:sz w:val="84"/>
          <w:szCs w:val="84"/>
        </w:rPr>
        <w:t>竞争性磋商文件</w:t>
      </w:r>
    </w:p>
    <w:p w14:paraId="24271A3F">
      <w:pPr>
        <w:tabs>
          <w:tab w:val="left" w:pos="8222"/>
        </w:tabs>
        <w:wordWrap w:val="0"/>
        <w:spacing w:line="360" w:lineRule="auto"/>
        <w:ind w:right="1492" w:rightChars="622"/>
        <w:rPr>
          <w:bCs/>
          <w:sz w:val="36"/>
          <w:szCs w:val="24"/>
        </w:rPr>
      </w:pPr>
    </w:p>
    <w:p w14:paraId="26BA810E">
      <w:pPr>
        <w:tabs>
          <w:tab w:val="left" w:pos="8222"/>
        </w:tabs>
        <w:wordWrap w:val="0"/>
        <w:spacing w:line="360" w:lineRule="auto"/>
        <w:ind w:right="1492" w:rightChars="622"/>
        <w:rPr>
          <w:bCs/>
          <w:sz w:val="36"/>
          <w:szCs w:val="24"/>
        </w:rPr>
      </w:pPr>
    </w:p>
    <w:p w14:paraId="199A01FA">
      <w:pPr>
        <w:tabs>
          <w:tab w:val="left" w:pos="8222"/>
        </w:tabs>
        <w:wordWrap w:val="0"/>
        <w:spacing w:line="360" w:lineRule="auto"/>
        <w:ind w:firstLine="1680" w:firstLineChars="600"/>
        <w:jc w:val="left"/>
        <w:rPr>
          <w:bCs/>
          <w:sz w:val="28"/>
          <w:szCs w:val="28"/>
          <w:u w:val="single"/>
        </w:rPr>
      </w:pPr>
      <w:r>
        <w:rPr>
          <w:rFonts w:hint="eastAsia"/>
          <w:b/>
          <w:bCs/>
          <w:sz w:val="28"/>
          <w:szCs w:val="28"/>
        </w:rPr>
        <w:t>项目编号：</w:t>
      </w:r>
      <w:r>
        <w:rPr>
          <w:rFonts w:hint="eastAsia"/>
          <w:b/>
          <w:bCs/>
          <w:sz w:val="28"/>
          <w:szCs w:val="28"/>
          <w:u w:val="single"/>
        </w:rPr>
        <w:t xml:space="preserve">                             </w:t>
      </w:r>
    </w:p>
    <w:p w14:paraId="2C19C16D">
      <w:pPr>
        <w:tabs>
          <w:tab w:val="left" w:pos="8222"/>
        </w:tabs>
        <w:wordWrap w:val="0"/>
        <w:spacing w:line="360" w:lineRule="auto"/>
        <w:ind w:firstLine="1680" w:firstLineChars="600"/>
        <w:jc w:val="left"/>
        <w:rPr>
          <w:b/>
          <w:bCs/>
          <w:sz w:val="28"/>
          <w:szCs w:val="28"/>
          <w:u w:val="single"/>
        </w:rPr>
      </w:pPr>
      <w:r>
        <w:rPr>
          <w:rFonts w:hint="eastAsia"/>
          <w:b/>
          <w:bCs/>
          <w:sz w:val="28"/>
          <w:szCs w:val="28"/>
        </w:rPr>
        <w:t>项目名称：</w:t>
      </w:r>
      <w:r>
        <w:rPr>
          <w:rFonts w:hint="eastAsia"/>
          <w:b/>
          <w:bCs/>
          <w:sz w:val="28"/>
          <w:szCs w:val="28"/>
          <w:u w:val="single"/>
        </w:rPr>
        <w:t xml:space="preserve">                             </w:t>
      </w:r>
    </w:p>
    <w:p w14:paraId="47D1AB55">
      <w:pPr>
        <w:tabs>
          <w:tab w:val="left" w:pos="8222"/>
        </w:tabs>
        <w:wordWrap w:val="0"/>
        <w:spacing w:line="360" w:lineRule="auto"/>
        <w:ind w:firstLine="1680" w:firstLineChars="600"/>
        <w:jc w:val="left"/>
        <w:rPr>
          <w:b/>
          <w:bCs/>
          <w:sz w:val="28"/>
          <w:szCs w:val="28"/>
          <w:u w:val="single"/>
        </w:rPr>
      </w:pPr>
      <w:r>
        <w:rPr>
          <w:rFonts w:hint="eastAsia"/>
          <w:b/>
          <w:bCs/>
          <w:sz w:val="28"/>
          <w:szCs w:val="28"/>
        </w:rPr>
        <w:t>磋商内容：</w:t>
      </w:r>
      <w:r>
        <w:rPr>
          <w:rFonts w:hint="eastAsia"/>
          <w:b/>
          <w:bCs/>
          <w:sz w:val="28"/>
          <w:szCs w:val="28"/>
          <w:u w:val="single"/>
        </w:rPr>
        <w:t xml:space="preserve">                             </w:t>
      </w:r>
    </w:p>
    <w:p w14:paraId="448BC796">
      <w:pPr>
        <w:wordWrap w:val="0"/>
        <w:spacing w:line="360" w:lineRule="auto"/>
        <w:ind w:right="1492" w:rightChars="622"/>
        <w:rPr>
          <w:sz w:val="28"/>
          <w:szCs w:val="28"/>
        </w:rPr>
      </w:pPr>
    </w:p>
    <w:p w14:paraId="1EC8447A">
      <w:pPr>
        <w:wordWrap w:val="0"/>
        <w:spacing w:line="360" w:lineRule="auto"/>
        <w:ind w:right="1492" w:rightChars="622"/>
        <w:rPr>
          <w:sz w:val="28"/>
          <w:szCs w:val="28"/>
        </w:rPr>
      </w:pPr>
    </w:p>
    <w:p w14:paraId="4F15903D">
      <w:pPr>
        <w:wordWrap w:val="0"/>
        <w:spacing w:line="360" w:lineRule="auto"/>
        <w:ind w:right="1492" w:rightChars="622"/>
        <w:rPr>
          <w:sz w:val="28"/>
          <w:szCs w:val="28"/>
        </w:rPr>
      </w:pPr>
    </w:p>
    <w:p w14:paraId="2DAC8363">
      <w:pPr>
        <w:pStyle w:val="11"/>
        <w:tabs>
          <w:tab w:val="left" w:pos="1418"/>
          <w:tab w:val="left" w:pos="1560"/>
        </w:tabs>
        <w:wordWrap w:val="0"/>
        <w:spacing w:line="360" w:lineRule="auto"/>
        <w:rPr>
          <w:sz w:val="28"/>
          <w:szCs w:val="28"/>
        </w:rPr>
      </w:pPr>
    </w:p>
    <w:p w14:paraId="0106EC4F">
      <w:pPr>
        <w:pStyle w:val="11"/>
        <w:spacing w:line="360" w:lineRule="auto"/>
        <w:jc w:val="center"/>
        <w:rPr>
          <w:sz w:val="28"/>
          <w:szCs w:val="28"/>
        </w:rPr>
      </w:pPr>
    </w:p>
    <w:p w14:paraId="35ECFC5D">
      <w:pPr>
        <w:tabs>
          <w:tab w:val="left" w:pos="8222"/>
        </w:tabs>
        <w:wordWrap w:val="0"/>
        <w:spacing w:line="360" w:lineRule="auto"/>
        <w:ind w:firstLine="1680" w:firstLineChars="600"/>
        <w:jc w:val="left"/>
        <w:rPr>
          <w:sz w:val="28"/>
          <w:szCs w:val="28"/>
          <w:u w:val="single"/>
        </w:rPr>
      </w:pPr>
      <w:r>
        <w:rPr>
          <w:rFonts w:hint="eastAsia"/>
          <w:b/>
          <w:bCs/>
          <w:sz w:val="28"/>
          <w:szCs w:val="28"/>
        </w:rPr>
        <w:t>采购</w:t>
      </w:r>
      <w:r>
        <w:rPr>
          <w:rFonts w:hint="eastAsia"/>
          <w:b/>
          <w:sz w:val="28"/>
          <w:szCs w:val="28"/>
        </w:rPr>
        <w:t>人：</w:t>
      </w:r>
      <w:r>
        <w:rPr>
          <w:rFonts w:hint="eastAsia"/>
          <w:b/>
          <w:sz w:val="28"/>
          <w:szCs w:val="28"/>
          <w:u w:val="single"/>
        </w:rPr>
        <w:t xml:space="preserve"> </w:t>
      </w:r>
      <w:r>
        <w:rPr>
          <w:b/>
          <w:sz w:val="28"/>
          <w:szCs w:val="28"/>
          <w:u w:val="single"/>
        </w:rPr>
        <w:t xml:space="preserve">        </w:t>
      </w:r>
      <w:r>
        <w:rPr>
          <w:sz w:val="28"/>
          <w:szCs w:val="28"/>
          <w:u w:val="single"/>
        </w:rPr>
        <w:t xml:space="preserve">                    </w:t>
      </w:r>
    </w:p>
    <w:p w14:paraId="716686B7">
      <w:pPr>
        <w:wordWrap w:val="0"/>
        <w:spacing w:line="360" w:lineRule="auto"/>
        <w:jc w:val="center"/>
        <w:rPr>
          <w:b/>
          <w:sz w:val="28"/>
          <w:szCs w:val="28"/>
        </w:rPr>
      </w:pPr>
    </w:p>
    <w:p w14:paraId="49D54EED">
      <w:pPr>
        <w:tabs>
          <w:tab w:val="left" w:pos="8222"/>
        </w:tabs>
        <w:wordWrap w:val="0"/>
        <w:spacing w:line="360" w:lineRule="auto"/>
        <w:ind w:firstLine="1680" w:firstLineChars="600"/>
        <w:jc w:val="left"/>
        <w:rPr>
          <w:sz w:val="28"/>
          <w:szCs w:val="28"/>
        </w:rPr>
      </w:pPr>
      <w:r>
        <w:rPr>
          <w:rFonts w:hint="eastAsia"/>
          <w:b/>
          <w:sz w:val="28"/>
          <w:szCs w:val="28"/>
        </w:rPr>
        <w:t>集中</w:t>
      </w:r>
      <w:r>
        <w:rPr>
          <w:rFonts w:hint="eastAsia"/>
          <w:b/>
          <w:bCs/>
          <w:sz w:val="28"/>
          <w:szCs w:val="28"/>
        </w:rPr>
        <w:t>采购</w:t>
      </w:r>
      <w:r>
        <w:rPr>
          <w:rFonts w:hint="eastAsia"/>
          <w:b/>
          <w:sz w:val="28"/>
          <w:szCs w:val="28"/>
        </w:rPr>
        <w:t>机构：</w:t>
      </w:r>
      <w:r>
        <w:rPr>
          <w:rFonts w:hint="eastAsia"/>
          <w:sz w:val="28"/>
          <w:szCs w:val="28"/>
          <w:lang w:eastAsia="zh-CN"/>
        </w:rPr>
        <w:t>随县</w:t>
      </w:r>
      <w:r>
        <w:rPr>
          <w:rFonts w:hint="eastAsia"/>
          <w:sz w:val="28"/>
          <w:szCs w:val="28"/>
        </w:rPr>
        <w:t>公共资源交易中心</w:t>
      </w:r>
    </w:p>
    <w:p w14:paraId="6C9DCB05">
      <w:pPr>
        <w:wordWrap w:val="0"/>
        <w:spacing w:line="360" w:lineRule="auto"/>
        <w:jc w:val="center"/>
        <w:rPr>
          <w:rFonts w:hint="eastAsia"/>
          <w:sz w:val="28"/>
          <w:szCs w:val="28"/>
        </w:rPr>
      </w:pPr>
      <w:r>
        <w:rPr>
          <w:rFonts w:hint="eastAsia"/>
          <w:sz w:val="28"/>
          <w:szCs w:val="28"/>
        </w:rPr>
        <w:t xml:space="preserve">    </w:t>
      </w:r>
      <w:r>
        <w:rPr>
          <w:sz w:val="28"/>
          <w:szCs w:val="28"/>
        </w:rPr>
        <w:t xml:space="preserve">  </w:t>
      </w:r>
      <w:r>
        <w:rPr>
          <w:rFonts w:hint="eastAsia"/>
          <w:sz w:val="28"/>
          <w:szCs w:val="28"/>
        </w:rPr>
        <w:t>（</w:t>
      </w:r>
      <w:r>
        <w:rPr>
          <w:rFonts w:hint="eastAsia"/>
          <w:sz w:val="28"/>
          <w:szCs w:val="28"/>
          <w:lang w:eastAsia="zh-CN"/>
        </w:rPr>
        <w:t>随县</w:t>
      </w:r>
      <w:r>
        <w:rPr>
          <w:rFonts w:hint="eastAsia"/>
          <w:sz w:val="28"/>
          <w:szCs w:val="28"/>
        </w:rPr>
        <w:t>政府采购中心）</w:t>
      </w:r>
      <w:bookmarkStart w:id="0" w:name="_Toc511894492"/>
      <w:bookmarkStart w:id="1" w:name="_Toc511889414"/>
    </w:p>
    <w:p w14:paraId="30802028">
      <w:pPr>
        <w:wordWrap w:val="0"/>
        <w:spacing w:line="360" w:lineRule="auto"/>
        <w:jc w:val="center"/>
        <w:rPr>
          <w:rFonts w:hint="eastAsia"/>
          <w:sz w:val="28"/>
          <w:szCs w:val="28"/>
        </w:rPr>
      </w:pPr>
    </w:p>
    <w:p w14:paraId="55713DD1">
      <w:pPr>
        <w:wordWrap w:val="0"/>
        <w:spacing w:line="360" w:lineRule="auto"/>
        <w:jc w:val="center"/>
        <w:rPr>
          <w:b/>
          <w:bCs/>
          <w:sz w:val="36"/>
          <w:szCs w:val="36"/>
        </w:rPr>
      </w:pPr>
      <w:r>
        <w:rPr>
          <w:rFonts w:hint="eastAsia"/>
          <w:b/>
          <w:bCs/>
          <w:sz w:val="36"/>
          <w:szCs w:val="36"/>
        </w:rPr>
        <w:t>目    录</w:t>
      </w:r>
    </w:p>
    <w:sdt>
      <w:sdtPr>
        <w:rPr>
          <w:b w:val="0"/>
          <w:iCs/>
          <w:szCs w:val="24"/>
        </w:rPr>
        <w:id w:val="-2069564089"/>
        <w:docPartObj>
          <w:docPartGallery w:val="Table of Contents"/>
          <w:docPartUnique/>
        </w:docPartObj>
      </w:sdtPr>
      <w:sdtEndPr>
        <w:rPr>
          <w:b/>
          <w:bCs w:val="0"/>
          <w:iCs w:val="0"/>
          <w:szCs w:val="24"/>
        </w:rPr>
      </w:sdtEndPr>
      <w:sdtContent>
        <w:p w14:paraId="334E0883">
          <w:pPr>
            <w:pStyle w:val="2"/>
            <w:tabs>
              <w:tab w:val="left" w:pos="1050"/>
              <w:tab w:val="right" w:leader="dot" w:pos="9514"/>
            </w:tabs>
            <w:rPr>
              <w:rFonts w:asciiTheme="minorHAnsi" w:hAnsiTheme="minorHAnsi" w:eastAsiaTheme="minorEastAsia" w:cstheme="minorBidi"/>
              <w:b w:val="0"/>
              <w:bCs w:val="0"/>
              <w:caps w:val="0"/>
              <w:kern w:val="2"/>
              <w:sz w:val="21"/>
              <w:szCs w:val="22"/>
            </w:rPr>
          </w:pPr>
          <w:r>
            <w:rPr>
              <w:b w:val="0"/>
              <w:iCs/>
              <w:szCs w:val="24"/>
            </w:rPr>
            <w:fldChar w:fldCharType="begin"/>
          </w:r>
          <w:r>
            <w:rPr>
              <w:b w:val="0"/>
              <w:iCs/>
              <w:szCs w:val="24"/>
            </w:rPr>
            <w:instrText xml:space="preserve"> TOC \o "1-2" \h \z \u </w:instrText>
          </w:r>
          <w:r>
            <w:rPr>
              <w:b w:val="0"/>
              <w:iCs/>
              <w:szCs w:val="24"/>
            </w:rPr>
            <w:fldChar w:fldCharType="separate"/>
          </w:r>
          <w:r>
            <w:fldChar w:fldCharType="begin"/>
          </w:r>
          <w:r>
            <w:instrText xml:space="preserve"> HYPERLINK \l "_Toc122527523" </w:instrText>
          </w:r>
          <w:r>
            <w:fldChar w:fldCharType="separate"/>
          </w:r>
          <w:r>
            <w:rPr>
              <w:rStyle w:val="35"/>
              <w:rFonts w:hint="eastAsia"/>
              <w:color w:val="auto"/>
            </w:rPr>
            <w:t>第一章</w:t>
          </w:r>
          <w:r>
            <w:rPr>
              <w:rFonts w:asciiTheme="minorHAnsi" w:hAnsiTheme="minorHAnsi" w:eastAsiaTheme="minorEastAsia" w:cstheme="minorBidi"/>
              <w:b w:val="0"/>
              <w:bCs w:val="0"/>
              <w:caps w:val="0"/>
              <w:kern w:val="2"/>
              <w:sz w:val="21"/>
              <w:szCs w:val="22"/>
            </w:rPr>
            <w:tab/>
          </w:r>
          <w:r>
            <w:rPr>
              <w:rStyle w:val="35"/>
              <w:rFonts w:hint="eastAsia"/>
              <w:color w:val="auto"/>
            </w:rPr>
            <w:t>磋商邀请</w:t>
          </w:r>
          <w:r>
            <w:tab/>
          </w:r>
          <w:r>
            <w:fldChar w:fldCharType="begin"/>
          </w:r>
          <w:r>
            <w:instrText xml:space="preserve"> PAGEREF _Toc122527523 \h </w:instrText>
          </w:r>
          <w:r>
            <w:fldChar w:fldCharType="separate"/>
          </w:r>
          <w:r>
            <w:t>1</w:t>
          </w:r>
          <w:r>
            <w:fldChar w:fldCharType="end"/>
          </w:r>
          <w:r>
            <w:fldChar w:fldCharType="end"/>
          </w:r>
        </w:p>
        <w:p w14:paraId="02BE635C">
          <w:pPr>
            <w:pStyle w:val="2"/>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"_Toc122527524" </w:instrText>
          </w:r>
          <w:r>
            <w:fldChar w:fldCharType="separate"/>
          </w:r>
          <w:r>
            <w:rPr>
              <w:rStyle w:val="35"/>
              <w:rFonts w:hint="eastAsia"/>
              <w:color w:val="auto"/>
            </w:rPr>
            <w:t>第二章</w:t>
          </w:r>
          <w:r>
            <w:rPr>
              <w:rFonts w:asciiTheme="minorHAnsi" w:hAnsiTheme="minorHAnsi" w:eastAsiaTheme="minorEastAsia" w:cstheme="minorBidi"/>
              <w:b w:val="0"/>
              <w:bCs w:val="0"/>
              <w:caps w:val="0"/>
              <w:kern w:val="2"/>
              <w:sz w:val="21"/>
              <w:szCs w:val="22"/>
            </w:rPr>
            <w:tab/>
          </w:r>
          <w:r>
            <w:rPr>
              <w:rStyle w:val="35"/>
              <w:rFonts w:hint="eastAsia"/>
              <w:color w:val="auto"/>
            </w:rPr>
            <w:t>磋商须知</w:t>
          </w:r>
          <w:r>
            <w:tab/>
          </w:r>
          <w:r>
            <w:fldChar w:fldCharType="begin"/>
          </w:r>
          <w:r>
            <w:instrText xml:space="preserve"> PAGEREF _Toc122527524 \h </w:instrText>
          </w:r>
          <w:r>
            <w:fldChar w:fldCharType="separate"/>
          </w:r>
          <w:r>
            <w:t>5</w:t>
          </w:r>
          <w:r>
            <w:fldChar w:fldCharType="end"/>
          </w:r>
          <w:r>
            <w:fldChar w:fldCharType="end"/>
          </w:r>
        </w:p>
        <w:p w14:paraId="629B51F8">
          <w:pPr>
            <w:pStyle w:val="25"/>
            <w:tabs>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"_Toc122527525" </w:instrText>
          </w:r>
          <w:r>
            <w:fldChar w:fldCharType="separate"/>
          </w:r>
          <w:r>
            <w:rPr>
              <w:rStyle w:val="35"/>
              <w:rFonts w:hint="eastAsia"/>
              <w:color w:val="auto"/>
              <w:lang w:val="zh-CN"/>
            </w:rPr>
            <w:t>磋商须知前附表</w:t>
          </w:r>
          <w:r>
            <w:rPr>
              <w:color w:val="auto"/>
            </w:rPr>
            <w:tab/>
          </w:r>
          <w:r>
            <w:rPr>
              <w:color w:val="auto"/>
            </w:rPr>
            <w:fldChar w:fldCharType="begin"/>
          </w:r>
          <w:r>
            <w:rPr>
              <w:color w:val="auto"/>
            </w:rPr>
            <w:instrText xml:space="preserve"> PAGEREF _Toc122527525 \h </w:instrText>
          </w:r>
          <w:r>
            <w:rPr>
              <w:color w:val="auto"/>
            </w:rPr>
            <w:fldChar w:fldCharType="separate"/>
          </w:r>
          <w:r>
            <w:rPr>
              <w:color w:val="auto"/>
            </w:rPr>
            <w:t>5</w:t>
          </w:r>
          <w:r>
            <w:rPr>
              <w:color w:val="auto"/>
            </w:rPr>
            <w:fldChar w:fldCharType="end"/>
          </w:r>
          <w:r>
            <w:rPr>
              <w:color w:val="auto"/>
            </w:rPr>
            <w:fldChar w:fldCharType="end"/>
          </w:r>
        </w:p>
        <w:p w14:paraId="5A242450">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"_Toc122527526" </w:instrText>
          </w:r>
          <w:r>
            <w:fldChar w:fldCharType="separate"/>
          </w:r>
          <w:r>
            <w:rPr>
              <w:rStyle w:val="35"/>
              <w:rFonts w:hint="eastAsia" w:cs="宋体"/>
              <w:color w:val="auto"/>
              <w:lang w:val="zh-CN"/>
            </w:rPr>
            <w:t>一、</w:t>
          </w:r>
          <w:r>
            <w:rPr>
              <w:rFonts w:asciiTheme="minorHAnsi" w:hAnsiTheme="minorHAnsi" w:eastAsiaTheme="minorEastAsia" w:cstheme="minorBidi"/>
              <w:bCs w:val="0"/>
              <w:color w:val="auto"/>
              <w:kern w:val="2"/>
              <w:sz w:val="21"/>
              <w:szCs w:val="22"/>
            </w:rPr>
            <w:tab/>
          </w:r>
          <w:r>
            <w:rPr>
              <w:rStyle w:val="35"/>
              <w:rFonts w:hint="eastAsia"/>
              <w:color w:val="auto"/>
              <w:lang w:val="zh-CN"/>
            </w:rPr>
            <w:t>总</w:t>
          </w:r>
          <w:r>
            <w:rPr>
              <w:rStyle w:val="35"/>
              <w:color w:val="auto"/>
              <w:lang w:val="zh-CN"/>
            </w:rPr>
            <w:t xml:space="preserve">  </w:t>
          </w:r>
          <w:r>
            <w:rPr>
              <w:rStyle w:val="35"/>
              <w:rFonts w:hint="eastAsia"/>
              <w:color w:val="auto"/>
              <w:lang w:val="zh-CN"/>
            </w:rPr>
            <w:t>则</w:t>
          </w:r>
          <w:r>
            <w:rPr>
              <w:color w:val="auto"/>
            </w:rPr>
            <w:tab/>
          </w:r>
          <w:r>
            <w:rPr>
              <w:color w:val="auto"/>
            </w:rPr>
            <w:fldChar w:fldCharType="begin"/>
          </w:r>
          <w:r>
            <w:rPr>
              <w:color w:val="auto"/>
            </w:rPr>
            <w:instrText xml:space="preserve"> PAGEREF _Toc122527526 \h </w:instrText>
          </w:r>
          <w:r>
            <w:rPr>
              <w:color w:val="auto"/>
            </w:rPr>
            <w:fldChar w:fldCharType="separate"/>
          </w:r>
          <w:r>
            <w:rPr>
              <w:color w:val="auto"/>
            </w:rPr>
            <w:t>7</w:t>
          </w:r>
          <w:r>
            <w:rPr>
              <w:color w:val="auto"/>
            </w:rPr>
            <w:fldChar w:fldCharType="end"/>
          </w:r>
          <w:r>
            <w:rPr>
              <w:color w:val="auto"/>
            </w:rPr>
            <w:fldChar w:fldCharType="end"/>
          </w:r>
        </w:p>
        <w:p w14:paraId="282B68C4">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"_Toc122527527" </w:instrText>
          </w:r>
          <w:r>
            <w:fldChar w:fldCharType="separate"/>
          </w:r>
          <w:r>
            <w:rPr>
              <w:rStyle w:val="35"/>
              <w:rFonts w:hint="eastAsia" w:cs="宋体"/>
              <w:color w:val="auto"/>
              <w:lang w:val="zh-CN"/>
            </w:rPr>
            <w:t>二、</w:t>
          </w:r>
          <w:r>
            <w:rPr>
              <w:rFonts w:asciiTheme="minorHAnsi" w:hAnsiTheme="minorHAnsi" w:eastAsiaTheme="minorEastAsia" w:cstheme="minorBidi"/>
              <w:bCs w:val="0"/>
              <w:color w:val="auto"/>
              <w:kern w:val="2"/>
              <w:sz w:val="21"/>
              <w:szCs w:val="22"/>
            </w:rPr>
            <w:tab/>
          </w:r>
          <w:r>
            <w:rPr>
              <w:rStyle w:val="35"/>
              <w:rFonts w:hint="eastAsia"/>
              <w:color w:val="auto"/>
              <w:lang w:val="zh-CN"/>
            </w:rPr>
            <w:t>竞争性磋商文件</w:t>
          </w:r>
          <w:r>
            <w:rPr>
              <w:color w:val="auto"/>
            </w:rPr>
            <w:tab/>
          </w:r>
          <w:r>
            <w:rPr>
              <w:color w:val="auto"/>
            </w:rPr>
            <w:fldChar w:fldCharType="begin"/>
          </w:r>
          <w:r>
            <w:rPr>
              <w:color w:val="auto"/>
            </w:rPr>
            <w:instrText xml:space="preserve"> PAGEREF _Toc122527527 \h </w:instrText>
          </w:r>
          <w:r>
            <w:rPr>
              <w:color w:val="auto"/>
            </w:rPr>
            <w:fldChar w:fldCharType="separate"/>
          </w:r>
          <w:r>
            <w:rPr>
              <w:color w:val="auto"/>
            </w:rPr>
            <w:t>10</w:t>
          </w:r>
          <w:r>
            <w:rPr>
              <w:color w:val="auto"/>
            </w:rPr>
            <w:fldChar w:fldCharType="end"/>
          </w:r>
          <w:r>
            <w:rPr>
              <w:color w:val="auto"/>
            </w:rPr>
            <w:fldChar w:fldCharType="end"/>
          </w:r>
        </w:p>
        <w:p w14:paraId="4C0316E3">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"_Toc122527528" </w:instrText>
          </w:r>
          <w:r>
            <w:fldChar w:fldCharType="separate"/>
          </w:r>
          <w:r>
            <w:rPr>
              <w:rStyle w:val="35"/>
              <w:rFonts w:hint="eastAsia" w:cs="宋体"/>
              <w:color w:val="auto"/>
              <w:lang w:val="zh-CN"/>
            </w:rPr>
            <w:t>三、</w:t>
          </w:r>
          <w:r>
            <w:rPr>
              <w:rFonts w:asciiTheme="minorHAnsi" w:hAnsiTheme="minorHAnsi" w:eastAsiaTheme="minorEastAsia" w:cstheme="minorBidi"/>
              <w:bCs w:val="0"/>
              <w:color w:val="auto"/>
              <w:kern w:val="2"/>
              <w:sz w:val="21"/>
              <w:szCs w:val="22"/>
            </w:rPr>
            <w:tab/>
          </w:r>
          <w:r>
            <w:rPr>
              <w:rStyle w:val="35"/>
              <w:rFonts w:hint="eastAsia"/>
              <w:color w:val="auto"/>
              <w:lang w:val="zh-CN"/>
            </w:rPr>
            <w:t>响应文件</w:t>
          </w:r>
          <w:r>
            <w:rPr>
              <w:color w:val="auto"/>
            </w:rPr>
            <w:tab/>
          </w:r>
          <w:r>
            <w:rPr>
              <w:color w:val="auto"/>
            </w:rPr>
            <w:fldChar w:fldCharType="begin"/>
          </w:r>
          <w:r>
            <w:rPr>
              <w:color w:val="auto"/>
            </w:rPr>
            <w:instrText xml:space="preserve"> PAGEREF _Toc122527528 \h </w:instrText>
          </w:r>
          <w:r>
            <w:rPr>
              <w:color w:val="auto"/>
            </w:rPr>
            <w:fldChar w:fldCharType="separate"/>
          </w:r>
          <w:r>
            <w:rPr>
              <w:color w:val="auto"/>
            </w:rPr>
            <w:t>12</w:t>
          </w:r>
          <w:r>
            <w:rPr>
              <w:color w:val="auto"/>
            </w:rPr>
            <w:fldChar w:fldCharType="end"/>
          </w:r>
          <w:r>
            <w:rPr>
              <w:color w:val="auto"/>
            </w:rPr>
            <w:fldChar w:fldCharType="end"/>
          </w:r>
        </w:p>
        <w:p w14:paraId="50729CAA">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"_Toc122527529" </w:instrText>
          </w:r>
          <w:r>
            <w:fldChar w:fldCharType="separate"/>
          </w:r>
          <w:r>
            <w:rPr>
              <w:rStyle w:val="35"/>
              <w:rFonts w:hint="eastAsia" w:cs="宋体"/>
              <w:color w:val="auto"/>
              <w:lang w:val="zh-CN"/>
            </w:rPr>
            <w:t>四、</w:t>
          </w:r>
          <w:r>
            <w:rPr>
              <w:rFonts w:asciiTheme="minorHAnsi" w:hAnsiTheme="minorHAnsi" w:eastAsiaTheme="minorEastAsia" w:cstheme="minorBidi"/>
              <w:bCs w:val="0"/>
              <w:color w:val="auto"/>
              <w:kern w:val="2"/>
              <w:sz w:val="21"/>
              <w:szCs w:val="22"/>
            </w:rPr>
            <w:tab/>
          </w:r>
          <w:r>
            <w:rPr>
              <w:rStyle w:val="35"/>
              <w:rFonts w:hint="eastAsia"/>
              <w:color w:val="auto"/>
              <w:lang w:val="zh-CN"/>
            </w:rPr>
            <w:t>磋商与评审</w:t>
          </w:r>
          <w:r>
            <w:rPr>
              <w:color w:val="auto"/>
            </w:rPr>
            <w:tab/>
          </w:r>
          <w:r>
            <w:rPr>
              <w:color w:val="auto"/>
            </w:rPr>
            <w:fldChar w:fldCharType="begin"/>
          </w:r>
          <w:r>
            <w:rPr>
              <w:color w:val="auto"/>
            </w:rPr>
            <w:instrText xml:space="preserve"> PAGEREF _Toc122527529 \h </w:instrText>
          </w:r>
          <w:r>
            <w:rPr>
              <w:color w:val="auto"/>
            </w:rPr>
            <w:fldChar w:fldCharType="separate"/>
          </w:r>
          <w:r>
            <w:rPr>
              <w:color w:val="auto"/>
            </w:rPr>
            <w:t>14</w:t>
          </w:r>
          <w:r>
            <w:rPr>
              <w:color w:val="auto"/>
            </w:rPr>
            <w:fldChar w:fldCharType="end"/>
          </w:r>
          <w:r>
            <w:rPr>
              <w:color w:val="auto"/>
            </w:rPr>
            <w:fldChar w:fldCharType="end"/>
          </w:r>
        </w:p>
        <w:p w14:paraId="7157564D">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"_Toc122527530" </w:instrText>
          </w:r>
          <w:r>
            <w:fldChar w:fldCharType="separate"/>
          </w:r>
          <w:r>
            <w:rPr>
              <w:rStyle w:val="35"/>
              <w:rFonts w:hint="eastAsia" w:cs="宋体"/>
              <w:color w:val="auto"/>
              <w:lang w:val="zh-CN"/>
            </w:rPr>
            <w:t>五、</w:t>
          </w:r>
          <w:r>
            <w:rPr>
              <w:rFonts w:asciiTheme="minorHAnsi" w:hAnsiTheme="minorHAnsi" w:eastAsiaTheme="minorEastAsia" w:cstheme="minorBidi"/>
              <w:bCs w:val="0"/>
              <w:color w:val="auto"/>
              <w:kern w:val="2"/>
              <w:sz w:val="21"/>
              <w:szCs w:val="22"/>
            </w:rPr>
            <w:tab/>
          </w:r>
          <w:r>
            <w:rPr>
              <w:rStyle w:val="35"/>
              <w:rFonts w:hint="eastAsia"/>
              <w:color w:val="auto"/>
              <w:lang w:val="zh-CN"/>
            </w:rPr>
            <w:t>成交与合同</w:t>
          </w:r>
          <w:r>
            <w:rPr>
              <w:color w:val="auto"/>
            </w:rPr>
            <w:tab/>
          </w:r>
          <w:r>
            <w:rPr>
              <w:color w:val="auto"/>
            </w:rPr>
            <w:fldChar w:fldCharType="begin"/>
          </w:r>
          <w:r>
            <w:rPr>
              <w:color w:val="auto"/>
            </w:rPr>
            <w:instrText xml:space="preserve"> PAGEREF _Toc122527530 \h </w:instrText>
          </w:r>
          <w:r>
            <w:rPr>
              <w:color w:val="auto"/>
            </w:rPr>
            <w:fldChar w:fldCharType="separate"/>
          </w:r>
          <w:r>
            <w:rPr>
              <w:color w:val="auto"/>
            </w:rPr>
            <w:t>16</w:t>
          </w:r>
          <w:r>
            <w:rPr>
              <w:color w:val="auto"/>
            </w:rPr>
            <w:fldChar w:fldCharType="end"/>
          </w:r>
          <w:r>
            <w:rPr>
              <w:color w:val="auto"/>
            </w:rPr>
            <w:fldChar w:fldCharType="end"/>
          </w:r>
        </w:p>
        <w:p w14:paraId="2F702178">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"_Toc122527531" </w:instrText>
          </w:r>
          <w:r>
            <w:fldChar w:fldCharType="separate"/>
          </w:r>
          <w:r>
            <w:rPr>
              <w:rStyle w:val="35"/>
              <w:rFonts w:hint="eastAsia" w:cs="宋体"/>
              <w:color w:val="auto"/>
              <w:lang w:val="zh-CN"/>
            </w:rPr>
            <w:t>六、</w:t>
          </w:r>
          <w:r>
            <w:rPr>
              <w:rFonts w:asciiTheme="minorHAnsi" w:hAnsiTheme="minorHAnsi" w:eastAsiaTheme="minorEastAsia" w:cstheme="minorBidi"/>
              <w:bCs w:val="0"/>
              <w:color w:val="auto"/>
              <w:kern w:val="2"/>
              <w:sz w:val="21"/>
              <w:szCs w:val="22"/>
            </w:rPr>
            <w:tab/>
          </w:r>
          <w:r>
            <w:rPr>
              <w:rStyle w:val="35"/>
              <w:rFonts w:hint="eastAsia"/>
              <w:color w:val="auto"/>
              <w:lang w:val="zh-CN"/>
            </w:rPr>
            <w:t>询问与质疑</w:t>
          </w:r>
          <w:r>
            <w:rPr>
              <w:color w:val="auto"/>
            </w:rPr>
            <w:tab/>
          </w:r>
          <w:r>
            <w:rPr>
              <w:color w:val="auto"/>
            </w:rPr>
            <w:fldChar w:fldCharType="begin"/>
          </w:r>
          <w:r>
            <w:rPr>
              <w:color w:val="auto"/>
            </w:rPr>
            <w:instrText xml:space="preserve"> PAGEREF _Toc122527531 \h </w:instrText>
          </w:r>
          <w:r>
            <w:rPr>
              <w:color w:val="auto"/>
            </w:rPr>
            <w:fldChar w:fldCharType="separate"/>
          </w:r>
          <w:r>
            <w:rPr>
              <w:color w:val="auto"/>
            </w:rPr>
            <w:t>17</w:t>
          </w:r>
          <w:r>
            <w:rPr>
              <w:color w:val="auto"/>
            </w:rPr>
            <w:fldChar w:fldCharType="end"/>
          </w:r>
          <w:r>
            <w:rPr>
              <w:color w:val="auto"/>
            </w:rPr>
            <w:fldChar w:fldCharType="end"/>
          </w:r>
        </w:p>
        <w:p w14:paraId="62742382">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"_Toc122527532" </w:instrText>
          </w:r>
          <w:r>
            <w:fldChar w:fldCharType="separate"/>
          </w:r>
          <w:r>
            <w:rPr>
              <w:rStyle w:val="35"/>
              <w:rFonts w:hint="eastAsia" w:cs="宋体"/>
              <w:color w:val="auto"/>
              <w:lang w:val="zh-CN"/>
            </w:rPr>
            <w:t>七、</w:t>
          </w:r>
          <w:r>
            <w:rPr>
              <w:rFonts w:asciiTheme="minorHAnsi" w:hAnsiTheme="minorHAnsi" w:eastAsiaTheme="minorEastAsia" w:cstheme="minorBidi"/>
              <w:bCs w:val="0"/>
              <w:color w:val="auto"/>
              <w:kern w:val="2"/>
              <w:sz w:val="21"/>
              <w:szCs w:val="22"/>
            </w:rPr>
            <w:tab/>
          </w:r>
          <w:r>
            <w:rPr>
              <w:rStyle w:val="35"/>
              <w:rFonts w:hint="eastAsia"/>
              <w:color w:val="auto"/>
              <w:lang w:val="zh-CN"/>
            </w:rPr>
            <w:t>政府采购政策</w:t>
          </w:r>
          <w:r>
            <w:rPr>
              <w:color w:val="auto"/>
            </w:rPr>
            <w:tab/>
          </w:r>
          <w:r>
            <w:rPr>
              <w:color w:val="auto"/>
            </w:rPr>
            <w:fldChar w:fldCharType="begin"/>
          </w:r>
          <w:r>
            <w:rPr>
              <w:color w:val="auto"/>
            </w:rPr>
            <w:instrText xml:space="preserve"> PAGEREF _Toc122527532 \h </w:instrText>
          </w:r>
          <w:r>
            <w:rPr>
              <w:color w:val="auto"/>
            </w:rPr>
            <w:fldChar w:fldCharType="separate"/>
          </w:r>
          <w:r>
            <w:rPr>
              <w:color w:val="auto"/>
            </w:rPr>
            <w:t>18</w:t>
          </w:r>
          <w:r>
            <w:rPr>
              <w:color w:val="auto"/>
            </w:rPr>
            <w:fldChar w:fldCharType="end"/>
          </w:r>
          <w:r>
            <w:rPr>
              <w:color w:val="auto"/>
            </w:rPr>
            <w:fldChar w:fldCharType="end"/>
          </w:r>
        </w:p>
        <w:p w14:paraId="7AC2B56D">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"_Toc122527533" </w:instrText>
          </w:r>
          <w:r>
            <w:fldChar w:fldCharType="separate"/>
          </w:r>
          <w:r>
            <w:rPr>
              <w:rStyle w:val="35"/>
              <w:rFonts w:hint="eastAsia" w:cs="宋体"/>
              <w:color w:val="auto"/>
              <w:lang w:val="zh-CN"/>
            </w:rPr>
            <w:t>八、</w:t>
          </w:r>
          <w:r>
            <w:rPr>
              <w:rFonts w:asciiTheme="minorHAnsi" w:hAnsiTheme="minorHAnsi" w:eastAsiaTheme="minorEastAsia" w:cstheme="minorBidi"/>
              <w:bCs w:val="0"/>
              <w:color w:val="auto"/>
              <w:kern w:val="2"/>
              <w:sz w:val="21"/>
              <w:szCs w:val="22"/>
            </w:rPr>
            <w:tab/>
          </w:r>
          <w:r>
            <w:rPr>
              <w:rStyle w:val="35"/>
              <w:rFonts w:hint="eastAsia"/>
              <w:color w:val="auto"/>
              <w:lang w:val="zh-CN"/>
            </w:rPr>
            <w:t>其</w:t>
          </w:r>
          <w:r>
            <w:rPr>
              <w:rStyle w:val="35"/>
              <w:color w:val="auto"/>
              <w:lang w:val="zh-CN"/>
            </w:rPr>
            <w:t xml:space="preserve">  </w:t>
          </w:r>
          <w:r>
            <w:rPr>
              <w:rStyle w:val="35"/>
              <w:rFonts w:hint="eastAsia"/>
              <w:color w:val="auto"/>
              <w:lang w:val="zh-CN"/>
            </w:rPr>
            <w:t>它</w:t>
          </w:r>
          <w:r>
            <w:rPr>
              <w:color w:val="auto"/>
            </w:rPr>
            <w:tab/>
          </w:r>
          <w:r>
            <w:rPr>
              <w:color w:val="auto"/>
            </w:rPr>
            <w:fldChar w:fldCharType="begin"/>
          </w:r>
          <w:r>
            <w:rPr>
              <w:color w:val="auto"/>
            </w:rPr>
            <w:instrText xml:space="preserve"> PAGEREF _Toc122527533 \h </w:instrText>
          </w:r>
          <w:r>
            <w:rPr>
              <w:color w:val="auto"/>
            </w:rPr>
            <w:fldChar w:fldCharType="separate"/>
          </w:r>
          <w:r>
            <w:rPr>
              <w:color w:val="auto"/>
            </w:rPr>
            <w:t>18</w:t>
          </w:r>
          <w:r>
            <w:rPr>
              <w:color w:val="auto"/>
            </w:rPr>
            <w:fldChar w:fldCharType="end"/>
          </w:r>
          <w:r>
            <w:rPr>
              <w:color w:val="auto"/>
            </w:rPr>
            <w:fldChar w:fldCharType="end"/>
          </w:r>
        </w:p>
        <w:p w14:paraId="64C762B3">
          <w:pPr>
            <w:pStyle w:val="2"/>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"_Toc122527534" </w:instrText>
          </w:r>
          <w:r>
            <w:fldChar w:fldCharType="separate"/>
          </w:r>
          <w:r>
            <w:rPr>
              <w:rStyle w:val="35"/>
              <w:rFonts w:hint="eastAsia"/>
              <w:color w:val="auto"/>
            </w:rPr>
            <w:t>第三章</w:t>
          </w:r>
          <w:r>
            <w:rPr>
              <w:rFonts w:asciiTheme="minorHAnsi" w:hAnsiTheme="minorHAnsi" w:eastAsiaTheme="minorEastAsia" w:cstheme="minorBidi"/>
              <w:b w:val="0"/>
              <w:bCs w:val="0"/>
              <w:caps w:val="0"/>
              <w:kern w:val="2"/>
              <w:sz w:val="21"/>
              <w:szCs w:val="22"/>
            </w:rPr>
            <w:tab/>
          </w:r>
          <w:r>
            <w:rPr>
              <w:rStyle w:val="35"/>
              <w:rFonts w:hint="eastAsia"/>
              <w:color w:val="auto"/>
            </w:rPr>
            <w:t>采购需求</w:t>
          </w:r>
          <w:r>
            <w:tab/>
          </w:r>
          <w:r>
            <w:fldChar w:fldCharType="begin"/>
          </w:r>
          <w:r>
            <w:instrText xml:space="preserve"> PAGEREF _Toc122527534 \h </w:instrText>
          </w:r>
          <w:r>
            <w:fldChar w:fldCharType="separate"/>
          </w:r>
          <w:r>
            <w:t>20</w:t>
          </w:r>
          <w:r>
            <w:fldChar w:fldCharType="end"/>
          </w:r>
          <w:r>
            <w:fldChar w:fldCharType="end"/>
          </w:r>
        </w:p>
        <w:p w14:paraId="7E5AFACB">
          <w:pPr>
            <w:pStyle w:val="25"/>
            <w:tabs>
              <w:tab w:val="left" w:pos="1260"/>
              <w:tab w:val="right" w:leader="dot" w:pos="9514"/>
            </w:tabs>
            <w:ind w:firstLine="480"/>
            <w:rPr>
              <w:rFonts w:hint="default" w:eastAsia="宋体" w:asciiTheme="minorHAnsi" w:hAnsiTheme="minorHAnsi" w:cstheme="minorBidi"/>
              <w:bCs w:val="0"/>
              <w:color w:val="auto"/>
              <w:kern w:val="2"/>
              <w:sz w:val="21"/>
              <w:szCs w:val="22"/>
              <w:lang w:val="en-US" w:eastAsia="zh-CN"/>
            </w:rPr>
          </w:pPr>
          <w:r>
            <w:fldChar w:fldCharType="begin"/>
          </w:r>
          <w:r>
            <w:instrText xml:space="preserve"> HYPERLINK \l "_Toc122527535" </w:instrText>
          </w:r>
          <w:r>
            <w:fldChar w:fldCharType="separate"/>
          </w:r>
          <w:r>
            <w:rPr>
              <w:rStyle w:val="35"/>
              <w:rFonts w:hint="eastAsia"/>
              <w:color w:val="auto"/>
              <w:lang w:val="zh-CN"/>
            </w:rPr>
            <w:t>一、</w:t>
          </w:r>
          <w:r>
            <w:rPr>
              <w:rFonts w:asciiTheme="minorHAnsi" w:hAnsiTheme="minorHAnsi" w:eastAsiaTheme="minorEastAsia" w:cstheme="minorBidi"/>
              <w:bCs w:val="0"/>
              <w:color w:val="auto"/>
              <w:kern w:val="2"/>
              <w:sz w:val="21"/>
              <w:szCs w:val="22"/>
            </w:rPr>
            <w:tab/>
          </w:r>
          <w:r>
            <w:rPr>
              <w:rStyle w:val="35"/>
              <w:rFonts w:hint="eastAsia" w:ascii="Times New Roman" w:hAnsi="Times New Roman"/>
              <w:color w:val="auto"/>
              <w:lang w:val="zh-CN"/>
            </w:rPr>
            <w:t>项目概况及采购需求</w:t>
          </w:r>
          <w:r>
            <w:rPr>
              <w:color w:val="auto"/>
            </w:rPr>
            <w:tab/>
          </w:r>
          <w:r>
            <w:rPr>
              <w:color w:val="auto"/>
            </w:rPr>
            <w:fldChar w:fldCharType="end"/>
          </w:r>
          <w:r>
            <w:rPr>
              <w:rFonts w:hint="eastAsia"/>
              <w:color w:val="auto"/>
              <w:lang w:val="en-US" w:eastAsia="zh-CN"/>
            </w:rPr>
            <w:t>20</w:t>
          </w:r>
        </w:p>
        <w:p w14:paraId="7DAB64AD">
          <w:pPr>
            <w:pStyle w:val="25"/>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fldChar w:fldCharType="begin"/>
          </w:r>
          <w:r>
            <w:instrText xml:space="preserve"> HYPERLINK \l "_Toc122527538" </w:instrText>
          </w:r>
          <w:r>
            <w:fldChar w:fldCharType="separate"/>
          </w:r>
          <w:r>
            <w:rPr>
              <w:rFonts w:hint="eastAsia"/>
              <w:lang w:eastAsia="zh-CN"/>
            </w:rPr>
            <w:t>二</w:t>
          </w:r>
          <w:r>
            <w:rPr>
              <w:rStyle w:val="35"/>
              <w:rFonts w:hint="eastAsia"/>
              <w:color w:val="auto"/>
              <w:lang w:val="zh-CN"/>
            </w:rPr>
            <w:t>、</w:t>
          </w:r>
          <w:r>
            <w:rPr>
              <w:rFonts w:asciiTheme="minorHAnsi" w:hAnsiTheme="minorHAnsi" w:eastAsiaTheme="minorEastAsia" w:cstheme="minorBidi"/>
              <w:bCs w:val="0"/>
              <w:color w:val="auto"/>
              <w:kern w:val="2"/>
              <w:sz w:val="21"/>
              <w:szCs w:val="22"/>
            </w:rPr>
            <w:tab/>
          </w:r>
          <w:r>
            <w:rPr>
              <w:rStyle w:val="35"/>
              <w:rFonts w:hint="eastAsia"/>
              <w:color w:val="auto"/>
              <w:lang w:val="zh-CN"/>
            </w:rPr>
            <w:t>技术</w:t>
          </w:r>
          <w:r>
            <w:rPr>
              <w:rStyle w:val="35"/>
              <w:rFonts w:hint="eastAsia"/>
              <w:color w:val="auto"/>
              <w:lang w:val="en-US" w:eastAsia="zh-CN"/>
            </w:rPr>
            <w:t>标准和</w:t>
          </w:r>
          <w:r>
            <w:rPr>
              <w:rStyle w:val="35"/>
              <w:rFonts w:hint="eastAsia"/>
              <w:color w:val="auto"/>
              <w:lang w:val="zh-CN"/>
            </w:rPr>
            <w:t>要求</w:t>
          </w:r>
          <w:r>
            <w:rPr>
              <w:color w:val="auto"/>
            </w:rPr>
            <w:tab/>
          </w:r>
          <w:r>
            <w:rPr>
              <w:rFonts w:hint="eastAsia"/>
              <w:color w:val="auto"/>
              <w:lang w:val="en-US" w:eastAsia="zh-CN"/>
            </w:rPr>
            <w:t>2</w:t>
          </w:r>
          <w:r>
            <w:rPr>
              <w:color w:val="auto"/>
            </w:rPr>
            <w:fldChar w:fldCharType="end"/>
          </w:r>
          <w:r>
            <w:rPr>
              <w:rFonts w:hint="eastAsia"/>
              <w:color w:val="auto"/>
              <w:lang w:val="en-US" w:eastAsia="zh-CN"/>
            </w:rPr>
            <w:t>0</w:t>
          </w:r>
        </w:p>
        <w:p w14:paraId="7CBB2484">
          <w:pPr>
            <w:pStyle w:val="25"/>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fldChar w:fldCharType="begin"/>
          </w:r>
          <w:r>
            <w:instrText xml:space="preserve"> HYPERLINK \l "_Toc122527539" </w:instrText>
          </w:r>
          <w:r>
            <w:fldChar w:fldCharType="separate"/>
          </w:r>
          <w:r>
            <w:rPr>
              <w:rFonts w:hint="eastAsia"/>
              <w:lang w:eastAsia="zh-CN"/>
            </w:rPr>
            <w:t>三</w:t>
          </w:r>
          <w:r>
            <w:rPr>
              <w:rStyle w:val="35"/>
              <w:rFonts w:hint="eastAsia"/>
              <w:color w:val="auto"/>
            </w:rPr>
            <w:t>、</w:t>
          </w:r>
          <w:r>
            <w:rPr>
              <w:rFonts w:asciiTheme="minorHAnsi" w:hAnsiTheme="minorHAnsi" w:eastAsiaTheme="minorEastAsia" w:cstheme="minorBidi"/>
              <w:bCs w:val="0"/>
              <w:color w:val="auto"/>
              <w:kern w:val="2"/>
              <w:sz w:val="21"/>
              <w:szCs w:val="22"/>
            </w:rPr>
            <w:tab/>
          </w:r>
          <w:r>
            <w:rPr>
              <w:rStyle w:val="35"/>
              <w:rFonts w:hint="eastAsia" w:eastAsiaTheme="minorEastAsia"/>
              <w:color w:val="auto"/>
              <w:lang w:val="en-US" w:eastAsia="zh-CN"/>
            </w:rPr>
            <w:t>其它</w:t>
          </w:r>
          <w:r>
            <w:rPr>
              <w:rStyle w:val="35"/>
              <w:rFonts w:hint="eastAsia"/>
              <w:color w:val="auto"/>
              <w:lang w:val="zh-CN"/>
            </w:rPr>
            <w:t>要求</w:t>
          </w:r>
          <w:r>
            <w:rPr>
              <w:color w:val="auto"/>
            </w:rPr>
            <w:tab/>
          </w:r>
          <w:r>
            <w:rPr>
              <w:rFonts w:hint="eastAsia"/>
              <w:color w:val="auto"/>
              <w:lang w:val="en-US" w:eastAsia="zh-CN"/>
            </w:rPr>
            <w:t>2</w:t>
          </w:r>
          <w:r>
            <w:rPr>
              <w:color w:val="auto"/>
            </w:rPr>
            <w:fldChar w:fldCharType="end"/>
          </w:r>
          <w:r>
            <w:rPr>
              <w:rFonts w:hint="eastAsia"/>
              <w:color w:val="auto"/>
              <w:lang w:val="en-US" w:eastAsia="zh-CN"/>
            </w:rPr>
            <w:t>2</w:t>
          </w:r>
        </w:p>
        <w:p w14:paraId="52639B2C">
          <w:pPr>
            <w:pStyle w:val="2"/>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"_Toc122527540" </w:instrText>
          </w:r>
          <w:r>
            <w:fldChar w:fldCharType="separate"/>
          </w:r>
          <w:r>
            <w:rPr>
              <w:rStyle w:val="35"/>
              <w:rFonts w:hint="eastAsia"/>
              <w:color w:val="auto"/>
            </w:rPr>
            <w:t>第四章</w:t>
          </w:r>
          <w:r>
            <w:rPr>
              <w:rFonts w:asciiTheme="minorHAnsi" w:hAnsiTheme="minorHAnsi" w:eastAsiaTheme="minorEastAsia" w:cstheme="minorBidi"/>
              <w:b w:val="0"/>
              <w:bCs w:val="0"/>
              <w:caps w:val="0"/>
              <w:kern w:val="2"/>
              <w:sz w:val="21"/>
              <w:szCs w:val="22"/>
            </w:rPr>
            <w:tab/>
          </w:r>
          <w:r>
            <w:rPr>
              <w:rStyle w:val="35"/>
              <w:rFonts w:hint="eastAsia"/>
              <w:color w:val="auto"/>
            </w:rPr>
            <w:t>评审办法</w:t>
          </w:r>
          <w:r>
            <w:tab/>
          </w:r>
          <w:r>
            <w:fldChar w:fldCharType="begin"/>
          </w:r>
          <w:r>
            <w:instrText xml:space="preserve"> PAGEREF _Toc122527540 \h </w:instrText>
          </w:r>
          <w:r>
            <w:fldChar w:fldCharType="separate"/>
          </w:r>
          <w:r>
            <w:t>23</w:t>
          </w:r>
          <w:r>
            <w:fldChar w:fldCharType="end"/>
          </w:r>
          <w:r>
            <w:fldChar w:fldCharType="end"/>
          </w:r>
        </w:p>
        <w:p w14:paraId="639EE0C1">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"_Toc122527541" </w:instrText>
          </w:r>
          <w:r>
            <w:fldChar w:fldCharType="separate"/>
          </w:r>
          <w:r>
            <w:rPr>
              <w:rStyle w:val="35"/>
              <w:rFonts w:hint="eastAsia"/>
              <w:color w:val="auto"/>
              <w:lang w:val="zh-CN"/>
            </w:rPr>
            <w:t>一、</w:t>
          </w:r>
          <w:r>
            <w:rPr>
              <w:rFonts w:asciiTheme="minorHAnsi" w:hAnsiTheme="minorHAnsi" w:eastAsiaTheme="minorEastAsia" w:cstheme="minorBidi"/>
              <w:bCs w:val="0"/>
              <w:color w:val="auto"/>
              <w:kern w:val="2"/>
              <w:sz w:val="21"/>
              <w:szCs w:val="22"/>
            </w:rPr>
            <w:tab/>
          </w:r>
          <w:r>
            <w:rPr>
              <w:rStyle w:val="35"/>
              <w:rFonts w:hint="eastAsia"/>
              <w:color w:val="auto"/>
              <w:lang w:val="zh-CN"/>
            </w:rPr>
            <w:t>评审方法</w:t>
          </w:r>
          <w:r>
            <w:rPr>
              <w:color w:val="auto"/>
            </w:rPr>
            <w:tab/>
          </w:r>
          <w:r>
            <w:rPr>
              <w:color w:val="auto"/>
            </w:rPr>
            <w:fldChar w:fldCharType="begin"/>
          </w:r>
          <w:r>
            <w:rPr>
              <w:color w:val="auto"/>
            </w:rPr>
            <w:instrText xml:space="preserve"> PAGEREF _Toc122527541 \h </w:instrText>
          </w:r>
          <w:r>
            <w:rPr>
              <w:color w:val="auto"/>
            </w:rPr>
            <w:fldChar w:fldCharType="separate"/>
          </w:r>
          <w:r>
            <w:rPr>
              <w:color w:val="auto"/>
            </w:rPr>
            <w:t>23</w:t>
          </w:r>
          <w:r>
            <w:rPr>
              <w:color w:val="auto"/>
            </w:rPr>
            <w:fldChar w:fldCharType="end"/>
          </w:r>
          <w:r>
            <w:rPr>
              <w:color w:val="auto"/>
            </w:rPr>
            <w:fldChar w:fldCharType="end"/>
          </w:r>
        </w:p>
        <w:p w14:paraId="63909B04">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"_Toc122527542" </w:instrText>
          </w:r>
          <w:r>
            <w:fldChar w:fldCharType="separate"/>
          </w:r>
          <w:r>
            <w:rPr>
              <w:rStyle w:val="35"/>
              <w:rFonts w:hint="eastAsia"/>
              <w:color w:val="auto"/>
              <w:lang w:val="zh-CN"/>
            </w:rPr>
            <w:t>二、</w:t>
          </w:r>
          <w:r>
            <w:rPr>
              <w:rFonts w:asciiTheme="minorHAnsi" w:hAnsiTheme="minorHAnsi" w:eastAsiaTheme="minorEastAsia" w:cstheme="minorBidi"/>
              <w:bCs w:val="0"/>
              <w:color w:val="auto"/>
              <w:kern w:val="2"/>
              <w:sz w:val="21"/>
              <w:szCs w:val="22"/>
            </w:rPr>
            <w:tab/>
          </w:r>
          <w:r>
            <w:rPr>
              <w:rStyle w:val="35"/>
              <w:rFonts w:hint="eastAsia"/>
              <w:color w:val="auto"/>
              <w:lang w:val="zh-CN"/>
            </w:rPr>
            <w:t>评审程序</w:t>
          </w:r>
          <w:r>
            <w:rPr>
              <w:color w:val="auto"/>
            </w:rPr>
            <w:tab/>
          </w:r>
          <w:r>
            <w:rPr>
              <w:color w:val="auto"/>
            </w:rPr>
            <w:fldChar w:fldCharType="begin"/>
          </w:r>
          <w:r>
            <w:rPr>
              <w:color w:val="auto"/>
            </w:rPr>
            <w:instrText xml:space="preserve"> PAGEREF _Toc122527542 \h </w:instrText>
          </w:r>
          <w:r>
            <w:rPr>
              <w:color w:val="auto"/>
            </w:rPr>
            <w:fldChar w:fldCharType="separate"/>
          </w:r>
          <w:r>
            <w:rPr>
              <w:color w:val="auto"/>
            </w:rPr>
            <w:t>23</w:t>
          </w:r>
          <w:r>
            <w:rPr>
              <w:color w:val="auto"/>
            </w:rPr>
            <w:fldChar w:fldCharType="end"/>
          </w:r>
          <w:r>
            <w:rPr>
              <w:color w:val="auto"/>
            </w:rPr>
            <w:fldChar w:fldCharType="end"/>
          </w:r>
        </w:p>
        <w:p w14:paraId="009369A4">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"_Toc122527543" </w:instrText>
          </w:r>
          <w:r>
            <w:fldChar w:fldCharType="separate"/>
          </w:r>
          <w:r>
            <w:rPr>
              <w:rStyle w:val="35"/>
              <w:rFonts w:hint="eastAsia"/>
              <w:color w:val="auto"/>
              <w:lang w:val="zh-CN"/>
            </w:rPr>
            <w:t>三、</w:t>
          </w:r>
          <w:r>
            <w:rPr>
              <w:rFonts w:asciiTheme="minorHAnsi" w:hAnsiTheme="minorHAnsi" w:eastAsiaTheme="minorEastAsia" w:cstheme="minorBidi"/>
              <w:bCs w:val="0"/>
              <w:color w:val="auto"/>
              <w:kern w:val="2"/>
              <w:sz w:val="21"/>
              <w:szCs w:val="22"/>
            </w:rPr>
            <w:tab/>
          </w:r>
          <w:r>
            <w:rPr>
              <w:rStyle w:val="35"/>
              <w:rFonts w:hint="eastAsia"/>
              <w:color w:val="auto"/>
              <w:lang w:val="zh-CN"/>
            </w:rPr>
            <w:t>评审标准</w:t>
          </w:r>
          <w:r>
            <w:rPr>
              <w:color w:val="auto"/>
            </w:rPr>
            <w:tab/>
          </w:r>
          <w:r>
            <w:rPr>
              <w:color w:val="auto"/>
            </w:rPr>
            <w:fldChar w:fldCharType="begin"/>
          </w:r>
          <w:r>
            <w:rPr>
              <w:color w:val="auto"/>
            </w:rPr>
            <w:instrText xml:space="preserve"> PAGEREF _Toc122527543 \h </w:instrText>
          </w:r>
          <w:r>
            <w:rPr>
              <w:color w:val="auto"/>
            </w:rPr>
            <w:fldChar w:fldCharType="separate"/>
          </w:r>
          <w:r>
            <w:rPr>
              <w:color w:val="auto"/>
            </w:rPr>
            <w:t>27</w:t>
          </w:r>
          <w:r>
            <w:rPr>
              <w:color w:val="auto"/>
            </w:rPr>
            <w:fldChar w:fldCharType="end"/>
          </w:r>
          <w:r>
            <w:rPr>
              <w:color w:val="auto"/>
            </w:rPr>
            <w:fldChar w:fldCharType="end"/>
          </w:r>
        </w:p>
        <w:p w14:paraId="2C84D961">
          <w:pPr>
            <w:pStyle w:val="2"/>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"_Toc122527544" </w:instrText>
          </w:r>
          <w:r>
            <w:fldChar w:fldCharType="separate"/>
          </w:r>
          <w:r>
            <w:rPr>
              <w:rStyle w:val="35"/>
              <w:rFonts w:hint="eastAsia"/>
              <w:color w:val="auto"/>
            </w:rPr>
            <w:t>第五章</w:t>
          </w:r>
          <w:r>
            <w:rPr>
              <w:rFonts w:asciiTheme="minorHAnsi" w:hAnsiTheme="minorHAnsi" w:eastAsiaTheme="minorEastAsia" w:cstheme="minorBidi"/>
              <w:b w:val="0"/>
              <w:bCs w:val="0"/>
              <w:caps w:val="0"/>
              <w:kern w:val="2"/>
              <w:sz w:val="21"/>
              <w:szCs w:val="22"/>
            </w:rPr>
            <w:tab/>
          </w:r>
          <w:r>
            <w:rPr>
              <w:rStyle w:val="35"/>
              <w:rFonts w:hint="eastAsia"/>
              <w:color w:val="auto"/>
            </w:rPr>
            <w:t>合同文本格式（参考）</w:t>
          </w:r>
          <w:r>
            <w:tab/>
          </w:r>
          <w:r>
            <w:fldChar w:fldCharType="begin"/>
          </w:r>
          <w:r>
            <w:instrText xml:space="preserve"> PAGEREF _Toc122527544 \h </w:instrText>
          </w:r>
          <w:r>
            <w:fldChar w:fldCharType="separate"/>
          </w:r>
          <w:r>
            <w:t>30</w:t>
          </w:r>
          <w:r>
            <w:fldChar w:fldCharType="end"/>
          </w:r>
          <w:r>
            <w:fldChar w:fldCharType="end"/>
          </w:r>
        </w:p>
        <w:p w14:paraId="46905BBF">
          <w:pPr>
            <w:pStyle w:val="2"/>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"_Toc122527545" </w:instrText>
          </w:r>
          <w:r>
            <w:fldChar w:fldCharType="separate"/>
          </w:r>
          <w:r>
            <w:rPr>
              <w:rStyle w:val="35"/>
              <w:rFonts w:hint="eastAsia"/>
              <w:color w:val="auto"/>
            </w:rPr>
            <w:t>第六章</w:t>
          </w:r>
          <w:r>
            <w:rPr>
              <w:rFonts w:asciiTheme="minorHAnsi" w:hAnsiTheme="minorHAnsi" w:eastAsiaTheme="minorEastAsia" w:cstheme="minorBidi"/>
              <w:b w:val="0"/>
              <w:bCs w:val="0"/>
              <w:caps w:val="0"/>
              <w:kern w:val="2"/>
              <w:sz w:val="21"/>
              <w:szCs w:val="22"/>
            </w:rPr>
            <w:tab/>
          </w:r>
          <w:r>
            <w:rPr>
              <w:rStyle w:val="35"/>
              <w:rFonts w:hint="eastAsia"/>
              <w:color w:val="auto"/>
            </w:rPr>
            <w:t>响应文件格式（参考）</w:t>
          </w:r>
          <w:r>
            <w:tab/>
          </w:r>
          <w:r>
            <w:fldChar w:fldCharType="begin"/>
          </w:r>
          <w:r>
            <w:instrText xml:space="preserve"> PAGEREF _Toc122527545 \h </w:instrText>
          </w:r>
          <w:r>
            <w:fldChar w:fldCharType="separate"/>
          </w:r>
          <w:r>
            <w:t>35</w:t>
          </w:r>
          <w:r>
            <w:fldChar w:fldCharType="end"/>
          </w:r>
          <w:r>
            <w:fldChar w:fldCharType="end"/>
          </w:r>
        </w:p>
        <w:p w14:paraId="33FFD427">
          <w:pPr>
            <w:pStyle w:val="25"/>
            <w:tabs>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"_Toc122527546" </w:instrText>
          </w:r>
          <w:r>
            <w:fldChar w:fldCharType="separate"/>
          </w:r>
          <w:r>
            <w:rPr>
              <w:rStyle w:val="35"/>
              <w:rFonts w:hint="eastAsia"/>
              <w:color w:val="auto"/>
              <w:lang w:val="zh-CN"/>
            </w:rPr>
            <w:t>目</w:t>
          </w:r>
          <w:r>
            <w:rPr>
              <w:rStyle w:val="35"/>
              <w:color w:val="auto"/>
              <w:lang w:val="zh-CN"/>
            </w:rPr>
            <w:t xml:space="preserve">       </w:t>
          </w:r>
          <w:r>
            <w:rPr>
              <w:rStyle w:val="35"/>
              <w:rFonts w:hint="eastAsia"/>
              <w:color w:val="auto"/>
              <w:lang w:val="zh-CN"/>
            </w:rPr>
            <w:t>录</w:t>
          </w:r>
          <w:r>
            <w:rPr>
              <w:color w:val="auto"/>
            </w:rPr>
            <w:tab/>
          </w:r>
          <w:r>
            <w:rPr>
              <w:color w:val="auto"/>
            </w:rPr>
            <w:fldChar w:fldCharType="begin"/>
          </w:r>
          <w:r>
            <w:rPr>
              <w:color w:val="auto"/>
            </w:rPr>
            <w:instrText xml:space="preserve"> PAGEREF _Toc122527546 \h </w:instrText>
          </w:r>
          <w:r>
            <w:rPr>
              <w:color w:val="auto"/>
            </w:rPr>
            <w:fldChar w:fldCharType="separate"/>
          </w:r>
          <w:r>
            <w:rPr>
              <w:color w:val="auto"/>
            </w:rPr>
            <w:t>36</w:t>
          </w:r>
          <w:r>
            <w:rPr>
              <w:color w:val="auto"/>
            </w:rPr>
            <w:fldChar w:fldCharType="end"/>
          </w:r>
          <w:r>
            <w:rPr>
              <w:color w:val="auto"/>
            </w:rPr>
            <w:fldChar w:fldCharType="end"/>
          </w:r>
        </w:p>
        <w:p w14:paraId="5CCD7D83">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"_Toc122527547" </w:instrText>
          </w:r>
          <w:r>
            <w:fldChar w:fldCharType="separate"/>
          </w:r>
          <w:r>
            <w:rPr>
              <w:rStyle w:val="35"/>
              <w:rFonts w:hint="eastAsia"/>
              <w:color w:val="auto"/>
            </w:rPr>
            <w:t>一、</w:t>
          </w:r>
          <w:r>
            <w:rPr>
              <w:rFonts w:asciiTheme="minorHAnsi" w:hAnsiTheme="minorHAnsi" w:eastAsiaTheme="minorEastAsia" w:cstheme="minorBidi"/>
              <w:bCs w:val="0"/>
              <w:color w:val="auto"/>
              <w:kern w:val="2"/>
              <w:sz w:val="21"/>
              <w:szCs w:val="22"/>
            </w:rPr>
            <w:tab/>
          </w:r>
          <w:r>
            <w:rPr>
              <w:rStyle w:val="35"/>
              <w:rFonts w:hint="eastAsia"/>
              <w:color w:val="auto"/>
            </w:rPr>
            <w:t>资格性检查和符合性检查表</w:t>
          </w:r>
          <w:r>
            <w:rPr>
              <w:color w:val="auto"/>
            </w:rPr>
            <w:tab/>
          </w:r>
          <w:r>
            <w:rPr>
              <w:color w:val="auto"/>
            </w:rPr>
            <w:fldChar w:fldCharType="begin"/>
          </w:r>
          <w:r>
            <w:rPr>
              <w:color w:val="auto"/>
            </w:rPr>
            <w:instrText xml:space="preserve"> PAGEREF _Toc122527547 \h </w:instrText>
          </w:r>
          <w:r>
            <w:rPr>
              <w:color w:val="auto"/>
            </w:rPr>
            <w:fldChar w:fldCharType="separate"/>
          </w:r>
          <w:r>
            <w:rPr>
              <w:color w:val="auto"/>
            </w:rPr>
            <w:t>37</w:t>
          </w:r>
          <w:r>
            <w:rPr>
              <w:color w:val="auto"/>
            </w:rPr>
            <w:fldChar w:fldCharType="end"/>
          </w:r>
          <w:r>
            <w:rPr>
              <w:color w:val="auto"/>
            </w:rPr>
            <w:fldChar w:fldCharType="end"/>
          </w:r>
        </w:p>
        <w:p w14:paraId="6754CA23">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"_Toc122527548" </w:instrText>
          </w:r>
          <w:r>
            <w:fldChar w:fldCharType="separate"/>
          </w:r>
          <w:r>
            <w:rPr>
              <w:rStyle w:val="35"/>
              <w:rFonts w:hint="eastAsia"/>
              <w:color w:val="auto"/>
              <w:lang w:val="zh-CN"/>
            </w:rPr>
            <w:t>二、</w:t>
          </w:r>
          <w:r>
            <w:rPr>
              <w:rFonts w:asciiTheme="minorHAnsi" w:hAnsiTheme="minorHAnsi" w:eastAsiaTheme="minorEastAsia" w:cstheme="minorBidi"/>
              <w:bCs w:val="0"/>
              <w:color w:val="auto"/>
              <w:kern w:val="2"/>
              <w:sz w:val="21"/>
              <w:szCs w:val="22"/>
            </w:rPr>
            <w:tab/>
          </w:r>
          <w:r>
            <w:rPr>
              <w:rStyle w:val="35"/>
              <w:rFonts w:hint="eastAsia"/>
              <w:color w:val="auto"/>
              <w:lang w:val="zh-CN"/>
            </w:rPr>
            <w:t>具备</w:t>
          </w:r>
          <w:r>
            <w:rPr>
              <w:rStyle w:val="35"/>
              <w:rFonts w:hint="eastAsia"/>
              <w:color w:val="auto"/>
            </w:rPr>
            <w:t>《政府采购法》</w:t>
          </w:r>
          <w:r>
            <w:rPr>
              <w:rStyle w:val="35"/>
              <w:rFonts w:hint="eastAsia"/>
              <w:color w:val="auto"/>
              <w:lang w:val="zh-CN"/>
            </w:rPr>
            <w:t>第二十二条第一款规定的条件</w:t>
          </w:r>
          <w:r>
            <w:rPr>
              <w:rStyle w:val="35"/>
              <w:rFonts w:hint="eastAsia"/>
              <w:color w:val="auto"/>
            </w:rPr>
            <w:t>提供的材料</w:t>
          </w:r>
          <w:r>
            <w:rPr>
              <w:color w:val="auto"/>
            </w:rPr>
            <w:tab/>
          </w:r>
          <w:r>
            <w:rPr>
              <w:color w:val="auto"/>
            </w:rPr>
            <w:fldChar w:fldCharType="begin"/>
          </w:r>
          <w:r>
            <w:rPr>
              <w:color w:val="auto"/>
            </w:rPr>
            <w:instrText xml:space="preserve"> PAGEREF _Toc122527548 \h </w:instrText>
          </w:r>
          <w:r>
            <w:rPr>
              <w:color w:val="auto"/>
            </w:rPr>
            <w:fldChar w:fldCharType="separate"/>
          </w:r>
          <w:r>
            <w:rPr>
              <w:color w:val="auto"/>
            </w:rPr>
            <w:t>38</w:t>
          </w:r>
          <w:r>
            <w:rPr>
              <w:color w:val="auto"/>
            </w:rPr>
            <w:fldChar w:fldCharType="end"/>
          </w:r>
          <w:r>
            <w:rPr>
              <w:color w:val="auto"/>
            </w:rPr>
            <w:fldChar w:fldCharType="end"/>
          </w:r>
        </w:p>
        <w:p w14:paraId="2C26F811">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"_Toc122527549" </w:instrText>
          </w:r>
          <w:r>
            <w:fldChar w:fldCharType="separate"/>
          </w:r>
          <w:r>
            <w:rPr>
              <w:rStyle w:val="35"/>
              <w:rFonts w:hint="eastAsia"/>
              <w:color w:val="auto"/>
            </w:rPr>
            <w:t>三、</w:t>
          </w:r>
          <w:r>
            <w:rPr>
              <w:rFonts w:asciiTheme="minorHAnsi" w:hAnsiTheme="minorHAnsi" w:eastAsiaTheme="minorEastAsia" w:cstheme="minorBidi"/>
              <w:bCs w:val="0"/>
              <w:color w:val="auto"/>
              <w:kern w:val="2"/>
              <w:sz w:val="21"/>
              <w:szCs w:val="22"/>
            </w:rPr>
            <w:tab/>
          </w:r>
          <w:r>
            <w:rPr>
              <w:rStyle w:val="35"/>
              <w:rFonts w:hint="eastAsia"/>
              <w:color w:val="auto"/>
            </w:rPr>
            <w:t>未与有关系的其它供应商参加同一合同采购活动的声明函</w:t>
          </w:r>
          <w:r>
            <w:rPr>
              <w:color w:val="auto"/>
            </w:rPr>
            <w:tab/>
          </w:r>
          <w:r>
            <w:rPr>
              <w:color w:val="auto"/>
            </w:rPr>
            <w:fldChar w:fldCharType="begin"/>
          </w:r>
          <w:r>
            <w:rPr>
              <w:color w:val="auto"/>
            </w:rPr>
            <w:instrText xml:space="preserve"> PAGEREF _Toc122527549 \h </w:instrText>
          </w:r>
          <w:r>
            <w:rPr>
              <w:color w:val="auto"/>
            </w:rPr>
            <w:fldChar w:fldCharType="separate"/>
          </w:r>
          <w:r>
            <w:rPr>
              <w:color w:val="auto"/>
            </w:rPr>
            <w:t>43</w:t>
          </w:r>
          <w:r>
            <w:rPr>
              <w:color w:val="auto"/>
            </w:rPr>
            <w:fldChar w:fldCharType="end"/>
          </w:r>
          <w:r>
            <w:rPr>
              <w:color w:val="auto"/>
            </w:rPr>
            <w:fldChar w:fldCharType="end"/>
          </w:r>
        </w:p>
        <w:p w14:paraId="2DECDE8B">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"_Toc122527550" </w:instrText>
          </w:r>
          <w:r>
            <w:fldChar w:fldCharType="separate"/>
          </w:r>
          <w:r>
            <w:rPr>
              <w:rStyle w:val="35"/>
              <w:rFonts w:hint="eastAsia"/>
              <w:color w:val="auto"/>
            </w:rPr>
            <w:t>四、</w:t>
          </w:r>
          <w:r>
            <w:rPr>
              <w:rFonts w:asciiTheme="minorHAnsi" w:hAnsiTheme="minorHAnsi" w:eastAsiaTheme="minorEastAsia" w:cstheme="minorBidi"/>
              <w:bCs w:val="0"/>
              <w:color w:val="auto"/>
              <w:kern w:val="2"/>
              <w:sz w:val="21"/>
              <w:szCs w:val="22"/>
            </w:rPr>
            <w:tab/>
          </w:r>
          <w:r>
            <w:rPr>
              <w:rStyle w:val="35"/>
              <w:rFonts w:hint="eastAsia"/>
              <w:color w:val="auto"/>
            </w:rPr>
            <w:t>未为本项目提供相关服务的声明函</w:t>
          </w:r>
          <w:r>
            <w:rPr>
              <w:color w:val="auto"/>
            </w:rPr>
            <w:tab/>
          </w:r>
          <w:r>
            <w:rPr>
              <w:color w:val="auto"/>
            </w:rPr>
            <w:fldChar w:fldCharType="begin"/>
          </w:r>
          <w:r>
            <w:rPr>
              <w:color w:val="auto"/>
            </w:rPr>
            <w:instrText xml:space="preserve"> PAGEREF _Toc122527550 \h </w:instrText>
          </w:r>
          <w:r>
            <w:rPr>
              <w:color w:val="auto"/>
            </w:rPr>
            <w:fldChar w:fldCharType="separate"/>
          </w:r>
          <w:r>
            <w:rPr>
              <w:color w:val="auto"/>
            </w:rPr>
            <w:t>44</w:t>
          </w:r>
          <w:r>
            <w:rPr>
              <w:color w:val="auto"/>
            </w:rPr>
            <w:fldChar w:fldCharType="end"/>
          </w:r>
          <w:r>
            <w:rPr>
              <w:color w:val="auto"/>
            </w:rPr>
            <w:fldChar w:fldCharType="end"/>
          </w:r>
        </w:p>
        <w:p w14:paraId="2D6D2E8D">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"_Toc122527551" </w:instrText>
          </w:r>
          <w:r>
            <w:fldChar w:fldCharType="separate"/>
          </w:r>
          <w:r>
            <w:rPr>
              <w:rStyle w:val="35"/>
              <w:rFonts w:hint="eastAsia" w:asciiTheme="majorEastAsia" w:hAnsiTheme="majorEastAsia"/>
              <w:color w:val="auto"/>
            </w:rPr>
            <w:t>五、</w:t>
          </w:r>
          <w:r>
            <w:rPr>
              <w:rFonts w:asciiTheme="minorHAnsi" w:hAnsiTheme="minorHAnsi" w:eastAsiaTheme="minorEastAsia" w:cstheme="minorBidi"/>
              <w:bCs w:val="0"/>
              <w:color w:val="auto"/>
              <w:kern w:val="2"/>
              <w:sz w:val="21"/>
              <w:szCs w:val="22"/>
            </w:rPr>
            <w:tab/>
          </w:r>
          <w:r>
            <w:rPr>
              <w:rStyle w:val="35"/>
              <w:rFonts w:hint="eastAsia"/>
              <w:color w:val="auto"/>
            </w:rPr>
            <w:t>未被列入违法失信行为记录名单的声明函</w:t>
          </w:r>
          <w:r>
            <w:rPr>
              <w:color w:val="auto"/>
            </w:rPr>
            <w:tab/>
          </w:r>
          <w:r>
            <w:rPr>
              <w:color w:val="auto"/>
            </w:rPr>
            <w:fldChar w:fldCharType="begin"/>
          </w:r>
          <w:r>
            <w:rPr>
              <w:color w:val="auto"/>
            </w:rPr>
            <w:instrText xml:space="preserve"> PAGEREF _Toc122527551 \h </w:instrText>
          </w:r>
          <w:r>
            <w:rPr>
              <w:color w:val="auto"/>
            </w:rPr>
            <w:fldChar w:fldCharType="separate"/>
          </w:r>
          <w:r>
            <w:rPr>
              <w:color w:val="auto"/>
            </w:rPr>
            <w:t>45</w:t>
          </w:r>
          <w:r>
            <w:rPr>
              <w:color w:val="auto"/>
            </w:rPr>
            <w:fldChar w:fldCharType="end"/>
          </w:r>
          <w:r>
            <w:rPr>
              <w:color w:val="auto"/>
            </w:rPr>
            <w:fldChar w:fldCharType="end"/>
          </w:r>
        </w:p>
        <w:p w14:paraId="5C14FA36">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"_Toc122527552" </w:instrText>
          </w:r>
          <w:r>
            <w:fldChar w:fldCharType="separate"/>
          </w:r>
          <w:r>
            <w:rPr>
              <w:rStyle w:val="35"/>
              <w:rFonts w:hint="eastAsia"/>
              <w:color w:val="auto"/>
            </w:rPr>
            <w:t>六、</w:t>
          </w:r>
          <w:r>
            <w:rPr>
              <w:rFonts w:asciiTheme="minorHAnsi" w:hAnsiTheme="minorHAnsi" w:eastAsiaTheme="minorEastAsia" w:cstheme="minorBidi"/>
              <w:bCs w:val="0"/>
              <w:color w:val="auto"/>
              <w:kern w:val="2"/>
              <w:sz w:val="21"/>
              <w:szCs w:val="22"/>
            </w:rPr>
            <w:tab/>
          </w:r>
          <w:r>
            <w:rPr>
              <w:rStyle w:val="35"/>
              <w:rFonts w:hint="eastAsia"/>
              <w:color w:val="auto"/>
            </w:rPr>
            <w:t>落实政府采购政策应提供的资料</w:t>
          </w:r>
          <w:r>
            <w:rPr>
              <w:color w:val="auto"/>
            </w:rPr>
            <w:tab/>
          </w:r>
          <w:r>
            <w:rPr>
              <w:color w:val="auto"/>
            </w:rPr>
            <w:fldChar w:fldCharType="begin"/>
          </w:r>
          <w:r>
            <w:rPr>
              <w:color w:val="auto"/>
            </w:rPr>
            <w:instrText xml:space="preserve"> PAGEREF _Toc122527552 \h </w:instrText>
          </w:r>
          <w:r>
            <w:rPr>
              <w:color w:val="auto"/>
            </w:rPr>
            <w:fldChar w:fldCharType="separate"/>
          </w:r>
          <w:r>
            <w:rPr>
              <w:color w:val="auto"/>
            </w:rPr>
            <w:t>46</w:t>
          </w:r>
          <w:r>
            <w:rPr>
              <w:color w:val="auto"/>
            </w:rPr>
            <w:fldChar w:fldCharType="end"/>
          </w:r>
          <w:r>
            <w:rPr>
              <w:color w:val="auto"/>
            </w:rPr>
            <w:fldChar w:fldCharType="end"/>
          </w:r>
        </w:p>
        <w:p w14:paraId="017AA527">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"_Toc122527553" </w:instrText>
          </w:r>
          <w:r>
            <w:fldChar w:fldCharType="separate"/>
          </w:r>
          <w:r>
            <w:rPr>
              <w:rStyle w:val="35"/>
              <w:rFonts w:hint="eastAsia"/>
              <w:color w:val="auto"/>
              <w:lang w:val="zh-CN"/>
            </w:rPr>
            <w:t>七、</w:t>
          </w:r>
          <w:r>
            <w:rPr>
              <w:rFonts w:asciiTheme="minorHAnsi" w:hAnsiTheme="minorHAnsi" w:eastAsiaTheme="minorEastAsia" w:cstheme="minorBidi"/>
              <w:bCs w:val="0"/>
              <w:color w:val="auto"/>
              <w:kern w:val="2"/>
              <w:sz w:val="21"/>
              <w:szCs w:val="22"/>
            </w:rPr>
            <w:tab/>
          </w:r>
          <w:r>
            <w:rPr>
              <w:rStyle w:val="35"/>
              <w:rFonts w:hint="eastAsia"/>
              <w:color w:val="auto"/>
            </w:rPr>
            <w:t>特定</w:t>
          </w:r>
          <w:r>
            <w:rPr>
              <w:rStyle w:val="35"/>
              <w:rFonts w:hint="eastAsia"/>
              <w:color w:val="auto"/>
              <w:lang w:val="zh-CN"/>
            </w:rPr>
            <w:t>资格要求的证明材料</w:t>
          </w:r>
          <w:r>
            <w:rPr>
              <w:color w:val="auto"/>
            </w:rPr>
            <w:tab/>
          </w:r>
          <w:r>
            <w:rPr>
              <w:color w:val="auto"/>
            </w:rPr>
            <w:fldChar w:fldCharType="begin"/>
          </w:r>
          <w:r>
            <w:rPr>
              <w:color w:val="auto"/>
            </w:rPr>
            <w:instrText xml:space="preserve"> PAGEREF _Toc122527553 \h </w:instrText>
          </w:r>
          <w:r>
            <w:rPr>
              <w:color w:val="auto"/>
            </w:rPr>
            <w:fldChar w:fldCharType="separate"/>
          </w:r>
          <w:r>
            <w:rPr>
              <w:color w:val="auto"/>
            </w:rPr>
            <w:t>55</w:t>
          </w:r>
          <w:r>
            <w:rPr>
              <w:color w:val="auto"/>
            </w:rPr>
            <w:fldChar w:fldCharType="end"/>
          </w:r>
          <w:r>
            <w:rPr>
              <w:color w:val="auto"/>
            </w:rPr>
            <w:fldChar w:fldCharType="end"/>
          </w:r>
        </w:p>
        <w:p w14:paraId="48180D6D">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"_Toc122527554" </w:instrText>
          </w:r>
          <w:r>
            <w:fldChar w:fldCharType="separate"/>
          </w:r>
          <w:r>
            <w:rPr>
              <w:rStyle w:val="35"/>
              <w:rFonts w:hint="eastAsia"/>
              <w:color w:val="auto"/>
              <w:lang w:val="zh-CN"/>
            </w:rPr>
            <w:t>八、</w:t>
          </w:r>
          <w:r>
            <w:rPr>
              <w:rFonts w:asciiTheme="minorHAnsi" w:hAnsiTheme="minorHAnsi" w:eastAsiaTheme="minorEastAsia" w:cstheme="minorBidi"/>
              <w:bCs w:val="0"/>
              <w:color w:val="auto"/>
              <w:kern w:val="2"/>
              <w:sz w:val="21"/>
              <w:szCs w:val="22"/>
            </w:rPr>
            <w:tab/>
          </w:r>
          <w:r>
            <w:rPr>
              <w:rStyle w:val="35"/>
              <w:rFonts w:hint="eastAsia" w:cs="Courier New"/>
              <w:color w:val="auto"/>
            </w:rPr>
            <w:t>供应商认为需要的</w:t>
          </w:r>
          <w:r>
            <w:rPr>
              <w:rStyle w:val="35"/>
              <w:rFonts w:hint="eastAsia"/>
              <w:color w:val="auto"/>
              <w:lang w:val="zh-CN"/>
            </w:rPr>
            <w:t>其它</w:t>
          </w:r>
          <w:r>
            <w:rPr>
              <w:rStyle w:val="35"/>
              <w:rFonts w:hint="eastAsia" w:cs="Courier New"/>
              <w:color w:val="auto"/>
            </w:rPr>
            <w:t>资格证明材料</w:t>
          </w:r>
          <w:r>
            <w:rPr>
              <w:color w:val="auto"/>
            </w:rPr>
            <w:tab/>
          </w:r>
          <w:r>
            <w:rPr>
              <w:color w:val="auto"/>
            </w:rPr>
            <w:fldChar w:fldCharType="begin"/>
          </w:r>
          <w:r>
            <w:rPr>
              <w:color w:val="auto"/>
            </w:rPr>
            <w:instrText xml:space="preserve"> PAGEREF _Toc122527554 \h </w:instrText>
          </w:r>
          <w:r>
            <w:rPr>
              <w:color w:val="auto"/>
            </w:rPr>
            <w:fldChar w:fldCharType="separate"/>
          </w:r>
          <w:r>
            <w:rPr>
              <w:color w:val="auto"/>
            </w:rPr>
            <w:t>56</w:t>
          </w:r>
          <w:r>
            <w:rPr>
              <w:color w:val="auto"/>
            </w:rPr>
            <w:fldChar w:fldCharType="end"/>
          </w:r>
          <w:r>
            <w:rPr>
              <w:color w:val="auto"/>
            </w:rPr>
            <w:fldChar w:fldCharType="end"/>
          </w:r>
        </w:p>
        <w:p w14:paraId="1AD69C46">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"_Toc122527555" </w:instrText>
          </w:r>
          <w:r>
            <w:fldChar w:fldCharType="separate"/>
          </w:r>
          <w:r>
            <w:rPr>
              <w:rStyle w:val="35"/>
              <w:rFonts w:hint="eastAsia"/>
              <w:color w:val="auto"/>
            </w:rPr>
            <w:t>九、</w:t>
          </w:r>
          <w:r>
            <w:rPr>
              <w:rFonts w:asciiTheme="minorHAnsi" w:hAnsiTheme="minorHAnsi" w:eastAsiaTheme="minorEastAsia" w:cstheme="minorBidi"/>
              <w:bCs w:val="0"/>
              <w:color w:val="auto"/>
              <w:kern w:val="2"/>
              <w:sz w:val="21"/>
              <w:szCs w:val="22"/>
            </w:rPr>
            <w:tab/>
          </w:r>
          <w:r>
            <w:rPr>
              <w:rStyle w:val="35"/>
              <w:rFonts w:hint="eastAsia"/>
              <w:color w:val="auto"/>
            </w:rPr>
            <w:t>商务要求响应偏离说明表</w:t>
          </w:r>
          <w:r>
            <w:rPr>
              <w:color w:val="auto"/>
            </w:rPr>
            <w:tab/>
          </w:r>
          <w:r>
            <w:rPr>
              <w:color w:val="auto"/>
            </w:rPr>
            <w:fldChar w:fldCharType="begin"/>
          </w:r>
          <w:r>
            <w:rPr>
              <w:color w:val="auto"/>
            </w:rPr>
            <w:instrText xml:space="preserve"> PAGEREF _Toc122527555 \h </w:instrText>
          </w:r>
          <w:r>
            <w:rPr>
              <w:color w:val="auto"/>
            </w:rPr>
            <w:fldChar w:fldCharType="separate"/>
          </w:r>
          <w:r>
            <w:rPr>
              <w:color w:val="auto"/>
            </w:rPr>
            <w:t>57</w:t>
          </w:r>
          <w:r>
            <w:rPr>
              <w:color w:val="auto"/>
            </w:rPr>
            <w:fldChar w:fldCharType="end"/>
          </w:r>
          <w:r>
            <w:rPr>
              <w:color w:val="auto"/>
            </w:rPr>
            <w:fldChar w:fldCharType="end"/>
          </w:r>
        </w:p>
        <w:p w14:paraId="174080E9">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"_Toc122527556" </w:instrText>
          </w:r>
          <w:r>
            <w:fldChar w:fldCharType="separate"/>
          </w:r>
          <w:r>
            <w:rPr>
              <w:rStyle w:val="35"/>
              <w:rFonts w:hint="eastAsia"/>
              <w:color w:val="auto"/>
            </w:rPr>
            <w:t>十、</w:t>
          </w:r>
          <w:r>
            <w:rPr>
              <w:rFonts w:asciiTheme="minorHAnsi" w:hAnsiTheme="minorHAnsi" w:eastAsiaTheme="minorEastAsia" w:cstheme="minorBidi"/>
              <w:bCs w:val="0"/>
              <w:color w:val="auto"/>
              <w:kern w:val="2"/>
              <w:sz w:val="21"/>
              <w:szCs w:val="22"/>
            </w:rPr>
            <w:tab/>
          </w:r>
          <w:r>
            <w:rPr>
              <w:rStyle w:val="35"/>
              <w:rFonts w:hint="eastAsia"/>
              <w:color w:val="auto"/>
            </w:rPr>
            <w:t>技术要求响应偏离说明表</w:t>
          </w:r>
          <w:r>
            <w:rPr>
              <w:color w:val="auto"/>
            </w:rPr>
            <w:tab/>
          </w:r>
          <w:r>
            <w:rPr>
              <w:color w:val="auto"/>
            </w:rPr>
            <w:fldChar w:fldCharType="begin"/>
          </w:r>
          <w:r>
            <w:rPr>
              <w:color w:val="auto"/>
            </w:rPr>
            <w:instrText xml:space="preserve"> PAGEREF _Toc122527556 \h </w:instrText>
          </w:r>
          <w:r>
            <w:rPr>
              <w:color w:val="auto"/>
            </w:rPr>
            <w:fldChar w:fldCharType="separate"/>
          </w:r>
          <w:r>
            <w:rPr>
              <w:color w:val="auto"/>
            </w:rPr>
            <w:t>58</w:t>
          </w:r>
          <w:r>
            <w:rPr>
              <w:color w:val="auto"/>
            </w:rPr>
            <w:fldChar w:fldCharType="end"/>
          </w:r>
          <w:r>
            <w:rPr>
              <w:color w:val="auto"/>
            </w:rPr>
            <w:fldChar w:fldCharType="end"/>
          </w:r>
        </w:p>
        <w:p w14:paraId="0EA1C5C9">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"_Toc122527557" </w:instrText>
          </w:r>
          <w:r>
            <w:fldChar w:fldCharType="separate"/>
          </w:r>
          <w:r>
            <w:rPr>
              <w:rStyle w:val="35"/>
              <w:rFonts w:hint="eastAsia"/>
              <w:color w:val="auto"/>
            </w:rPr>
            <w:t>十一、</w:t>
          </w:r>
          <w:r>
            <w:rPr>
              <w:rFonts w:asciiTheme="minorHAnsi" w:hAnsiTheme="minorHAnsi" w:eastAsiaTheme="minorEastAsia" w:cstheme="minorBidi"/>
              <w:bCs w:val="0"/>
              <w:color w:val="auto"/>
              <w:kern w:val="2"/>
              <w:sz w:val="21"/>
              <w:szCs w:val="22"/>
            </w:rPr>
            <w:tab/>
          </w:r>
          <w:r>
            <w:rPr>
              <w:rStyle w:val="35"/>
              <w:rFonts w:hint="eastAsia"/>
              <w:color w:val="auto"/>
            </w:rPr>
            <w:t>商务评分对照表</w:t>
          </w:r>
          <w:r>
            <w:rPr>
              <w:color w:val="auto"/>
            </w:rPr>
            <w:tab/>
          </w:r>
          <w:r>
            <w:rPr>
              <w:color w:val="auto"/>
            </w:rPr>
            <w:fldChar w:fldCharType="begin"/>
          </w:r>
          <w:r>
            <w:rPr>
              <w:color w:val="auto"/>
            </w:rPr>
            <w:instrText xml:space="preserve"> PAGEREF _Toc122527557 \h </w:instrText>
          </w:r>
          <w:r>
            <w:rPr>
              <w:color w:val="auto"/>
            </w:rPr>
            <w:fldChar w:fldCharType="separate"/>
          </w:r>
          <w:r>
            <w:rPr>
              <w:color w:val="auto"/>
            </w:rPr>
            <w:t>59</w:t>
          </w:r>
          <w:r>
            <w:rPr>
              <w:color w:val="auto"/>
            </w:rPr>
            <w:fldChar w:fldCharType="end"/>
          </w:r>
          <w:r>
            <w:rPr>
              <w:color w:val="auto"/>
            </w:rPr>
            <w:fldChar w:fldCharType="end"/>
          </w:r>
        </w:p>
        <w:p w14:paraId="06C41BDA">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"_Toc122527558" </w:instrText>
          </w:r>
          <w:r>
            <w:fldChar w:fldCharType="separate"/>
          </w:r>
          <w:r>
            <w:rPr>
              <w:rStyle w:val="35"/>
              <w:rFonts w:hint="eastAsia"/>
              <w:color w:val="auto"/>
            </w:rPr>
            <w:t>十二、</w:t>
          </w:r>
          <w:r>
            <w:rPr>
              <w:rFonts w:asciiTheme="minorHAnsi" w:hAnsiTheme="minorHAnsi" w:eastAsiaTheme="minorEastAsia" w:cstheme="minorBidi"/>
              <w:bCs w:val="0"/>
              <w:color w:val="auto"/>
              <w:kern w:val="2"/>
              <w:sz w:val="21"/>
              <w:szCs w:val="22"/>
            </w:rPr>
            <w:tab/>
          </w:r>
          <w:r>
            <w:rPr>
              <w:rStyle w:val="35"/>
              <w:rFonts w:hint="eastAsia"/>
              <w:color w:val="auto"/>
            </w:rPr>
            <w:t>技术评分对照表</w:t>
          </w:r>
          <w:r>
            <w:rPr>
              <w:color w:val="auto"/>
            </w:rPr>
            <w:tab/>
          </w:r>
          <w:r>
            <w:rPr>
              <w:color w:val="auto"/>
            </w:rPr>
            <w:fldChar w:fldCharType="begin"/>
          </w:r>
          <w:r>
            <w:rPr>
              <w:color w:val="auto"/>
            </w:rPr>
            <w:instrText xml:space="preserve"> PAGEREF _Toc122527558 \h </w:instrText>
          </w:r>
          <w:r>
            <w:rPr>
              <w:color w:val="auto"/>
            </w:rPr>
            <w:fldChar w:fldCharType="separate"/>
          </w:r>
          <w:r>
            <w:rPr>
              <w:color w:val="auto"/>
            </w:rPr>
            <w:t>60</w:t>
          </w:r>
          <w:r>
            <w:rPr>
              <w:color w:val="auto"/>
            </w:rPr>
            <w:fldChar w:fldCharType="end"/>
          </w:r>
          <w:r>
            <w:rPr>
              <w:color w:val="auto"/>
            </w:rPr>
            <w:fldChar w:fldCharType="end"/>
          </w:r>
        </w:p>
        <w:p w14:paraId="4BC228DF">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"_Toc122527559" </w:instrText>
          </w:r>
          <w:r>
            <w:fldChar w:fldCharType="separate"/>
          </w:r>
          <w:r>
            <w:rPr>
              <w:rStyle w:val="35"/>
              <w:rFonts w:hint="eastAsia"/>
              <w:color w:val="auto"/>
            </w:rPr>
            <w:t>十三、</w:t>
          </w:r>
          <w:r>
            <w:rPr>
              <w:rFonts w:asciiTheme="minorHAnsi" w:hAnsiTheme="minorHAnsi" w:eastAsiaTheme="minorEastAsia" w:cstheme="minorBidi"/>
              <w:bCs w:val="0"/>
              <w:color w:val="auto"/>
              <w:kern w:val="2"/>
              <w:sz w:val="21"/>
              <w:szCs w:val="22"/>
            </w:rPr>
            <w:tab/>
          </w:r>
          <w:r>
            <w:rPr>
              <w:rStyle w:val="35"/>
              <w:rFonts w:hint="eastAsia"/>
              <w:color w:val="auto"/>
            </w:rPr>
            <w:t>磋商书</w:t>
          </w:r>
          <w:r>
            <w:rPr>
              <w:color w:val="auto"/>
            </w:rPr>
            <w:tab/>
          </w:r>
          <w:r>
            <w:rPr>
              <w:color w:val="auto"/>
            </w:rPr>
            <w:fldChar w:fldCharType="begin"/>
          </w:r>
          <w:r>
            <w:rPr>
              <w:color w:val="auto"/>
            </w:rPr>
            <w:instrText xml:space="preserve"> PAGEREF _Toc122527559 \h </w:instrText>
          </w:r>
          <w:r>
            <w:rPr>
              <w:color w:val="auto"/>
            </w:rPr>
            <w:fldChar w:fldCharType="separate"/>
          </w:r>
          <w:r>
            <w:rPr>
              <w:color w:val="auto"/>
            </w:rPr>
            <w:t>61</w:t>
          </w:r>
          <w:r>
            <w:rPr>
              <w:color w:val="auto"/>
            </w:rPr>
            <w:fldChar w:fldCharType="end"/>
          </w:r>
          <w:r>
            <w:rPr>
              <w:color w:val="auto"/>
            </w:rPr>
            <w:fldChar w:fldCharType="end"/>
          </w:r>
        </w:p>
        <w:p w14:paraId="6427F374">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"_Toc122527560" </w:instrText>
          </w:r>
          <w:r>
            <w:fldChar w:fldCharType="separate"/>
          </w:r>
          <w:r>
            <w:rPr>
              <w:rStyle w:val="35"/>
              <w:rFonts w:hint="eastAsia"/>
              <w:color w:val="auto"/>
            </w:rPr>
            <w:t>十四、</w:t>
          </w:r>
          <w:r>
            <w:rPr>
              <w:rFonts w:asciiTheme="minorHAnsi" w:hAnsiTheme="minorHAnsi" w:eastAsiaTheme="minorEastAsia" w:cstheme="minorBidi"/>
              <w:bCs w:val="0"/>
              <w:color w:val="auto"/>
              <w:kern w:val="2"/>
              <w:sz w:val="21"/>
              <w:szCs w:val="22"/>
            </w:rPr>
            <w:tab/>
          </w:r>
          <w:r>
            <w:rPr>
              <w:rStyle w:val="35"/>
              <w:rFonts w:hint="eastAsia"/>
              <w:color w:val="auto"/>
            </w:rPr>
            <w:t>磋商报价表</w:t>
          </w:r>
          <w:r>
            <w:rPr>
              <w:color w:val="auto"/>
            </w:rPr>
            <w:tab/>
          </w:r>
          <w:r>
            <w:rPr>
              <w:color w:val="auto"/>
            </w:rPr>
            <w:fldChar w:fldCharType="begin"/>
          </w:r>
          <w:r>
            <w:rPr>
              <w:color w:val="auto"/>
            </w:rPr>
            <w:instrText xml:space="preserve"> PAGEREF _Toc122527560 \h </w:instrText>
          </w:r>
          <w:r>
            <w:rPr>
              <w:color w:val="auto"/>
            </w:rPr>
            <w:fldChar w:fldCharType="separate"/>
          </w:r>
          <w:r>
            <w:rPr>
              <w:color w:val="auto"/>
            </w:rPr>
            <w:t>62</w:t>
          </w:r>
          <w:r>
            <w:rPr>
              <w:color w:val="auto"/>
            </w:rPr>
            <w:fldChar w:fldCharType="end"/>
          </w:r>
          <w:r>
            <w:rPr>
              <w:color w:val="auto"/>
            </w:rPr>
            <w:fldChar w:fldCharType="end"/>
          </w:r>
        </w:p>
        <w:p w14:paraId="062CE6FF">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"_Toc122527561" </w:instrText>
          </w:r>
          <w:r>
            <w:fldChar w:fldCharType="separate"/>
          </w:r>
          <w:r>
            <w:rPr>
              <w:rStyle w:val="35"/>
              <w:rFonts w:hint="eastAsia" w:asciiTheme="majorEastAsia" w:hAnsiTheme="majorEastAsia"/>
              <w:color w:val="auto"/>
            </w:rPr>
            <w:t>一、</w:t>
          </w:r>
          <w:r>
            <w:rPr>
              <w:rFonts w:asciiTheme="minorHAnsi" w:hAnsiTheme="minorHAnsi" w:eastAsiaTheme="minorEastAsia" w:cstheme="minorBidi"/>
              <w:bCs w:val="0"/>
              <w:color w:val="auto"/>
              <w:kern w:val="2"/>
              <w:sz w:val="21"/>
              <w:szCs w:val="22"/>
            </w:rPr>
            <w:tab/>
          </w:r>
          <w:r>
            <w:rPr>
              <w:rStyle w:val="35"/>
              <w:rFonts w:hint="eastAsia" w:asciiTheme="majorEastAsia" w:hAnsiTheme="majorEastAsia"/>
              <w:color w:val="auto"/>
            </w:rPr>
            <w:t>磋商报价明细表</w:t>
          </w:r>
          <w:r>
            <w:rPr>
              <w:color w:val="auto"/>
            </w:rPr>
            <w:tab/>
          </w:r>
          <w:r>
            <w:rPr>
              <w:color w:val="auto"/>
            </w:rPr>
            <w:fldChar w:fldCharType="begin"/>
          </w:r>
          <w:r>
            <w:rPr>
              <w:color w:val="auto"/>
            </w:rPr>
            <w:instrText xml:space="preserve"> PAGEREF _Toc122527561 \h </w:instrText>
          </w:r>
          <w:r>
            <w:rPr>
              <w:color w:val="auto"/>
            </w:rPr>
            <w:fldChar w:fldCharType="separate"/>
          </w:r>
          <w:r>
            <w:rPr>
              <w:color w:val="auto"/>
            </w:rPr>
            <w:t>62</w:t>
          </w:r>
          <w:r>
            <w:rPr>
              <w:color w:val="auto"/>
            </w:rPr>
            <w:fldChar w:fldCharType="end"/>
          </w:r>
          <w:r>
            <w:rPr>
              <w:color w:val="auto"/>
            </w:rPr>
            <w:fldChar w:fldCharType="end"/>
          </w:r>
        </w:p>
        <w:p w14:paraId="6C2EB566">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"_Toc122527562" </w:instrText>
          </w:r>
          <w:r>
            <w:fldChar w:fldCharType="separate"/>
          </w:r>
          <w:r>
            <w:rPr>
              <w:rStyle w:val="35"/>
              <w:rFonts w:hint="eastAsia"/>
              <w:color w:val="auto"/>
            </w:rPr>
            <w:t>十五、</w:t>
          </w:r>
          <w:r>
            <w:rPr>
              <w:rFonts w:asciiTheme="minorHAnsi" w:hAnsiTheme="minorHAnsi" w:eastAsiaTheme="minorEastAsia" w:cstheme="minorBidi"/>
              <w:bCs w:val="0"/>
              <w:color w:val="auto"/>
              <w:kern w:val="2"/>
              <w:sz w:val="21"/>
              <w:szCs w:val="22"/>
            </w:rPr>
            <w:tab/>
          </w:r>
          <w:r>
            <w:rPr>
              <w:rStyle w:val="35"/>
              <w:rFonts w:hint="eastAsia"/>
              <w:color w:val="auto"/>
            </w:rPr>
            <w:t>法定代表人身份证明</w:t>
          </w:r>
          <w:r>
            <w:rPr>
              <w:color w:val="auto"/>
            </w:rPr>
            <w:tab/>
          </w:r>
          <w:r>
            <w:rPr>
              <w:color w:val="auto"/>
            </w:rPr>
            <w:fldChar w:fldCharType="begin"/>
          </w:r>
          <w:r>
            <w:rPr>
              <w:color w:val="auto"/>
            </w:rPr>
            <w:instrText xml:space="preserve"> PAGEREF _Toc122527562 \h </w:instrText>
          </w:r>
          <w:r>
            <w:rPr>
              <w:color w:val="auto"/>
            </w:rPr>
            <w:fldChar w:fldCharType="separate"/>
          </w:r>
          <w:r>
            <w:rPr>
              <w:color w:val="auto"/>
            </w:rPr>
            <w:t>63</w:t>
          </w:r>
          <w:r>
            <w:rPr>
              <w:color w:val="auto"/>
            </w:rPr>
            <w:fldChar w:fldCharType="end"/>
          </w:r>
          <w:r>
            <w:rPr>
              <w:color w:val="auto"/>
            </w:rPr>
            <w:fldChar w:fldCharType="end"/>
          </w:r>
        </w:p>
        <w:p w14:paraId="28D03989">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"_Toc122527563" </w:instrText>
          </w:r>
          <w:r>
            <w:fldChar w:fldCharType="separate"/>
          </w:r>
          <w:r>
            <w:rPr>
              <w:rStyle w:val="35"/>
              <w:rFonts w:hint="eastAsia"/>
              <w:color w:val="auto"/>
            </w:rPr>
            <w:t>十六、</w:t>
          </w:r>
          <w:r>
            <w:rPr>
              <w:rFonts w:asciiTheme="minorHAnsi" w:hAnsiTheme="minorHAnsi" w:eastAsiaTheme="minorEastAsia" w:cstheme="minorBidi"/>
              <w:bCs w:val="0"/>
              <w:color w:val="auto"/>
              <w:kern w:val="2"/>
              <w:sz w:val="21"/>
              <w:szCs w:val="22"/>
            </w:rPr>
            <w:tab/>
          </w:r>
          <w:r>
            <w:rPr>
              <w:rStyle w:val="35"/>
              <w:rFonts w:hint="eastAsia"/>
              <w:color w:val="auto"/>
            </w:rPr>
            <w:t>法定代表人授权书</w:t>
          </w:r>
          <w:r>
            <w:rPr>
              <w:color w:val="auto"/>
            </w:rPr>
            <w:tab/>
          </w:r>
          <w:r>
            <w:rPr>
              <w:color w:val="auto"/>
            </w:rPr>
            <w:fldChar w:fldCharType="begin"/>
          </w:r>
          <w:r>
            <w:rPr>
              <w:color w:val="auto"/>
            </w:rPr>
            <w:instrText xml:space="preserve"> PAGEREF _Toc122527563 \h </w:instrText>
          </w:r>
          <w:r>
            <w:rPr>
              <w:color w:val="auto"/>
            </w:rPr>
            <w:fldChar w:fldCharType="separate"/>
          </w:r>
          <w:r>
            <w:rPr>
              <w:color w:val="auto"/>
            </w:rPr>
            <w:t>64</w:t>
          </w:r>
          <w:r>
            <w:rPr>
              <w:color w:val="auto"/>
            </w:rPr>
            <w:fldChar w:fldCharType="end"/>
          </w:r>
          <w:r>
            <w:rPr>
              <w:color w:val="auto"/>
            </w:rPr>
            <w:fldChar w:fldCharType="end"/>
          </w:r>
        </w:p>
        <w:p w14:paraId="6F99FB71">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"_Toc122527564" </w:instrText>
          </w:r>
          <w:r>
            <w:fldChar w:fldCharType="separate"/>
          </w:r>
          <w:r>
            <w:rPr>
              <w:rStyle w:val="35"/>
              <w:rFonts w:hint="eastAsia"/>
              <w:color w:val="auto"/>
            </w:rPr>
            <w:t>十七、</w:t>
          </w:r>
          <w:r>
            <w:rPr>
              <w:rFonts w:asciiTheme="minorHAnsi" w:hAnsiTheme="minorHAnsi" w:eastAsiaTheme="minorEastAsia" w:cstheme="minorBidi"/>
              <w:bCs w:val="0"/>
              <w:color w:val="auto"/>
              <w:kern w:val="2"/>
              <w:sz w:val="21"/>
              <w:szCs w:val="22"/>
            </w:rPr>
            <w:tab/>
          </w:r>
          <w:r>
            <w:rPr>
              <w:rStyle w:val="35"/>
              <w:rFonts w:hint="eastAsia"/>
              <w:color w:val="auto"/>
            </w:rPr>
            <w:t>项目负责人、技术负责人简历表</w:t>
          </w:r>
          <w:r>
            <w:rPr>
              <w:color w:val="auto"/>
            </w:rPr>
            <w:tab/>
          </w:r>
          <w:r>
            <w:rPr>
              <w:color w:val="auto"/>
            </w:rPr>
            <w:fldChar w:fldCharType="begin"/>
          </w:r>
          <w:r>
            <w:rPr>
              <w:color w:val="auto"/>
            </w:rPr>
            <w:instrText xml:space="preserve"> PAGEREF _Toc122527564 \h </w:instrText>
          </w:r>
          <w:r>
            <w:rPr>
              <w:color w:val="auto"/>
            </w:rPr>
            <w:fldChar w:fldCharType="separate"/>
          </w:r>
          <w:r>
            <w:rPr>
              <w:color w:val="auto"/>
            </w:rPr>
            <w:t>65</w:t>
          </w:r>
          <w:r>
            <w:rPr>
              <w:color w:val="auto"/>
            </w:rPr>
            <w:fldChar w:fldCharType="end"/>
          </w:r>
          <w:r>
            <w:rPr>
              <w:color w:val="auto"/>
            </w:rPr>
            <w:fldChar w:fldCharType="end"/>
          </w:r>
        </w:p>
        <w:p w14:paraId="0FA38976">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"_Toc122527565" </w:instrText>
          </w:r>
          <w:r>
            <w:fldChar w:fldCharType="separate"/>
          </w:r>
          <w:r>
            <w:rPr>
              <w:rStyle w:val="35"/>
              <w:rFonts w:hint="eastAsia"/>
              <w:color w:val="auto"/>
            </w:rPr>
            <w:t>十八、</w:t>
          </w:r>
          <w:r>
            <w:rPr>
              <w:rFonts w:asciiTheme="minorHAnsi" w:hAnsiTheme="minorHAnsi" w:eastAsiaTheme="minorEastAsia" w:cstheme="minorBidi"/>
              <w:bCs w:val="0"/>
              <w:color w:val="auto"/>
              <w:kern w:val="2"/>
              <w:sz w:val="21"/>
              <w:szCs w:val="22"/>
            </w:rPr>
            <w:tab/>
          </w:r>
          <w:r>
            <w:rPr>
              <w:rStyle w:val="35"/>
              <w:rFonts w:hint="eastAsia"/>
              <w:color w:val="auto"/>
            </w:rPr>
            <w:t>项目班子成员情况表</w:t>
          </w:r>
          <w:r>
            <w:rPr>
              <w:color w:val="auto"/>
            </w:rPr>
            <w:tab/>
          </w:r>
          <w:r>
            <w:rPr>
              <w:color w:val="auto"/>
            </w:rPr>
            <w:fldChar w:fldCharType="begin"/>
          </w:r>
          <w:r>
            <w:rPr>
              <w:color w:val="auto"/>
            </w:rPr>
            <w:instrText xml:space="preserve"> PAGEREF _Toc122527565 \h </w:instrText>
          </w:r>
          <w:r>
            <w:rPr>
              <w:color w:val="auto"/>
            </w:rPr>
            <w:fldChar w:fldCharType="separate"/>
          </w:r>
          <w:r>
            <w:rPr>
              <w:color w:val="auto"/>
            </w:rPr>
            <w:t>66</w:t>
          </w:r>
          <w:r>
            <w:rPr>
              <w:color w:val="auto"/>
            </w:rPr>
            <w:fldChar w:fldCharType="end"/>
          </w:r>
          <w:r>
            <w:rPr>
              <w:color w:val="auto"/>
            </w:rPr>
            <w:fldChar w:fldCharType="end"/>
          </w:r>
        </w:p>
        <w:p w14:paraId="669D398E">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"_Toc122527566" </w:instrText>
          </w:r>
          <w:r>
            <w:fldChar w:fldCharType="separate"/>
          </w:r>
          <w:r>
            <w:rPr>
              <w:rStyle w:val="35"/>
              <w:rFonts w:hint="eastAsia"/>
              <w:color w:val="auto"/>
            </w:rPr>
            <w:t>十九、</w:t>
          </w:r>
          <w:r>
            <w:rPr>
              <w:rFonts w:asciiTheme="minorHAnsi" w:hAnsiTheme="minorHAnsi" w:eastAsiaTheme="minorEastAsia" w:cstheme="minorBidi"/>
              <w:bCs w:val="0"/>
              <w:color w:val="auto"/>
              <w:kern w:val="2"/>
              <w:sz w:val="21"/>
              <w:szCs w:val="22"/>
            </w:rPr>
            <w:tab/>
          </w:r>
          <w:r>
            <w:rPr>
              <w:rStyle w:val="35"/>
              <w:rFonts w:hint="eastAsia"/>
              <w:color w:val="auto"/>
            </w:rPr>
            <w:t>供应商类似项目业绩表（此表非必填项，可选择填写）</w:t>
          </w:r>
          <w:r>
            <w:rPr>
              <w:color w:val="auto"/>
            </w:rPr>
            <w:tab/>
          </w:r>
          <w:r>
            <w:rPr>
              <w:color w:val="auto"/>
            </w:rPr>
            <w:fldChar w:fldCharType="begin"/>
          </w:r>
          <w:r>
            <w:rPr>
              <w:color w:val="auto"/>
            </w:rPr>
            <w:instrText xml:space="preserve"> PAGEREF _Toc122527566 \h </w:instrText>
          </w:r>
          <w:r>
            <w:rPr>
              <w:color w:val="auto"/>
            </w:rPr>
            <w:fldChar w:fldCharType="separate"/>
          </w:r>
          <w:r>
            <w:rPr>
              <w:color w:val="auto"/>
            </w:rPr>
            <w:t>67</w:t>
          </w:r>
          <w:r>
            <w:rPr>
              <w:color w:val="auto"/>
            </w:rPr>
            <w:fldChar w:fldCharType="end"/>
          </w:r>
          <w:r>
            <w:rPr>
              <w:color w:val="auto"/>
            </w:rPr>
            <w:fldChar w:fldCharType="end"/>
          </w:r>
        </w:p>
        <w:p w14:paraId="49453B6D">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"_Toc122527567" </w:instrText>
          </w:r>
          <w:r>
            <w:fldChar w:fldCharType="separate"/>
          </w:r>
          <w:r>
            <w:rPr>
              <w:rStyle w:val="35"/>
              <w:rFonts w:hint="eastAsia"/>
              <w:color w:val="auto"/>
            </w:rPr>
            <w:t>二十、</w:t>
          </w:r>
          <w:r>
            <w:rPr>
              <w:rFonts w:asciiTheme="minorHAnsi" w:hAnsiTheme="minorHAnsi" w:eastAsiaTheme="minorEastAsia" w:cstheme="minorBidi"/>
              <w:bCs w:val="0"/>
              <w:color w:val="auto"/>
              <w:kern w:val="2"/>
              <w:sz w:val="21"/>
              <w:szCs w:val="22"/>
            </w:rPr>
            <w:tab/>
          </w:r>
          <w:r>
            <w:rPr>
              <w:rStyle w:val="35"/>
              <w:rFonts w:hint="eastAsia"/>
              <w:color w:val="auto"/>
            </w:rPr>
            <w:t>节能、环保、创新产品明细清单及证明材料</w:t>
          </w:r>
          <w:r>
            <w:rPr>
              <w:color w:val="auto"/>
            </w:rPr>
            <w:tab/>
          </w:r>
          <w:r>
            <w:rPr>
              <w:color w:val="auto"/>
            </w:rPr>
            <w:fldChar w:fldCharType="begin"/>
          </w:r>
          <w:r>
            <w:rPr>
              <w:color w:val="auto"/>
            </w:rPr>
            <w:instrText xml:space="preserve"> PAGEREF _Toc122527567 \h </w:instrText>
          </w:r>
          <w:r>
            <w:rPr>
              <w:color w:val="auto"/>
            </w:rPr>
            <w:fldChar w:fldCharType="separate"/>
          </w:r>
          <w:r>
            <w:rPr>
              <w:color w:val="auto"/>
            </w:rPr>
            <w:t>68</w:t>
          </w:r>
          <w:r>
            <w:rPr>
              <w:color w:val="auto"/>
            </w:rPr>
            <w:fldChar w:fldCharType="end"/>
          </w:r>
          <w:r>
            <w:rPr>
              <w:color w:val="auto"/>
            </w:rPr>
            <w:fldChar w:fldCharType="end"/>
          </w:r>
        </w:p>
        <w:p w14:paraId="3F7D27BA">
          <w:pPr>
            <w:pStyle w:val="25"/>
            <w:tabs>
              <w:tab w:val="left" w:pos="168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"_Toc122527568" </w:instrText>
          </w:r>
          <w:r>
            <w:fldChar w:fldCharType="separate"/>
          </w:r>
          <w:r>
            <w:rPr>
              <w:rStyle w:val="35"/>
              <w:rFonts w:hint="eastAsia"/>
              <w:color w:val="auto"/>
            </w:rPr>
            <w:t>二十一、</w:t>
          </w:r>
          <w:r>
            <w:rPr>
              <w:rFonts w:asciiTheme="minorHAnsi" w:hAnsiTheme="minorHAnsi" w:eastAsiaTheme="minorEastAsia" w:cstheme="minorBidi"/>
              <w:bCs w:val="0"/>
              <w:color w:val="auto"/>
              <w:kern w:val="2"/>
              <w:sz w:val="21"/>
              <w:szCs w:val="22"/>
            </w:rPr>
            <w:tab/>
          </w:r>
          <w:r>
            <w:rPr>
              <w:rStyle w:val="35"/>
              <w:rFonts w:hint="eastAsia"/>
              <w:color w:val="auto"/>
            </w:rPr>
            <w:t>享受价格扣除优惠政策应提供的材料</w:t>
          </w:r>
          <w:r>
            <w:rPr>
              <w:color w:val="auto"/>
            </w:rPr>
            <w:tab/>
          </w:r>
          <w:r>
            <w:rPr>
              <w:color w:val="auto"/>
            </w:rPr>
            <w:fldChar w:fldCharType="begin"/>
          </w:r>
          <w:r>
            <w:rPr>
              <w:color w:val="auto"/>
            </w:rPr>
            <w:instrText xml:space="preserve"> PAGEREF _Toc122527568 \h </w:instrText>
          </w:r>
          <w:r>
            <w:rPr>
              <w:color w:val="auto"/>
            </w:rPr>
            <w:fldChar w:fldCharType="separate"/>
          </w:r>
          <w:r>
            <w:rPr>
              <w:color w:val="auto"/>
            </w:rPr>
            <w:t>69</w:t>
          </w:r>
          <w:r>
            <w:rPr>
              <w:color w:val="auto"/>
            </w:rPr>
            <w:fldChar w:fldCharType="end"/>
          </w:r>
          <w:r>
            <w:rPr>
              <w:color w:val="auto"/>
            </w:rPr>
            <w:fldChar w:fldCharType="end"/>
          </w:r>
        </w:p>
        <w:p w14:paraId="482E23B2">
          <w:pPr>
            <w:pStyle w:val="25"/>
            <w:tabs>
              <w:tab w:val="left" w:pos="168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"_Toc122527569" </w:instrText>
          </w:r>
          <w:r>
            <w:fldChar w:fldCharType="separate"/>
          </w:r>
          <w:r>
            <w:rPr>
              <w:rStyle w:val="35"/>
              <w:rFonts w:hint="eastAsia"/>
              <w:color w:val="auto"/>
            </w:rPr>
            <w:t>二十二、</w:t>
          </w:r>
          <w:r>
            <w:rPr>
              <w:rFonts w:asciiTheme="minorHAnsi" w:hAnsiTheme="minorHAnsi" w:eastAsiaTheme="minorEastAsia" w:cstheme="minorBidi"/>
              <w:bCs w:val="0"/>
              <w:color w:val="auto"/>
              <w:kern w:val="2"/>
              <w:sz w:val="21"/>
              <w:szCs w:val="22"/>
            </w:rPr>
            <w:tab/>
          </w:r>
          <w:r>
            <w:rPr>
              <w:rStyle w:val="35"/>
              <w:rFonts w:hint="eastAsia"/>
              <w:color w:val="auto"/>
            </w:rPr>
            <w:t>磋商货物（或服务）介绍，项目建设（服务）方案</w:t>
          </w:r>
          <w:r>
            <w:rPr>
              <w:color w:val="auto"/>
            </w:rPr>
            <w:tab/>
          </w:r>
          <w:r>
            <w:rPr>
              <w:color w:val="auto"/>
            </w:rPr>
            <w:fldChar w:fldCharType="begin"/>
          </w:r>
          <w:r>
            <w:rPr>
              <w:color w:val="auto"/>
            </w:rPr>
            <w:instrText xml:space="preserve"> PAGEREF _Toc122527569 \h </w:instrText>
          </w:r>
          <w:r>
            <w:rPr>
              <w:color w:val="auto"/>
            </w:rPr>
            <w:fldChar w:fldCharType="separate"/>
          </w:r>
          <w:r>
            <w:rPr>
              <w:color w:val="auto"/>
            </w:rPr>
            <w:t>70</w:t>
          </w:r>
          <w:r>
            <w:rPr>
              <w:color w:val="auto"/>
            </w:rPr>
            <w:fldChar w:fldCharType="end"/>
          </w:r>
          <w:r>
            <w:rPr>
              <w:color w:val="auto"/>
            </w:rPr>
            <w:fldChar w:fldCharType="end"/>
          </w:r>
        </w:p>
        <w:p w14:paraId="0E5CA4BB">
          <w:pPr>
            <w:pStyle w:val="25"/>
            <w:tabs>
              <w:tab w:val="left" w:pos="168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"_Toc122527570" </w:instrText>
          </w:r>
          <w:r>
            <w:fldChar w:fldCharType="separate"/>
          </w:r>
          <w:r>
            <w:rPr>
              <w:rStyle w:val="35"/>
              <w:rFonts w:hint="eastAsia"/>
              <w:color w:val="auto"/>
            </w:rPr>
            <w:t>二十三、</w:t>
          </w:r>
          <w:r>
            <w:rPr>
              <w:rFonts w:asciiTheme="minorHAnsi" w:hAnsiTheme="minorHAnsi" w:eastAsiaTheme="minorEastAsia" w:cstheme="minorBidi"/>
              <w:bCs w:val="0"/>
              <w:color w:val="auto"/>
              <w:kern w:val="2"/>
              <w:sz w:val="21"/>
              <w:szCs w:val="22"/>
            </w:rPr>
            <w:tab/>
          </w:r>
          <w:r>
            <w:rPr>
              <w:rStyle w:val="35"/>
              <w:rFonts w:hint="eastAsia"/>
              <w:color w:val="auto"/>
            </w:rPr>
            <w:t>竞争性磋商文件要求提供或供应商认为需提供的其它资料</w:t>
          </w:r>
          <w:r>
            <w:rPr>
              <w:color w:val="auto"/>
            </w:rPr>
            <w:tab/>
          </w:r>
          <w:r>
            <w:rPr>
              <w:color w:val="auto"/>
            </w:rPr>
            <w:fldChar w:fldCharType="begin"/>
          </w:r>
          <w:r>
            <w:rPr>
              <w:color w:val="auto"/>
            </w:rPr>
            <w:instrText xml:space="preserve"> PAGEREF _Toc122527570 \h </w:instrText>
          </w:r>
          <w:r>
            <w:rPr>
              <w:color w:val="auto"/>
            </w:rPr>
            <w:fldChar w:fldCharType="separate"/>
          </w:r>
          <w:r>
            <w:rPr>
              <w:color w:val="auto"/>
            </w:rPr>
            <w:t>71</w:t>
          </w:r>
          <w:r>
            <w:rPr>
              <w:color w:val="auto"/>
            </w:rPr>
            <w:fldChar w:fldCharType="end"/>
          </w:r>
          <w:r>
            <w:rPr>
              <w:color w:val="auto"/>
            </w:rPr>
            <w:fldChar w:fldCharType="end"/>
          </w:r>
        </w:p>
        <w:p w14:paraId="5A25BEDC">
          <w:pPr>
            <w:pStyle w:val="2"/>
            <w:tabs>
              <w:tab w:val="left" w:pos="1050"/>
              <w:tab w:val="right" w:leader="dot" w:pos="9514"/>
            </w:tabs>
            <w:rPr>
              <w:b w:val="0"/>
              <w:bCs w:val="0"/>
              <w:szCs w:val="24"/>
            </w:rPr>
            <w:sectPr>
              <w:headerReference r:id="rId7" w:type="default"/>
              <w:footerReference r:id="rId8" w:type="default"/>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r>
            <w:rPr>
              <w:b w:val="0"/>
              <w:iCs/>
              <w:szCs w:val="24"/>
            </w:rPr>
            <w:fldChar w:fldCharType="end"/>
          </w:r>
        </w:p>
      </w:sdtContent>
    </w:sdt>
    <w:p w14:paraId="36890CE5">
      <w:pPr>
        <w:pStyle w:val="3"/>
        <w:numPr>
          <w:ilvl w:val="0"/>
          <w:numId w:val="1"/>
        </w:numPr>
        <w:tabs>
          <w:tab w:val="left" w:pos="1276"/>
        </w:tabs>
        <w:wordWrap w:val="0"/>
        <w:spacing w:before="120" w:after="120" w:line="360" w:lineRule="auto"/>
        <w:ind w:left="723" w:hanging="720" w:hangingChars="200"/>
        <w:jc w:val="center"/>
        <w:rPr>
          <w:sz w:val="36"/>
          <w:szCs w:val="36"/>
        </w:rPr>
      </w:pPr>
      <w:bookmarkStart w:id="2" w:name="_Toc102119799"/>
      <w:bookmarkStart w:id="3" w:name="_Toc102056166"/>
      <w:bookmarkStart w:id="4" w:name="_Toc117244462"/>
      <w:bookmarkStart w:id="5" w:name="_Toc102057666"/>
      <w:bookmarkStart w:id="6" w:name="_Toc102116098"/>
      <w:bookmarkStart w:id="7" w:name="_Toc102114866"/>
      <w:bookmarkStart w:id="8" w:name="_Toc122527523"/>
      <w:bookmarkStart w:id="9" w:name="_Toc102115968"/>
      <w:bookmarkStart w:id="10" w:name="_Toc117244347"/>
      <w:r>
        <w:rPr>
          <w:rFonts w:hint="eastAsia"/>
          <w:sz w:val="36"/>
          <w:szCs w:val="36"/>
        </w:rPr>
        <w:t>磋商邀请</w:t>
      </w:r>
      <w:bookmarkEnd w:id="0"/>
      <w:bookmarkEnd w:id="1"/>
      <w:bookmarkEnd w:id="2"/>
      <w:bookmarkEnd w:id="3"/>
      <w:bookmarkEnd w:id="4"/>
      <w:bookmarkEnd w:id="5"/>
      <w:bookmarkEnd w:id="6"/>
      <w:bookmarkEnd w:id="7"/>
      <w:bookmarkEnd w:id="8"/>
      <w:bookmarkEnd w:id="9"/>
      <w:bookmarkEnd w:id="10"/>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0244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740" w:type="dxa"/>
          </w:tcPr>
          <w:p w14:paraId="6DE8CCAB">
            <w:pPr>
              <w:wordWrap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14:paraId="04FB8805">
            <w:pPr>
              <w:wordWrap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lang w:eastAsia="zh-CN"/>
              </w:rPr>
              <w:t>随县镇级自来水厂资产评估项目</w:t>
            </w:r>
            <w:r>
              <w:rPr>
                <w:rFonts w:hint="eastAsia" w:ascii="仿宋" w:hAnsi="仿宋" w:eastAsia="仿宋" w:cs="仿宋"/>
                <w:sz w:val="24"/>
                <w:szCs w:val="24"/>
              </w:rPr>
              <w:t>的</w:t>
            </w:r>
            <w:r>
              <w:rPr>
                <w:rFonts w:hint="eastAsia" w:ascii="仿宋" w:hAnsi="仿宋" w:eastAsia="仿宋" w:cs="仿宋"/>
                <w:sz w:val="24"/>
                <w:szCs w:val="24"/>
                <w:lang w:eastAsia="zh-CN"/>
              </w:rPr>
              <w:t>潜在</w:t>
            </w:r>
            <w:r>
              <w:rPr>
                <w:rFonts w:hint="eastAsia" w:ascii="仿宋" w:hAnsi="仿宋" w:eastAsia="仿宋" w:cs="仿宋"/>
                <w:sz w:val="24"/>
                <w:szCs w:val="24"/>
              </w:rPr>
              <w:t>供应</w:t>
            </w:r>
            <w:r>
              <w:rPr>
                <w:rFonts w:hint="eastAsia" w:ascii="仿宋" w:hAnsi="仿宋" w:eastAsia="仿宋" w:cs="仿宋"/>
                <w:sz w:val="24"/>
                <w:szCs w:val="24"/>
                <w:lang w:eastAsia="zh-CN"/>
              </w:rPr>
              <w:t>在随县</w:t>
            </w:r>
            <w:r>
              <w:rPr>
                <w:rFonts w:hint="eastAsia" w:ascii="仿宋" w:hAnsi="仿宋" w:eastAsia="仿宋" w:cs="仿宋"/>
                <w:sz w:val="24"/>
                <w:szCs w:val="24"/>
              </w:rPr>
              <w:t>政府电子采购平台（</w:t>
            </w:r>
            <w:r>
              <w:fldChar w:fldCharType="begin"/>
            </w:r>
            <w:r>
              <w:instrText xml:space="preserve"> HYPERLINK "https://dzcg.hubeigp.gov.cn/assets/special/100/hbenterpoint.html）获取招标文件，并于2022年5月31日14：30" </w:instrText>
            </w:r>
            <w:r>
              <w:fldChar w:fldCharType="separate"/>
            </w:r>
            <w:r>
              <w:rPr>
                <w:rStyle w:val="35"/>
                <w:rFonts w:hint="default" w:ascii="仿宋" w:hAnsi="仿宋" w:eastAsia="仿宋" w:cs="仿宋"/>
                <w:b/>
                <w:color w:val="auto"/>
                <w:sz w:val="24"/>
                <w:szCs w:val="24"/>
              </w:rPr>
              <w:t>https://dzcg.hubeigp.gov.cn/assets/special/100/hbenterpoint.html）</w:t>
            </w:r>
            <w:r>
              <w:rPr>
                <w:rStyle w:val="35"/>
                <w:rFonts w:hint="default" w:ascii="仿宋" w:hAnsi="仿宋" w:eastAsia="仿宋" w:cs="仿宋"/>
                <w:b w:val="0"/>
                <w:bCs/>
                <w:color w:val="auto"/>
                <w:sz w:val="24"/>
                <w:szCs w:val="24"/>
              </w:rPr>
              <w:t>获取招标文件，并于</w:t>
            </w:r>
            <w:r>
              <w:rPr>
                <w:rStyle w:val="35"/>
                <w:rFonts w:hint="default" w:ascii="仿宋" w:hAnsi="仿宋" w:eastAsia="仿宋" w:cs="仿宋"/>
                <w:b/>
                <w:color w:val="auto"/>
                <w:sz w:val="24"/>
                <w:szCs w:val="24"/>
              </w:rPr>
              <w:fldChar w:fldCharType="end"/>
            </w:r>
            <w:r>
              <w:rPr>
                <w:rFonts w:hint="eastAsia" w:ascii="仿宋" w:hAnsi="仿宋" w:eastAsia="仿宋" w:cs="仿宋"/>
                <w:sz w:val="24"/>
                <w:szCs w:val="24"/>
              </w:rPr>
              <w:t>本项目规定的截止时间前提交响应文件。</w:t>
            </w:r>
          </w:p>
        </w:tc>
      </w:tr>
    </w:tbl>
    <w:p w14:paraId="7F8B024E">
      <w:pPr>
        <w:spacing w:line="360" w:lineRule="auto"/>
        <w:rPr>
          <w:rFonts w:hint="eastAsia" w:ascii="仿宋" w:hAnsi="仿宋" w:eastAsia="仿宋" w:cs="仿宋"/>
          <w:b/>
          <w:sz w:val="24"/>
          <w:szCs w:val="24"/>
        </w:rPr>
      </w:pPr>
      <w:bookmarkStart w:id="11" w:name="_Toc102119800"/>
      <w:bookmarkStart w:id="12" w:name="_Toc102056167"/>
      <w:bookmarkStart w:id="13" w:name="_Toc102116099"/>
      <w:bookmarkStart w:id="14" w:name="_Toc102115969"/>
      <w:bookmarkStart w:id="15" w:name="_Toc102114867"/>
      <w:bookmarkStart w:id="16" w:name="_Toc102057667"/>
      <w:r>
        <w:rPr>
          <w:rFonts w:hint="eastAsia" w:ascii="仿宋" w:hAnsi="仿宋" w:eastAsia="仿宋" w:cs="仿宋"/>
          <w:b/>
          <w:sz w:val="24"/>
          <w:szCs w:val="24"/>
        </w:rPr>
        <w:t>一、项目基本情况</w:t>
      </w:r>
      <w:bookmarkEnd w:id="11"/>
      <w:bookmarkEnd w:id="12"/>
      <w:bookmarkEnd w:id="13"/>
      <w:bookmarkEnd w:id="14"/>
      <w:bookmarkEnd w:id="15"/>
      <w:bookmarkEnd w:id="16"/>
    </w:p>
    <w:p w14:paraId="2014A909">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u w:val="single"/>
          <w:lang w:val="en-US" w:eastAsia="zh-CN"/>
        </w:rPr>
        <w:t>SXZC-2023-000</w:t>
      </w:r>
      <w:r>
        <w:rPr>
          <w:rFonts w:hint="default" w:ascii="仿宋" w:hAnsi="仿宋" w:eastAsia="仿宋" w:cs="仿宋"/>
          <w:sz w:val="24"/>
          <w:szCs w:val="24"/>
          <w:u w:val="single"/>
          <w:lang w:eastAsia="zh-CN"/>
        </w:rPr>
        <w:t>2</w:t>
      </w:r>
    </w:p>
    <w:p w14:paraId="045772DD">
      <w:pPr>
        <w:numPr>
          <w:ilvl w:val="0"/>
          <w:numId w:val="2"/>
        </w:numPr>
        <w:tabs>
          <w:tab w:val="left" w:pos="851"/>
        </w:tabs>
        <w:wordWrap w:val="0"/>
        <w:spacing w:line="360" w:lineRule="auto"/>
        <w:rPr>
          <w:rFonts w:hint="eastAsia" w:ascii="仿宋" w:hAnsi="仿宋" w:eastAsia="仿宋" w:cs="仿宋"/>
          <w:sz w:val="24"/>
          <w:szCs w:val="24"/>
          <w:u w:val="single"/>
          <w:lang w:val="en-US" w:eastAsia="zh-CN"/>
        </w:rPr>
      </w:pPr>
      <w:r>
        <w:rPr>
          <w:rFonts w:hint="eastAsia" w:ascii="仿宋" w:hAnsi="仿宋" w:eastAsia="仿宋" w:cs="仿宋"/>
          <w:sz w:val="24"/>
          <w:szCs w:val="24"/>
        </w:rPr>
        <w:t>政府采购计划备案号：</w:t>
      </w:r>
      <w:r>
        <w:rPr>
          <w:rFonts w:hint="eastAsia" w:ascii="仿宋" w:hAnsi="仿宋" w:eastAsia="仿宋" w:cs="仿宋"/>
          <w:sz w:val="24"/>
          <w:szCs w:val="24"/>
          <w:u w:val="single"/>
          <w:lang w:val="en-US" w:eastAsia="zh-CN"/>
        </w:rPr>
        <w:t xml:space="preserve"> 421321-2023-00</w:t>
      </w:r>
      <w:r>
        <w:rPr>
          <w:rFonts w:hint="default" w:ascii="仿宋" w:hAnsi="仿宋" w:eastAsia="仿宋" w:cs="仿宋"/>
          <w:sz w:val="24"/>
          <w:szCs w:val="24"/>
          <w:u w:val="single"/>
          <w:lang w:eastAsia="zh-CN"/>
        </w:rPr>
        <w:t>996</w:t>
      </w:r>
      <w:r>
        <w:rPr>
          <w:rFonts w:hint="eastAsia" w:ascii="仿宋" w:hAnsi="仿宋" w:eastAsia="仿宋" w:cs="仿宋"/>
          <w:sz w:val="24"/>
          <w:szCs w:val="24"/>
          <w:u w:val="single"/>
          <w:lang w:val="en-US" w:eastAsia="zh-CN"/>
        </w:rPr>
        <w:t xml:space="preserve"> </w:t>
      </w:r>
    </w:p>
    <w:p w14:paraId="416364AD">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lang w:eastAsia="zh-CN"/>
        </w:rPr>
        <w:t>随县镇级自来水厂资产评估项目</w:t>
      </w:r>
    </w:p>
    <w:p w14:paraId="55D6FE65">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采购方式：竞争性磋商</w:t>
      </w:r>
    </w:p>
    <w:p w14:paraId="1C567AB8">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预算金额：人民币</w:t>
      </w:r>
      <w:r>
        <w:rPr>
          <w:rFonts w:hint="eastAsia" w:ascii="仿宋" w:hAnsi="仿宋" w:eastAsia="仿宋" w:cs="仿宋"/>
          <w:sz w:val="24"/>
          <w:szCs w:val="24"/>
          <w:u w:val="single"/>
          <w:lang w:val="en-US" w:eastAsia="zh-CN"/>
        </w:rPr>
        <w:t>0</w:t>
      </w:r>
      <w:r>
        <w:rPr>
          <w:rFonts w:hint="eastAsia" w:ascii="仿宋" w:hAnsi="仿宋" w:eastAsia="仿宋" w:cs="仿宋"/>
          <w:sz w:val="24"/>
          <w:szCs w:val="24"/>
        </w:rPr>
        <w:t>万元整</w:t>
      </w:r>
    </w:p>
    <w:p w14:paraId="3E5118AA">
      <w:pPr>
        <w:numPr>
          <w:ilvl w:val="0"/>
          <w:numId w:val="2"/>
        </w:numPr>
        <w:tabs>
          <w:tab w:val="left" w:pos="851"/>
        </w:tabs>
        <w:wordWrap w:val="0"/>
        <w:spacing w:line="360" w:lineRule="auto"/>
        <w:rPr>
          <w:rFonts w:hint="eastAsia" w:ascii="仿宋" w:hAnsi="仿宋" w:eastAsia="仿宋" w:cs="仿宋"/>
          <w:sz w:val="24"/>
          <w:szCs w:val="24"/>
          <w:u w:val="single"/>
          <w:lang w:eastAsia="zh-CN"/>
        </w:rPr>
      </w:pPr>
      <w:r>
        <w:rPr>
          <w:rFonts w:hint="eastAsia" w:ascii="仿宋" w:hAnsi="仿宋" w:eastAsia="仿宋" w:cs="仿宋"/>
          <w:sz w:val="24"/>
          <w:szCs w:val="24"/>
        </w:rPr>
        <w:t>最高限价：</w:t>
      </w:r>
      <w:r>
        <w:rPr>
          <w:rFonts w:hint="eastAsia" w:ascii="仿宋" w:hAnsi="仿宋" w:eastAsia="仿宋" w:cs="仿宋"/>
          <w:sz w:val="24"/>
          <w:szCs w:val="24"/>
          <w:u w:val="single"/>
          <w:lang w:eastAsia="zh-CN"/>
        </w:rPr>
        <w:t>本项目采用费率招标。按照最终出具的评估报告，参照湖北省财政厅、省物价局《湖北省资产评估服务收费管理办法》（鄂价工服规[2011]24号）规定收费标准，按照折扣率进行报价（折扣率范围0~100%），投标人报价不得超过收费标准。</w:t>
      </w:r>
    </w:p>
    <w:p w14:paraId="77250CF6">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采购需求：详见竞争性磋商文件第</w:t>
      </w:r>
      <w:r>
        <w:rPr>
          <w:rFonts w:hint="eastAsia" w:ascii="仿宋" w:hAnsi="仿宋" w:eastAsia="仿宋" w:cs="仿宋"/>
          <w:sz w:val="24"/>
          <w:szCs w:val="24"/>
          <w:lang w:eastAsia="zh-CN"/>
        </w:rPr>
        <w:t>三</w:t>
      </w:r>
      <w:r>
        <w:rPr>
          <w:rFonts w:hint="eastAsia" w:ascii="仿宋" w:hAnsi="仿宋" w:eastAsia="仿宋" w:cs="仿宋"/>
          <w:sz w:val="24"/>
          <w:szCs w:val="24"/>
        </w:rPr>
        <w:t>章</w:t>
      </w:r>
    </w:p>
    <w:p w14:paraId="533E56AF">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合同履行期限：详见竞争性磋商文件第</w:t>
      </w:r>
      <w:r>
        <w:rPr>
          <w:rFonts w:hint="eastAsia" w:ascii="仿宋" w:hAnsi="仿宋" w:eastAsia="仿宋" w:cs="仿宋"/>
          <w:sz w:val="24"/>
          <w:szCs w:val="24"/>
          <w:lang w:eastAsia="zh-CN"/>
        </w:rPr>
        <w:t>三</w:t>
      </w:r>
      <w:r>
        <w:rPr>
          <w:rFonts w:hint="eastAsia" w:ascii="仿宋" w:hAnsi="仿宋" w:eastAsia="仿宋" w:cs="仿宋"/>
          <w:sz w:val="24"/>
          <w:szCs w:val="24"/>
        </w:rPr>
        <w:t>章</w:t>
      </w:r>
    </w:p>
    <w:p w14:paraId="73D49CFF">
      <w:pPr>
        <w:numPr>
          <w:ilvl w:val="0"/>
          <w:numId w:val="2"/>
        </w:numPr>
        <w:tabs>
          <w:tab w:val="left" w:pos="851"/>
        </w:tabs>
        <w:wordWrap w:val="0"/>
        <w:spacing w:line="360" w:lineRule="auto"/>
        <w:rPr>
          <w:rFonts w:hint="eastAsia" w:ascii="仿宋" w:hAnsi="仿宋" w:eastAsia="仿宋" w:cs="仿宋"/>
          <w:b/>
          <w:sz w:val="24"/>
          <w:szCs w:val="24"/>
          <w:u w:val="none"/>
        </w:rPr>
      </w:pPr>
      <w:r>
        <w:rPr>
          <w:rFonts w:hint="eastAsia" w:ascii="仿宋" w:hAnsi="仿宋" w:eastAsia="仿宋" w:cs="仿宋"/>
          <w:sz w:val="24"/>
          <w:szCs w:val="24"/>
        </w:rPr>
        <w:t>是否接受联合体磋商：</w:t>
      </w:r>
      <w:r>
        <w:rPr>
          <w:rFonts w:hint="eastAsia" w:ascii="仿宋" w:hAnsi="仿宋" w:eastAsia="仿宋" w:cs="仿宋"/>
          <w:sz w:val="24"/>
          <w:szCs w:val="24"/>
          <w:u w:val="none"/>
          <w:lang w:eastAsia="zh-CN"/>
        </w:rPr>
        <w:t>否</w:t>
      </w:r>
    </w:p>
    <w:p w14:paraId="06C9A99D">
      <w:pPr>
        <w:numPr>
          <w:ilvl w:val="0"/>
          <w:numId w:val="2"/>
        </w:numPr>
        <w:tabs>
          <w:tab w:val="left" w:pos="851"/>
        </w:tabs>
        <w:wordWrap w:val="0"/>
        <w:spacing w:line="360" w:lineRule="auto"/>
        <w:rPr>
          <w:rFonts w:hint="eastAsia" w:ascii="仿宋" w:hAnsi="仿宋" w:eastAsia="仿宋" w:cs="仿宋"/>
          <w:sz w:val="24"/>
          <w:szCs w:val="24"/>
          <w:u w:val="none"/>
        </w:rPr>
      </w:pPr>
      <w:r>
        <w:rPr>
          <w:rFonts w:hint="eastAsia" w:ascii="仿宋" w:hAnsi="仿宋" w:eastAsia="仿宋" w:cs="仿宋"/>
          <w:sz w:val="24"/>
          <w:szCs w:val="24"/>
          <w:u w:val="none"/>
        </w:rPr>
        <w:t>是否可采购进口产品：</w:t>
      </w:r>
      <w:r>
        <w:rPr>
          <w:rFonts w:hint="eastAsia" w:ascii="仿宋" w:hAnsi="仿宋" w:eastAsia="仿宋" w:cs="仿宋"/>
          <w:sz w:val="24"/>
          <w:szCs w:val="24"/>
          <w:u w:val="none"/>
          <w:lang w:eastAsia="zh-CN"/>
        </w:rPr>
        <w:t>否</w:t>
      </w:r>
      <w:r>
        <w:rPr>
          <w:rFonts w:hint="eastAsia" w:ascii="仿宋" w:hAnsi="仿宋" w:eastAsia="仿宋" w:cs="仿宋"/>
          <w:sz w:val="24"/>
          <w:szCs w:val="24"/>
          <w:u w:val="none"/>
        </w:rPr>
        <w:t xml:space="preserve"> </w:t>
      </w:r>
    </w:p>
    <w:p w14:paraId="23B1202A">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是否接受合同分包：</w:t>
      </w:r>
      <w:r>
        <w:rPr>
          <w:rFonts w:hint="eastAsia" w:ascii="仿宋" w:hAnsi="仿宋" w:eastAsia="仿宋" w:cs="仿宋"/>
          <w:sz w:val="24"/>
          <w:szCs w:val="24"/>
          <w:u w:val="none"/>
          <w:lang w:eastAsia="zh-CN"/>
        </w:rPr>
        <w:t>否</w:t>
      </w:r>
    </w:p>
    <w:p w14:paraId="407A35AE">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是否专门面向中小微企业：</w:t>
      </w:r>
      <w:r>
        <w:rPr>
          <w:rFonts w:hint="eastAsia" w:ascii="仿宋" w:hAnsi="仿宋" w:eastAsia="仿宋" w:cs="仿宋"/>
          <w:sz w:val="24"/>
          <w:szCs w:val="24"/>
          <w:lang w:eastAsia="zh-CN"/>
        </w:rPr>
        <w:t>是</w:t>
      </w:r>
    </w:p>
    <w:p w14:paraId="70F6576D">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面向中小微企业的类型为：</w:t>
      </w:r>
      <w:r>
        <w:rPr>
          <w:rFonts w:hint="eastAsia" w:ascii="仿宋" w:hAnsi="仿宋" w:eastAsia="仿宋" w:cs="仿宋"/>
          <w:sz w:val="24"/>
          <w:szCs w:val="24"/>
          <w:u w:val="single"/>
        </w:rPr>
        <w:t>中小微企业</w:t>
      </w:r>
      <w:r>
        <w:rPr>
          <w:rFonts w:hint="eastAsia" w:ascii="仿宋" w:hAnsi="仿宋" w:eastAsia="仿宋" w:cs="仿宋"/>
          <w:sz w:val="24"/>
          <w:szCs w:val="24"/>
        </w:rPr>
        <w:t xml:space="preserve">  </w:t>
      </w:r>
    </w:p>
    <w:p w14:paraId="71F386F5">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符合条件的小微企业价格扣除优惠为：</w:t>
      </w:r>
      <w:r>
        <w:rPr>
          <w:rFonts w:hint="eastAsia" w:ascii="仿宋" w:hAnsi="仿宋" w:eastAsia="仿宋" w:cs="仿宋"/>
          <w:sz w:val="24"/>
          <w:szCs w:val="24"/>
          <w:u w:val="single"/>
        </w:rPr>
        <w:t xml:space="preserve"> 10 </w:t>
      </w:r>
      <w:r>
        <w:rPr>
          <w:rFonts w:hint="eastAsia" w:ascii="仿宋" w:hAnsi="仿宋" w:eastAsia="仿宋" w:cs="仿宋"/>
          <w:sz w:val="24"/>
          <w:szCs w:val="24"/>
        </w:rPr>
        <w:t>%</w:t>
      </w:r>
    </w:p>
    <w:p w14:paraId="559C2E39">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符合条件的</w:t>
      </w:r>
      <w:r>
        <w:rPr>
          <w:rFonts w:hint="eastAsia" w:ascii="仿宋" w:hAnsi="仿宋" w:eastAsia="仿宋" w:cs="仿宋"/>
          <w:sz w:val="24"/>
          <w:szCs w:val="24"/>
          <w:u w:val="single"/>
        </w:rPr>
        <w:t>联合体或合同分包</w:t>
      </w:r>
      <w:r>
        <w:rPr>
          <w:rFonts w:hint="eastAsia" w:ascii="仿宋" w:hAnsi="仿宋" w:eastAsia="仿宋" w:cs="仿宋"/>
          <w:sz w:val="24"/>
          <w:szCs w:val="24"/>
        </w:rPr>
        <w:t>的大中型企业价格扣除优惠为：</w:t>
      </w:r>
      <w:r>
        <w:rPr>
          <w:rFonts w:hint="eastAsia" w:ascii="仿宋" w:hAnsi="仿宋" w:eastAsia="仿宋" w:cs="仿宋"/>
          <w:sz w:val="24"/>
          <w:szCs w:val="24"/>
          <w:u w:val="single"/>
        </w:rPr>
        <w:t xml:space="preserve"> 4 </w:t>
      </w:r>
      <w:r>
        <w:rPr>
          <w:rFonts w:hint="eastAsia" w:ascii="仿宋" w:hAnsi="仿宋" w:eastAsia="仿宋" w:cs="仿宋"/>
          <w:sz w:val="24"/>
          <w:szCs w:val="24"/>
        </w:rPr>
        <w:t>%</w:t>
      </w:r>
    </w:p>
    <w:p w14:paraId="230E1FEA">
      <w:pPr>
        <w:spacing w:line="360" w:lineRule="auto"/>
        <w:rPr>
          <w:rFonts w:hint="eastAsia" w:ascii="仿宋" w:hAnsi="仿宋" w:eastAsia="仿宋" w:cs="仿宋"/>
          <w:b/>
          <w:sz w:val="24"/>
          <w:szCs w:val="24"/>
        </w:rPr>
      </w:pPr>
      <w:bookmarkStart w:id="17" w:name="_Toc102057668"/>
      <w:bookmarkStart w:id="18" w:name="_Toc102115970"/>
      <w:bookmarkStart w:id="19" w:name="_Toc102116100"/>
      <w:bookmarkStart w:id="20" w:name="_Toc102114868"/>
      <w:bookmarkStart w:id="21" w:name="_Toc102119801"/>
      <w:bookmarkStart w:id="22" w:name="_Toc102056168"/>
      <w:r>
        <w:rPr>
          <w:rFonts w:hint="eastAsia" w:ascii="仿宋" w:hAnsi="仿宋" w:eastAsia="仿宋" w:cs="仿宋"/>
          <w:b/>
          <w:sz w:val="24"/>
          <w:szCs w:val="24"/>
        </w:rPr>
        <w:t>二、供应商资格要求</w:t>
      </w:r>
      <w:bookmarkEnd w:id="17"/>
      <w:bookmarkEnd w:id="18"/>
      <w:bookmarkEnd w:id="19"/>
      <w:bookmarkEnd w:id="20"/>
      <w:bookmarkEnd w:id="21"/>
      <w:bookmarkEnd w:id="22"/>
    </w:p>
    <w:p w14:paraId="499718B0">
      <w:pPr>
        <w:numPr>
          <w:ilvl w:val="0"/>
          <w:numId w:val="3"/>
        </w:numPr>
        <w:tabs>
          <w:tab w:val="left" w:pos="0"/>
          <w:tab w:val="left" w:pos="851"/>
        </w:tabs>
        <w:wordWrap w:val="0"/>
        <w:spacing w:line="360" w:lineRule="auto"/>
        <w:ind w:left="-2" w:leftChars="0" w:firstLine="482" w:firstLineChars="0"/>
        <w:rPr>
          <w:rFonts w:hint="eastAsia" w:ascii="仿宋" w:hAnsi="仿宋" w:eastAsia="仿宋" w:cs="仿宋"/>
          <w:sz w:val="24"/>
          <w:szCs w:val="24"/>
        </w:rPr>
      </w:pPr>
      <w:r>
        <w:rPr>
          <w:rFonts w:hint="eastAsia" w:ascii="仿宋" w:hAnsi="仿宋" w:eastAsia="仿宋" w:cs="仿宋"/>
          <w:sz w:val="24"/>
          <w:szCs w:val="24"/>
        </w:rPr>
        <w:t>满足《中华人民共和国政府采购法》第二十二条第一款规定，即：</w:t>
      </w:r>
    </w:p>
    <w:p w14:paraId="772A0BC9">
      <w:pPr>
        <w:tabs>
          <w:tab w:val="left" w:pos="0"/>
        </w:tabs>
        <w:wordWrap w:val="0"/>
        <w:spacing w:line="360" w:lineRule="auto"/>
        <w:ind w:left="482"/>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14:paraId="4183FD7D">
      <w:pPr>
        <w:tabs>
          <w:tab w:val="left" w:pos="0"/>
        </w:tabs>
        <w:wordWrap w:val="0"/>
        <w:spacing w:line="360" w:lineRule="auto"/>
        <w:ind w:left="482"/>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p>
    <w:p w14:paraId="1EDDCC7C">
      <w:pPr>
        <w:tabs>
          <w:tab w:val="left" w:pos="0"/>
        </w:tabs>
        <w:wordWrap w:val="0"/>
        <w:spacing w:line="360" w:lineRule="auto"/>
        <w:ind w:left="482"/>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14:paraId="630569C5">
      <w:pPr>
        <w:tabs>
          <w:tab w:val="left" w:pos="0"/>
        </w:tabs>
        <w:wordWrap w:val="0"/>
        <w:spacing w:line="360" w:lineRule="auto"/>
        <w:ind w:left="482"/>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14:paraId="06BFD799">
      <w:pPr>
        <w:tabs>
          <w:tab w:val="left" w:pos="0"/>
        </w:tabs>
        <w:wordWrap w:val="0"/>
        <w:spacing w:line="360" w:lineRule="auto"/>
        <w:ind w:left="482"/>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14:paraId="18DBA88F">
      <w:pPr>
        <w:tabs>
          <w:tab w:val="left" w:pos="0"/>
        </w:tabs>
        <w:wordWrap w:val="0"/>
        <w:spacing w:line="360" w:lineRule="auto"/>
        <w:ind w:left="482"/>
        <w:rPr>
          <w:rFonts w:hint="eastAsia" w:ascii="仿宋" w:hAnsi="仿宋" w:eastAsia="仿宋" w:cs="仿宋"/>
          <w:sz w:val="24"/>
          <w:szCs w:val="24"/>
        </w:rPr>
      </w:pPr>
      <w:r>
        <w:rPr>
          <w:rFonts w:hint="eastAsia" w:ascii="仿宋" w:hAnsi="仿宋" w:eastAsia="仿宋" w:cs="仿宋"/>
          <w:sz w:val="24"/>
          <w:szCs w:val="24"/>
        </w:rPr>
        <w:t>（6）法律、行政法规规定的其他条件。</w:t>
      </w:r>
    </w:p>
    <w:p w14:paraId="5434385E">
      <w:pPr>
        <w:numPr>
          <w:ilvl w:val="0"/>
          <w:numId w:val="3"/>
        </w:numPr>
        <w:tabs>
          <w:tab w:val="left" w:pos="0"/>
          <w:tab w:val="left" w:pos="851"/>
        </w:tabs>
        <w:wordWrap w:val="0"/>
        <w:spacing w:line="360" w:lineRule="auto"/>
        <w:ind w:left="-2" w:leftChars="0" w:firstLine="482" w:firstLineChars="0"/>
        <w:rPr>
          <w:rFonts w:hint="eastAsia" w:ascii="仿宋" w:hAnsi="仿宋" w:eastAsia="仿宋" w:cs="仿宋"/>
          <w:sz w:val="24"/>
          <w:szCs w:val="24"/>
        </w:rPr>
      </w:pPr>
      <w:r>
        <w:rPr>
          <w:rFonts w:hint="eastAsia" w:ascii="仿宋" w:hAnsi="仿宋" w:eastAsia="仿宋" w:cs="仿宋"/>
          <w:sz w:val="24"/>
          <w:szCs w:val="24"/>
        </w:rPr>
        <w:t>单位负责人为同一人或者存在直接控股、管理关系的不同供应商，不得参加本项目同一合同项下的政府采购活动。</w:t>
      </w:r>
    </w:p>
    <w:p w14:paraId="1789B0DF">
      <w:pPr>
        <w:numPr>
          <w:ilvl w:val="0"/>
          <w:numId w:val="3"/>
        </w:numPr>
        <w:tabs>
          <w:tab w:val="left" w:pos="0"/>
          <w:tab w:val="left" w:pos="851"/>
        </w:tabs>
        <w:wordWrap w:val="0"/>
        <w:spacing w:line="360" w:lineRule="auto"/>
        <w:ind w:left="-2" w:leftChars="0" w:firstLine="482" w:firstLineChars="0"/>
        <w:rPr>
          <w:rFonts w:hint="eastAsia" w:ascii="仿宋" w:hAnsi="仿宋" w:eastAsia="仿宋" w:cs="仿宋"/>
          <w:sz w:val="24"/>
          <w:szCs w:val="24"/>
        </w:rPr>
      </w:pPr>
      <w:r>
        <w:rPr>
          <w:rFonts w:hint="eastAsia" w:ascii="仿宋" w:hAnsi="仿宋" w:eastAsia="仿宋" w:cs="仿宋"/>
          <w:sz w:val="24"/>
          <w:szCs w:val="24"/>
        </w:rPr>
        <w:t>为本采购项目提供整体设计、规范编制或者项目管理、监理、检测等服务的，不得再参加本项目的其他竞争性磋商采购活动。</w:t>
      </w:r>
    </w:p>
    <w:p w14:paraId="388041BD">
      <w:pPr>
        <w:numPr>
          <w:ilvl w:val="0"/>
          <w:numId w:val="3"/>
        </w:numPr>
        <w:tabs>
          <w:tab w:val="left" w:pos="0"/>
          <w:tab w:val="left" w:pos="851"/>
        </w:tabs>
        <w:wordWrap w:val="0"/>
        <w:spacing w:line="360" w:lineRule="auto"/>
        <w:ind w:left="-2" w:leftChars="0" w:firstLine="482" w:firstLineChars="0"/>
        <w:rPr>
          <w:rFonts w:hint="eastAsia" w:ascii="仿宋" w:hAnsi="仿宋" w:eastAsia="仿宋" w:cs="仿宋"/>
          <w:i/>
          <w:sz w:val="24"/>
          <w:szCs w:val="24"/>
        </w:rPr>
      </w:pPr>
      <w:r>
        <w:rPr>
          <w:rFonts w:hint="eastAsia" w:ascii="仿宋" w:hAnsi="仿宋" w:eastAsia="仿宋" w:cs="仿宋"/>
          <w:sz w:val="24"/>
          <w:szCs w:val="24"/>
        </w:rPr>
        <w:t>未被列入失信被执行人、重大税收违法案件当事人名单，未被列入政府采购严重违法失信行为记录名单。</w:t>
      </w:r>
    </w:p>
    <w:p w14:paraId="7E7C13C6">
      <w:pPr>
        <w:numPr>
          <w:ilvl w:val="0"/>
          <w:numId w:val="3"/>
        </w:numPr>
        <w:tabs>
          <w:tab w:val="left" w:pos="0"/>
          <w:tab w:val="left" w:pos="851"/>
        </w:tabs>
        <w:wordWrap w:val="0"/>
        <w:spacing w:line="360" w:lineRule="auto"/>
        <w:ind w:left="-2" w:leftChars="0" w:firstLine="482" w:firstLineChars="0"/>
        <w:rPr>
          <w:rFonts w:hint="eastAsia" w:ascii="仿宋" w:hAnsi="仿宋" w:eastAsia="仿宋" w:cs="仿宋"/>
          <w:i w:val="0"/>
          <w:iCs/>
          <w:sz w:val="24"/>
          <w:szCs w:val="24"/>
        </w:rPr>
      </w:pPr>
      <w:r>
        <w:rPr>
          <w:rFonts w:hint="eastAsia" w:ascii="仿宋" w:hAnsi="仿宋" w:eastAsia="仿宋" w:cs="仿宋"/>
          <w:sz w:val="24"/>
          <w:szCs w:val="24"/>
        </w:rPr>
        <w:t>落实政府采购政策需满足的资格要求：</w:t>
      </w:r>
    </w:p>
    <w:p w14:paraId="148FEBE9">
      <w:pPr>
        <w:keepNext w:val="0"/>
        <w:keepLines w:val="0"/>
        <w:pageBreakBefore w:val="0"/>
        <w:widowControl w:val="0"/>
        <w:numPr>
          <w:ilvl w:val="0"/>
          <w:numId w:val="0"/>
        </w:numPr>
        <w:tabs>
          <w:tab w:val="left" w:pos="0"/>
          <w:tab w:val="left" w:pos="851"/>
        </w:tabs>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本项目专门面向中小微企业采购。供应商应为中小微企业（监狱企业、残疾人福利性单位视同小型、微型企业），供应商应提供《中小企业声明函》。</w:t>
      </w:r>
    </w:p>
    <w:p w14:paraId="00C99965">
      <w:pPr>
        <w:numPr>
          <w:ilvl w:val="0"/>
          <w:numId w:val="3"/>
        </w:numPr>
        <w:tabs>
          <w:tab w:val="left" w:pos="0"/>
          <w:tab w:val="left" w:pos="851"/>
        </w:tabs>
        <w:wordWrap w:val="0"/>
        <w:spacing w:line="360" w:lineRule="auto"/>
        <w:ind w:left="-2" w:leftChars="0" w:firstLine="482" w:firstLineChars="0"/>
        <w:rPr>
          <w:rFonts w:hint="eastAsia" w:ascii="仿宋" w:hAnsi="仿宋" w:eastAsia="仿宋" w:cs="仿宋"/>
          <w:i w:val="0"/>
          <w:iCs/>
          <w:sz w:val="24"/>
          <w:szCs w:val="24"/>
        </w:rPr>
      </w:pPr>
      <w:r>
        <w:rPr>
          <w:rFonts w:hint="eastAsia" w:ascii="仿宋" w:hAnsi="仿宋" w:eastAsia="仿宋" w:cs="仿宋"/>
          <w:i w:val="0"/>
          <w:iCs/>
          <w:sz w:val="24"/>
          <w:szCs w:val="24"/>
        </w:rPr>
        <w:t>特定资格要求：</w:t>
      </w:r>
    </w:p>
    <w:p w14:paraId="5D13CF56">
      <w:pPr>
        <w:pStyle w:val="13"/>
        <w:ind w:left="0" w:leftChars="0" w:firstLine="0" w:firstLineChars="0"/>
        <w:rPr>
          <w:rFonts w:hint="default" w:ascii="仿宋" w:hAnsi="仿宋" w:eastAsia="仿宋" w:cs="仿宋"/>
          <w:kern w:val="0"/>
          <w:sz w:val="24"/>
          <w:szCs w:val="24"/>
          <w:lang w:val="en-US" w:eastAsia="zh-CN" w:bidi="ar-SA"/>
        </w:rPr>
      </w:pPr>
      <w:r>
        <w:rPr>
          <w:rFonts w:hint="eastAsia" w:ascii="仿宋" w:hAnsi="仿宋" w:eastAsia="仿宋" w:cs="仿宋"/>
          <w:i w:val="0"/>
          <w:iCs/>
          <w:sz w:val="24"/>
          <w:szCs w:val="24"/>
          <w:lang w:val="en-US" w:eastAsia="zh-CN"/>
        </w:rPr>
        <w:t xml:space="preserve">   </w:t>
      </w:r>
      <w:r>
        <w:rPr>
          <w:rFonts w:hint="eastAsia" w:ascii="仿宋" w:hAnsi="仿宋" w:eastAsia="仿宋" w:cs="仿宋"/>
          <w:color w:val="000000" w:themeColor="text1"/>
          <w:kern w:val="0"/>
          <w:sz w:val="24"/>
          <w:szCs w:val="24"/>
          <w:lang w:val="en-US" w:eastAsia="zh-CN" w:bidi="ar-SA"/>
          <w14:textFill>
            <w14:solidFill>
              <w14:schemeClr w14:val="tx1"/>
            </w14:solidFill>
          </w14:textFill>
        </w:rPr>
        <w:t xml:space="preserve"> 投标人须</w:t>
      </w:r>
      <w:r>
        <w:rPr>
          <w:rFonts w:hint="eastAsia" w:ascii="仿宋" w:hAnsi="仿宋" w:eastAsia="仿宋" w:cs="仿宋"/>
          <w:kern w:val="0"/>
          <w:sz w:val="24"/>
          <w:szCs w:val="24"/>
          <w:lang w:val="en-US" w:eastAsia="zh-CN" w:bidi="ar-SA"/>
        </w:rPr>
        <w:t>具有符合国家财政部门认定的从事资产评估业务的资产评估公司资质，提供财政部门颁发的备案证明，具有履行合同所必需的设备和专业技术能力。</w:t>
      </w:r>
    </w:p>
    <w:p w14:paraId="54929DE6">
      <w:pPr>
        <w:spacing w:line="360" w:lineRule="auto"/>
        <w:rPr>
          <w:rFonts w:hint="eastAsia" w:ascii="仿宋" w:hAnsi="仿宋" w:eastAsia="仿宋" w:cs="仿宋"/>
          <w:b/>
          <w:sz w:val="24"/>
          <w:szCs w:val="24"/>
        </w:rPr>
      </w:pPr>
      <w:bookmarkStart w:id="23" w:name="_Toc102056169"/>
      <w:bookmarkStart w:id="24" w:name="_Toc102114869"/>
      <w:bookmarkStart w:id="25" w:name="_Toc102119802"/>
      <w:bookmarkStart w:id="26" w:name="_Toc102057669"/>
      <w:bookmarkStart w:id="27" w:name="_Toc102116101"/>
      <w:bookmarkStart w:id="28" w:name="_Toc102115971"/>
      <w:r>
        <w:rPr>
          <w:rFonts w:hint="eastAsia" w:ascii="仿宋" w:hAnsi="仿宋" w:eastAsia="仿宋" w:cs="仿宋"/>
          <w:b/>
          <w:sz w:val="24"/>
          <w:szCs w:val="24"/>
        </w:rPr>
        <w:t>三、获取竞争性磋商文件</w:t>
      </w:r>
      <w:bookmarkEnd w:id="23"/>
      <w:bookmarkEnd w:id="24"/>
      <w:bookmarkEnd w:id="25"/>
      <w:bookmarkEnd w:id="26"/>
      <w:bookmarkEnd w:id="27"/>
      <w:bookmarkEnd w:id="28"/>
    </w:p>
    <w:p w14:paraId="5F7F4149">
      <w:pPr>
        <w:numPr>
          <w:ilvl w:val="0"/>
          <w:numId w:val="4"/>
        </w:numPr>
        <w:tabs>
          <w:tab w:val="left" w:pos="0"/>
          <w:tab w:val="left" w:pos="851"/>
        </w:tabs>
        <w:wordWrap w:val="0"/>
        <w:spacing w:line="360" w:lineRule="auto"/>
        <w:ind w:left="0" w:firstLine="482"/>
        <w:rPr>
          <w:rFonts w:hint="eastAsia" w:ascii="仿宋" w:hAnsi="仿宋" w:eastAsia="仿宋" w:cs="仿宋"/>
          <w:b/>
          <w:bCs/>
          <w:sz w:val="24"/>
          <w:szCs w:val="24"/>
        </w:rPr>
      </w:pPr>
      <w:r>
        <w:rPr>
          <w:rFonts w:hint="eastAsia" w:ascii="仿宋" w:hAnsi="仿宋" w:eastAsia="仿宋" w:cs="仿宋"/>
          <w:sz w:val="24"/>
          <w:szCs w:val="24"/>
        </w:rPr>
        <w:t>时间：</w:t>
      </w:r>
      <w:r>
        <w:rPr>
          <w:rFonts w:hint="eastAsia" w:ascii="仿宋" w:hAnsi="仿宋" w:eastAsia="仿宋" w:cs="仿宋"/>
          <w:b/>
          <w:bCs/>
          <w:sz w:val="24"/>
          <w:szCs w:val="24"/>
        </w:rPr>
        <w:t>2023年0</w:t>
      </w:r>
      <w:r>
        <w:rPr>
          <w:rFonts w:hint="default" w:ascii="仿宋" w:hAnsi="仿宋" w:eastAsia="仿宋" w:cs="仿宋"/>
          <w:b/>
          <w:bCs/>
          <w:sz w:val="24"/>
          <w:szCs w:val="24"/>
        </w:rPr>
        <w:t>2</w:t>
      </w:r>
      <w:r>
        <w:rPr>
          <w:rFonts w:hint="eastAsia" w:ascii="仿宋" w:hAnsi="仿宋" w:eastAsia="仿宋" w:cs="仿宋"/>
          <w:b/>
          <w:bCs/>
          <w:sz w:val="24"/>
          <w:szCs w:val="24"/>
        </w:rPr>
        <w:t>月</w:t>
      </w:r>
      <w:r>
        <w:rPr>
          <w:rFonts w:hint="default" w:ascii="仿宋" w:hAnsi="仿宋" w:eastAsia="仿宋" w:cs="仿宋"/>
          <w:b/>
          <w:bCs/>
          <w:sz w:val="24"/>
          <w:szCs w:val="24"/>
        </w:rPr>
        <w:t>0</w:t>
      </w: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日至2023年0</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月</w:t>
      </w:r>
      <w:r>
        <w:rPr>
          <w:rFonts w:hint="eastAsia" w:ascii="仿宋" w:hAnsi="仿宋" w:eastAsia="仿宋" w:cs="仿宋"/>
          <w:b/>
          <w:bCs/>
          <w:sz w:val="24"/>
          <w:szCs w:val="24"/>
          <w:lang w:val="en-US" w:eastAsia="zh-CN"/>
        </w:rPr>
        <w:t>10</w:t>
      </w:r>
      <w:r>
        <w:rPr>
          <w:rFonts w:hint="eastAsia" w:ascii="仿宋" w:hAnsi="仿宋" w:eastAsia="仿宋" w:cs="仿宋"/>
          <w:b/>
          <w:bCs/>
          <w:sz w:val="24"/>
          <w:szCs w:val="24"/>
        </w:rPr>
        <w:t>日，每天上午</w:t>
      </w:r>
      <w:r>
        <w:rPr>
          <w:rFonts w:hint="eastAsia" w:ascii="仿宋" w:hAnsi="仿宋" w:eastAsia="仿宋" w:cs="仿宋"/>
          <w:b/>
          <w:bCs/>
          <w:sz w:val="24"/>
          <w:szCs w:val="24"/>
          <w:lang w:val="en-US" w:eastAsia="zh-CN"/>
        </w:rPr>
        <w:t>00：00</w:t>
      </w:r>
      <w:r>
        <w:rPr>
          <w:rFonts w:hint="eastAsia" w:ascii="仿宋" w:hAnsi="仿宋" w:eastAsia="仿宋" w:cs="仿宋"/>
          <w:b/>
          <w:bCs/>
          <w:sz w:val="24"/>
          <w:szCs w:val="24"/>
        </w:rPr>
        <w:t>至1</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:00，下午1</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00</w:t>
      </w:r>
      <w:r>
        <w:rPr>
          <w:rFonts w:hint="eastAsia" w:ascii="仿宋" w:hAnsi="仿宋" w:eastAsia="仿宋" w:cs="仿宋"/>
          <w:b/>
          <w:bCs/>
          <w:sz w:val="24"/>
          <w:szCs w:val="24"/>
        </w:rPr>
        <w:t>至</w:t>
      </w:r>
      <w:r>
        <w:rPr>
          <w:rFonts w:hint="eastAsia" w:ascii="仿宋" w:hAnsi="仿宋" w:eastAsia="仿宋" w:cs="仿宋"/>
          <w:b/>
          <w:bCs/>
          <w:sz w:val="24"/>
          <w:szCs w:val="24"/>
          <w:lang w:val="en-US" w:eastAsia="zh-CN"/>
        </w:rPr>
        <w:t>24</w:t>
      </w:r>
      <w:r>
        <w:rPr>
          <w:rFonts w:hint="eastAsia" w:ascii="仿宋" w:hAnsi="仿宋" w:eastAsia="仿宋" w:cs="仿宋"/>
          <w:b/>
          <w:bCs/>
          <w:sz w:val="24"/>
          <w:szCs w:val="24"/>
        </w:rPr>
        <w:t>:00（北京时间，法定节假日除外）</w:t>
      </w:r>
    </w:p>
    <w:p w14:paraId="5F8EB933">
      <w:pPr>
        <w:numPr>
          <w:ilvl w:val="0"/>
          <w:numId w:val="4"/>
        </w:numPr>
        <w:tabs>
          <w:tab w:val="left" w:pos="0"/>
          <w:tab w:val="left" w:pos="851"/>
        </w:tabs>
        <w:wordWrap w:val="0"/>
        <w:spacing w:line="360" w:lineRule="auto"/>
        <w:ind w:left="0" w:firstLine="482"/>
        <w:rPr>
          <w:rFonts w:hint="eastAsia" w:ascii="仿宋" w:hAnsi="仿宋" w:eastAsia="仿宋" w:cs="仿宋"/>
          <w:sz w:val="24"/>
          <w:szCs w:val="24"/>
        </w:rPr>
      </w:pPr>
      <w:r>
        <w:rPr>
          <w:rFonts w:hint="eastAsia" w:ascii="仿宋" w:hAnsi="仿宋" w:eastAsia="仿宋" w:cs="仿宋"/>
          <w:sz w:val="24"/>
          <w:szCs w:val="24"/>
        </w:rPr>
        <w:t>地点：</w:t>
      </w:r>
      <w:r>
        <w:rPr>
          <w:rFonts w:hint="eastAsia" w:ascii="仿宋" w:hAnsi="仿宋" w:eastAsia="仿宋" w:cs="仿宋"/>
          <w:spacing w:val="-2"/>
          <w:sz w:val="24"/>
          <w:lang w:eastAsia="zh-CN"/>
        </w:rPr>
        <w:t>随县</w:t>
      </w:r>
      <w:r>
        <w:rPr>
          <w:rFonts w:hint="eastAsia" w:ascii="仿宋" w:hAnsi="仿宋" w:eastAsia="仿宋" w:cs="仿宋"/>
          <w:spacing w:val="-2"/>
          <w:sz w:val="24"/>
        </w:rPr>
        <w:t>政府电子采购平台</w:t>
      </w:r>
      <w:r>
        <w:rPr>
          <w:rFonts w:hint="eastAsia" w:ascii="仿宋" w:hAnsi="仿宋" w:eastAsia="仿宋" w:cs="仿宋"/>
          <w:spacing w:val="-3"/>
          <w:sz w:val="24"/>
        </w:rPr>
        <w:t>（https://dzcg.hubeigp.gov.cn/assets/special/100/hbenterpoint.html）</w:t>
      </w:r>
      <w:r>
        <w:rPr>
          <w:rFonts w:hint="eastAsia" w:ascii="仿宋" w:hAnsi="仿宋" w:eastAsia="仿宋" w:cs="仿宋"/>
          <w:sz w:val="24"/>
          <w:szCs w:val="24"/>
        </w:rPr>
        <w:t>。</w:t>
      </w:r>
    </w:p>
    <w:p w14:paraId="2C4CE9E6">
      <w:pPr>
        <w:numPr>
          <w:ilvl w:val="0"/>
          <w:numId w:val="4"/>
        </w:numPr>
        <w:tabs>
          <w:tab w:val="left" w:pos="0"/>
          <w:tab w:val="left" w:pos="851"/>
        </w:tabs>
        <w:wordWrap w:val="0"/>
        <w:spacing w:line="360" w:lineRule="auto"/>
        <w:ind w:left="0" w:firstLine="482"/>
        <w:rPr>
          <w:rFonts w:ascii="仿宋" w:hAnsi="仿宋" w:eastAsia="仿宋" w:cs="仿宋"/>
          <w:spacing w:val="-2"/>
          <w:sz w:val="24"/>
        </w:rPr>
      </w:pPr>
      <w:r>
        <w:rPr>
          <w:rFonts w:hint="eastAsia" w:ascii="仿宋" w:hAnsi="仿宋" w:eastAsia="仿宋" w:cs="仿宋"/>
          <w:sz w:val="24"/>
          <w:szCs w:val="24"/>
        </w:rPr>
        <w:t>方式：</w:t>
      </w:r>
      <w:r>
        <w:rPr>
          <w:rFonts w:hint="eastAsia" w:ascii="仿宋" w:hAnsi="仿宋" w:eastAsia="仿宋" w:cs="仿宋"/>
          <w:spacing w:val="-2"/>
          <w:sz w:val="24"/>
        </w:rPr>
        <w:t>登录</w:t>
      </w:r>
      <w:r>
        <w:rPr>
          <w:rFonts w:hint="eastAsia" w:ascii="仿宋" w:hAnsi="仿宋" w:eastAsia="仿宋" w:cs="仿宋"/>
          <w:spacing w:val="-2"/>
          <w:sz w:val="24"/>
          <w:lang w:eastAsia="zh-CN"/>
        </w:rPr>
        <w:t>随县</w:t>
      </w:r>
      <w:r>
        <w:rPr>
          <w:rFonts w:hint="eastAsia" w:ascii="仿宋" w:hAnsi="仿宋" w:eastAsia="仿宋" w:cs="仿宋"/>
          <w:spacing w:val="-2"/>
          <w:sz w:val="24"/>
        </w:rPr>
        <w:t>政府电子采购平台</w:t>
      </w:r>
      <w:r>
        <w:rPr>
          <w:rFonts w:hint="eastAsia" w:ascii="仿宋" w:hAnsi="仿宋" w:eastAsia="仿宋" w:cs="仿宋"/>
          <w:sz w:val="24"/>
        </w:rPr>
        <w:t>直接获取。</w:t>
      </w:r>
      <w:r>
        <w:rPr>
          <w:rFonts w:hint="eastAsia" w:ascii="仿宋" w:hAnsi="仿宋" w:eastAsia="仿宋" w:cs="仿宋"/>
          <w:spacing w:val="-3"/>
          <w:sz w:val="24"/>
        </w:rPr>
        <w:t>（https://dzcg.hubeigp.gov.cn/assets/special/100/hbenterpoint.html）流程如下：</w:t>
      </w:r>
    </w:p>
    <w:p w14:paraId="420BA1D0">
      <w:pPr>
        <w:suppressLineNumbers/>
        <w:spacing w:line="324" w:lineRule="auto"/>
        <w:ind w:right="228" w:rightChars="95" w:firstLine="480" w:firstLineChars="200"/>
        <w:rPr>
          <w:rFonts w:ascii="仿宋" w:hAnsi="仿宋" w:eastAsia="仿宋" w:cs="仿宋"/>
          <w:spacing w:val="-3"/>
          <w:sz w:val="24"/>
        </w:rPr>
      </w:pPr>
      <w:r>
        <w:rPr>
          <w:rFonts w:hint="eastAsia" w:ascii="仿宋" w:hAnsi="仿宋" w:eastAsia="仿宋" w:cs="仿宋"/>
          <w:sz w:val="24"/>
          <w:szCs w:val="24"/>
        </w:rPr>
        <w:t>1）</w:t>
      </w:r>
      <w:r>
        <w:rPr>
          <w:rFonts w:hint="eastAsia" w:ascii="仿宋" w:hAnsi="仿宋" w:eastAsia="仿宋" w:cs="仿宋"/>
          <w:spacing w:val="-3"/>
          <w:sz w:val="24"/>
        </w:rPr>
        <w:t>未注册账号的供应商。先完成账号注册，经审核通过后办理ＣＡ锁。方式：点击https://dzcg.hubeigp.gov.cn/assets/special/100/hbenterpoint.html，进入</w:t>
      </w:r>
      <w:r>
        <w:rPr>
          <w:rFonts w:hint="eastAsia" w:ascii="仿宋" w:hAnsi="仿宋" w:eastAsia="仿宋" w:cs="仿宋"/>
          <w:spacing w:val="-3"/>
          <w:sz w:val="24"/>
          <w:lang w:eastAsia="zh-CN"/>
        </w:rPr>
        <w:t>随县政府电子采购</w:t>
      </w:r>
      <w:r>
        <w:rPr>
          <w:rFonts w:hint="eastAsia" w:ascii="仿宋" w:hAnsi="仿宋" w:eastAsia="仿宋" w:cs="仿宋"/>
          <w:spacing w:val="-3"/>
          <w:sz w:val="24"/>
        </w:rPr>
        <w:t>平台，在用户登录界面点击“用户注册”，进入“供应商”填写注册信息。供应商注册时应诚信客观、真实准确填写相关信息，不能弄虚作假或假冒他人名义。否则将按国家有关规定进行处理，并在有关网站上公示，由此产生的后果由供应商自行承担。注册信息审核通过后，可进行 CA 锁办理。</w:t>
      </w:r>
    </w:p>
    <w:p w14:paraId="108240E8">
      <w:pPr>
        <w:suppressLineNumbers/>
        <w:spacing w:line="324" w:lineRule="auto"/>
        <w:ind w:right="228" w:rightChars="95" w:firstLine="468" w:firstLineChars="200"/>
        <w:rPr>
          <w:rFonts w:ascii="仿宋" w:hAnsi="仿宋" w:eastAsia="仿宋" w:cs="仿宋"/>
          <w:spacing w:val="-3"/>
          <w:sz w:val="24"/>
        </w:rPr>
      </w:pPr>
      <w:r>
        <w:rPr>
          <w:rFonts w:hint="eastAsia" w:ascii="仿宋" w:hAnsi="仿宋" w:eastAsia="仿宋" w:cs="仿宋"/>
          <w:spacing w:val="-3"/>
          <w:sz w:val="24"/>
        </w:rPr>
        <w:t>2)已有账号但未办理CA的供应商。登录</w:t>
      </w:r>
      <w:r>
        <w:rPr>
          <w:rFonts w:hint="eastAsia" w:ascii="仿宋" w:hAnsi="仿宋" w:eastAsia="仿宋" w:cs="仿宋"/>
          <w:spacing w:val="-3"/>
          <w:sz w:val="24"/>
          <w:lang w:eastAsia="zh-CN"/>
        </w:rPr>
        <w:t>随县</w:t>
      </w:r>
      <w:r>
        <w:rPr>
          <w:rFonts w:hint="eastAsia" w:ascii="仿宋" w:hAnsi="仿宋" w:eastAsia="仿宋" w:cs="仿宋"/>
          <w:spacing w:val="-3"/>
          <w:sz w:val="24"/>
        </w:rPr>
        <w:t>政府电子采购平台，明确所参与项目标段，在获取文件有效时间内直接下载采购文件。</w:t>
      </w:r>
      <w:r>
        <w:rPr>
          <w:rFonts w:hint="eastAsia" w:ascii="仿宋" w:hAnsi="仿宋" w:eastAsia="仿宋" w:cs="仿宋"/>
          <w:b/>
          <w:bCs/>
          <w:color w:val="0000FF"/>
          <w:spacing w:val="-3"/>
          <w:sz w:val="24"/>
        </w:rPr>
        <w:t>(注</w:t>
      </w:r>
      <w:r>
        <w:rPr>
          <w:rFonts w:hint="eastAsia" w:ascii="仿宋" w:hAnsi="仿宋" w:eastAsia="仿宋" w:cs="仿宋"/>
          <w:spacing w:val="-3"/>
          <w:sz w:val="24"/>
        </w:rPr>
        <w:t>：</w:t>
      </w:r>
      <w:r>
        <w:rPr>
          <w:rFonts w:hint="eastAsia" w:ascii="仿宋" w:hAnsi="仿宋" w:eastAsia="仿宋" w:cs="仿宋"/>
          <w:b/>
          <w:bCs/>
          <w:color w:val="0000FF"/>
          <w:spacing w:val="-3"/>
          <w:sz w:val="24"/>
        </w:rPr>
        <w:t>未办理CA锁无法在政府电子采购平台投标！请潜在供应商及时在湖北省公共资源交易（采购）平台办理CA，否则产生的后果由供应商自行承担</w:t>
      </w:r>
      <w:r>
        <w:rPr>
          <w:rFonts w:hint="eastAsia" w:ascii="仿宋" w:hAnsi="仿宋" w:eastAsia="仿宋" w:cs="仿宋"/>
          <w:spacing w:val="-3"/>
          <w:sz w:val="24"/>
        </w:rPr>
        <w:t>)。</w:t>
      </w:r>
    </w:p>
    <w:p w14:paraId="60D0CC66">
      <w:pPr>
        <w:suppressLineNumbers/>
        <w:spacing w:line="324" w:lineRule="auto"/>
        <w:ind w:right="228" w:rightChars="95" w:firstLine="468" w:firstLineChars="200"/>
        <w:rPr>
          <w:rFonts w:ascii="仿宋" w:hAnsi="仿宋" w:eastAsia="仿宋" w:cs="仿宋"/>
          <w:spacing w:val="-3"/>
          <w:sz w:val="24"/>
        </w:rPr>
      </w:pPr>
      <w:r>
        <w:rPr>
          <w:rFonts w:hint="eastAsia" w:ascii="仿宋" w:hAnsi="仿宋" w:eastAsia="仿宋" w:cs="仿宋"/>
          <w:spacing w:val="-3"/>
          <w:sz w:val="24"/>
        </w:rPr>
        <w:t>3）已办理 CA 的供应商。登录</w:t>
      </w:r>
      <w:r>
        <w:rPr>
          <w:rFonts w:hint="eastAsia" w:ascii="仿宋" w:hAnsi="仿宋" w:eastAsia="仿宋" w:cs="仿宋"/>
          <w:spacing w:val="-3"/>
          <w:sz w:val="24"/>
          <w:lang w:eastAsia="zh-CN"/>
        </w:rPr>
        <w:t>随县</w:t>
      </w:r>
      <w:r>
        <w:rPr>
          <w:rFonts w:hint="eastAsia" w:ascii="仿宋" w:hAnsi="仿宋" w:eastAsia="仿宋" w:cs="仿宋"/>
          <w:spacing w:val="-3"/>
          <w:sz w:val="24"/>
        </w:rPr>
        <w:t>政府电子采购平台，可在获取文件有效时间内直接下载采购文件。</w:t>
      </w:r>
    </w:p>
    <w:p w14:paraId="67AEDCDE">
      <w:pPr>
        <w:suppressLineNumbers/>
        <w:spacing w:line="324" w:lineRule="auto"/>
        <w:ind w:right="228" w:rightChars="95" w:firstLine="480" w:firstLineChars="200"/>
        <w:rPr>
          <w:rFonts w:ascii="仿宋" w:hAnsi="仿宋" w:eastAsia="仿宋" w:cs="仿宋"/>
          <w:sz w:val="24"/>
          <w:szCs w:val="24"/>
        </w:rPr>
      </w:pPr>
      <w:r>
        <w:rPr>
          <w:rFonts w:hint="eastAsia" w:ascii="仿宋" w:hAnsi="仿宋" w:eastAsia="仿宋" w:cs="仿宋"/>
          <w:sz w:val="24"/>
          <w:szCs w:val="24"/>
        </w:rPr>
        <w:t>3．供应商未在公告规定的报名截止时间前按上述1）、2）、3）条的要求进行报名的将无资格参与本项目投标。</w:t>
      </w:r>
    </w:p>
    <w:p w14:paraId="53A43935">
      <w:pPr>
        <w:suppressLineNumbers/>
        <w:spacing w:line="324" w:lineRule="auto"/>
        <w:ind w:right="228" w:rightChars="95" w:firstLine="480" w:firstLineChars="200"/>
        <w:rPr>
          <w:rFonts w:hint="eastAsia" w:ascii="仿宋" w:hAnsi="仿宋" w:eastAsia="仿宋" w:cs="仿宋"/>
          <w:sz w:val="24"/>
          <w:szCs w:val="24"/>
        </w:rPr>
      </w:pPr>
      <w:r>
        <w:rPr>
          <w:rFonts w:hint="eastAsia" w:ascii="仿宋" w:hAnsi="仿宋" w:eastAsia="仿宋" w:cs="仿宋"/>
          <w:sz w:val="24"/>
          <w:szCs w:val="24"/>
        </w:rPr>
        <w:t>4.售价：0元</w:t>
      </w:r>
    </w:p>
    <w:p w14:paraId="502B4B51">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b/>
          <w:sz w:val="24"/>
          <w:szCs w:val="24"/>
        </w:rPr>
      </w:pPr>
      <w:bookmarkStart w:id="29" w:name="_Toc102119803"/>
      <w:bookmarkStart w:id="30" w:name="_Toc102056170"/>
      <w:bookmarkStart w:id="31" w:name="_Toc102115972"/>
      <w:bookmarkStart w:id="32" w:name="_Toc102057670"/>
      <w:bookmarkStart w:id="33" w:name="_Toc102114870"/>
      <w:bookmarkStart w:id="34" w:name="_Toc102116102"/>
      <w:r>
        <w:rPr>
          <w:rFonts w:hint="eastAsia" w:ascii="仿宋" w:hAnsi="仿宋" w:eastAsia="仿宋" w:cs="仿宋"/>
          <w:b/>
          <w:sz w:val="24"/>
          <w:szCs w:val="24"/>
        </w:rPr>
        <w:t>四、提交响应文件截止时间、磋商时间和地点</w:t>
      </w:r>
      <w:bookmarkEnd w:id="29"/>
      <w:bookmarkEnd w:id="30"/>
      <w:bookmarkEnd w:id="31"/>
      <w:bookmarkEnd w:id="32"/>
      <w:bookmarkEnd w:id="33"/>
      <w:bookmarkEnd w:id="34"/>
    </w:p>
    <w:p w14:paraId="07EE0D96">
      <w:pPr>
        <w:keepNext w:val="0"/>
        <w:keepLines w:val="0"/>
        <w:pageBreakBefore w:val="0"/>
        <w:numPr>
          <w:ilvl w:val="0"/>
          <w:numId w:val="5"/>
        </w:numPr>
        <w:tabs>
          <w:tab w:val="left" w:pos="0"/>
          <w:tab w:val="left" w:pos="851"/>
        </w:tabs>
        <w:kinsoku/>
        <w:wordWrap w:val="0"/>
        <w:overflowPunct/>
        <w:topLinePunct w:val="0"/>
        <w:autoSpaceDE/>
        <w:autoSpaceDN/>
        <w:bidi w:val="0"/>
        <w:adjustRightInd/>
        <w:snapToGrid/>
        <w:spacing w:line="360" w:lineRule="auto"/>
        <w:ind w:left="-2" w:leftChars="0" w:firstLine="482" w:firstLineChars="0"/>
        <w:textAlignment w:val="auto"/>
        <w:rPr>
          <w:rFonts w:hint="eastAsia" w:ascii="仿宋" w:hAnsi="仿宋" w:eastAsia="仿宋" w:cs="仿宋"/>
          <w:sz w:val="24"/>
          <w:szCs w:val="24"/>
        </w:rPr>
      </w:pPr>
      <w:r>
        <w:rPr>
          <w:rFonts w:hint="eastAsia" w:ascii="仿宋" w:hAnsi="仿宋" w:eastAsia="仿宋" w:cs="仿宋"/>
          <w:sz w:val="24"/>
          <w:szCs w:val="24"/>
        </w:rPr>
        <w:t>提交响应文件截止时间、磋商时间：</w:t>
      </w:r>
      <w:r>
        <w:rPr>
          <w:rFonts w:hint="eastAsia" w:ascii="仿宋" w:hAnsi="仿宋" w:eastAsia="仿宋" w:cs="仿宋"/>
          <w:b/>
          <w:bCs/>
          <w:sz w:val="24"/>
          <w:szCs w:val="24"/>
        </w:rPr>
        <w:t>202</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年</w:t>
      </w:r>
      <w:r>
        <w:rPr>
          <w:rFonts w:hint="eastAsia" w:ascii="仿宋" w:hAnsi="仿宋" w:eastAsia="仿宋" w:cs="仿宋"/>
          <w:b/>
          <w:bCs/>
          <w:sz w:val="24"/>
          <w:szCs w:val="24"/>
          <w:lang w:val="en-US" w:eastAsia="zh-CN"/>
        </w:rPr>
        <w:t>02</w:t>
      </w:r>
      <w:r>
        <w:rPr>
          <w:rFonts w:hint="eastAsia" w:ascii="仿宋" w:hAnsi="仿宋" w:eastAsia="仿宋" w:cs="仿宋"/>
          <w:b/>
          <w:bCs/>
          <w:sz w:val="24"/>
          <w:szCs w:val="24"/>
        </w:rPr>
        <w:t>月</w:t>
      </w:r>
      <w:r>
        <w:rPr>
          <w:rFonts w:hint="eastAsia" w:ascii="仿宋" w:hAnsi="仿宋" w:eastAsia="仿宋" w:cs="仿宋"/>
          <w:b/>
          <w:bCs/>
          <w:sz w:val="24"/>
          <w:szCs w:val="24"/>
          <w:lang w:val="en-US" w:eastAsia="zh-CN"/>
        </w:rPr>
        <w:t>24</w:t>
      </w:r>
      <w:r>
        <w:rPr>
          <w:rFonts w:hint="eastAsia" w:ascii="仿宋" w:hAnsi="仿宋" w:eastAsia="仿宋" w:cs="仿宋"/>
          <w:b/>
          <w:bCs/>
          <w:sz w:val="24"/>
          <w:szCs w:val="24"/>
        </w:rPr>
        <w:t>日09时30分；</w:t>
      </w:r>
    </w:p>
    <w:p w14:paraId="5344D517">
      <w:pPr>
        <w:keepNext w:val="0"/>
        <w:keepLines w:val="0"/>
        <w:pageBreakBefore w:val="0"/>
        <w:numPr>
          <w:ilvl w:val="0"/>
          <w:numId w:val="5"/>
        </w:numPr>
        <w:tabs>
          <w:tab w:val="left" w:pos="0"/>
          <w:tab w:val="left" w:pos="851"/>
        </w:tabs>
        <w:kinsoku/>
        <w:wordWrap w:val="0"/>
        <w:overflowPunct/>
        <w:topLinePunct w:val="0"/>
        <w:autoSpaceDE/>
        <w:autoSpaceDN/>
        <w:bidi w:val="0"/>
        <w:adjustRightInd/>
        <w:snapToGrid/>
        <w:spacing w:line="360" w:lineRule="auto"/>
        <w:ind w:left="-2" w:leftChars="0" w:firstLine="482" w:firstLineChars="0"/>
        <w:textAlignment w:val="auto"/>
        <w:rPr>
          <w:rFonts w:hint="eastAsia" w:ascii="仿宋" w:hAnsi="仿宋" w:eastAsia="仿宋" w:cs="仿宋"/>
          <w:sz w:val="24"/>
          <w:szCs w:val="24"/>
        </w:rPr>
      </w:pPr>
      <w:r>
        <w:rPr>
          <w:rFonts w:hint="eastAsia" w:ascii="仿宋" w:hAnsi="仿宋" w:eastAsia="仿宋" w:cs="仿宋"/>
          <w:sz w:val="24"/>
          <w:szCs w:val="24"/>
        </w:rPr>
        <w:t>地点：</w:t>
      </w:r>
      <w:r>
        <w:rPr>
          <w:rFonts w:hint="eastAsia" w:ascii="仿宋" w:hAnsi="仿宋" w:eastAsia="仿宋" w:cs="仿宋"/>
          <w:spacing w:val="-2"/>
          <w:sz w:val="24"/>
          <w:lang w:eastAsia="zh-CN"/>
        </w:rPr>
        <w:t>随县</w:t>
      </w:r>
      <w:r>
        <w:rPr>
          <w:rFonts w:hint="eastAsia" w:ascii="仿宋" w:hAnsi="仿宋" w:eastAsia="仿宋" w:cs="仿宋"/>
          <w:spacing w:val="-2"/>
          <w:sz w:val="24"/>
        </w:rPr>
        <w:t>政府电子采购平台</w:t>
      </w:r>
      <w:r>
        <w:rPr>
          <w:rFonts w:hint="eastAsia" w:ascii="仿宋" w:hAnsi="仿宋" w:eastAsia="仿宋" w:cs="仿宋"/>
          <w:spacing w:val="-3"/>
          <w:sz w:val="24"/>
        </w:rPr>
        <w:t>（</w:t>
      </w:r>
      <w:r>
        <w:fldChar w:fldCharType="begin"/>
      </w:r>
      <w:r>
        <w:instrText xml:space="preserve"> HYPERLINK "https://dzcg.hubeigp.gov.cn/assets/special/100/hbenterpoint.html" </w:instrText>
      </w:r>
      <w:r>
        <w:fldChar w:fldCharType="separate"/>
      </w:r>
      <w:r>
        <w:rPr>
          <w:rStyle w:val="35"/>
          <w:rFonts w:hint="default" w:ascii="仿宋" w:hAnsi="仿宋" w:eastAsia="仿宋" w:cs="仿宋"/>
          <w:color w:val="auto"/>
          <w:spacing w:val="-3"/>
          <w:sz w:val="24"/>
        </w:rPr>
        <w:t>https://dzcg.hubeigp.gov.cn/assets/special/100/hbenterpoint.html</w:t>
      </w:r>
      <w:r>
        <w:rPr>
          <w:rStyle w:val="35"/>
          <w:rFonts w:hint="default" w:ascii="仿宋" w:hAnsi="仿宋" w:eastAsia="仿宋" w:cs="仿宋"/>
          <w:color w:val="auto"/>
          <w:spacing w:val="-3"/>
          <w:sz w:val="24"/>
        </w:rPr>
        <w:fldChar w:fldCharType="end"/>
      </w:r>
      <w:r>
        <w:rPr>
          <w:rFonts w:hint="eastAsia" w:ascii="仿宋" w:hAnsi="仿宋" w:eastAsia="仿宋" w:cs="仿宋"/>
          <w:spacing w:val="-3"/>
          <w:sz w:val="24"/>
        </w:rPr>
        <w:t>）。</w:t>
      </w:r>
    </w:p>
    <w:p w14:paraId="778607C3">
      <w:pPr>
        <w:keepNext w:val="0"/>
        <w:keepLines w:val="0"/>
        <w:pageBreakBefore w:val="0"/>
        <w:kinsoku/>
        <w:overflowPunct/>
        <w:topLinePunct w:val="0"/>
        <w:autoSpaceDE/>
        <w:autoSpaceDN/>
        <w:bidi w:val="0"/>
        <w:adjustRightInd/>
        <w:snapToGrid/>
        <w:spacing w:line="360" w:lineRule="auto"/>
        <w:ind w:right="228" w:rightChars="95"/>
        <w:textAlignment w:val="auto"/>
        <w:outlineLvl w:val="1"/>
        <w:rPr>
          <w:rFonts w:ascii="仿宋" w:hAnsi="仿宋" w:eastAsia="仿宋" w:cs="Times New Roman"/>
          <w:b/>
          <w:bCs/>
          <w:sz w:val="24"/>
          <w:szCs w:val="24"/>
        </w:rPr>
      </w:pPr>
      <w:bookmarkStart w:id="35" w:name="_Toc97906090"/>
      <w:bookmarkStart w:id="36" w:name="_Toc10375"/>
      <w:bookmarkStart w:id="37" w:name="_Toc26340"/>
      <w:bookmarkStart w:id="38" w:name="_Toc97735154"/>
      <w:r>
        <w:rPr>
          <w:rFonts w:hint="eastAsia" w:ascii="仿宋" w:hAnsi="仿宋" w:eastAsia="仿宋" w:cs="Times New Roman"/>
          <w:b/>
          <w:bCs/>
          <w:sz w:val="24"/>
          <w:szCs w:val="24"/>
        </w:rPr>
        <w:t>五、开启</w:t>
      </w:r>
      <w:bookmarkEnd w:id="35"/>
      <w:bookmarkEnd w:id="36"/>
      <w:bookmarkEnd w:id="37"/>
      <w:bookmarkEnd w:id="38"/>
    </w:p>
    <w:p w14:paraId="2AE2047C">
      <w:pPr>
        <w:keepNext w:val="0"/>
        <w:keepLines w:val="0"/>
        <w:pageBreakBefore w:val="0"/>
        <w:numPr>
          <w:ilvl w:val="0"/>
          <w:numId w:val="0"/>
        </w:numPr>
        <w:tabs>
          <w:tab w:val="left" w:pos="0"/>
          <w:tab w:val="left" w:pos="851"/>
        </w:tabs>
        <w:kinsoku/>
        <w:wordWrap w:val="0"/>
        <w:overflowPunct/>
        <w:topLinePunct w:val="0"/>
        <w:autoSpaceDE/>
        <w:autoSpaceDN/>
        <w:bidi w:val="0"/>
        <w:adjustRightInd/>
        <w:snapToGrid/>
        <w:spacing w:line="360" w:lineRule="auto"/>
        <w:ind w:left="480" w:leftChars="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时间：</w:t>
      </w:r>
      <w:r>
        <w:rPr>
          <w:rFonts w:hint="eastAsia" w:ascii="仿宋" w:hAnsi="仿宋" w:eastAsia="仿宋" w:cs="仿宋"/>
          <w:b/>
          <w:bCs/>
          <w:sz w:val="24"/>
          <w:szCs w:val="24"/>
        </w:rPr>
        <w:t>202</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年</w:t>
      </w:r>
      <w:r>
        <w:rPr>
          <w:rFonts w:hint="eastAsia" w:ascii="仿宋" w:hAnsi="仿宋" w:eastAsia="仿宋" w:cs="仿宋"/>
          <w:b/>
          <w:bCs/>
          <w:sz w:val="24"/>
          <w:szCs w:val="24"/>
          <w:lang w:val="en-US" w:eastAsia="zh-CN"/>
        </w:rPr>
        <w:t>02</w:t>
      </w:r>
      <w:r>
        <w:rPr>
          <w:rFonts w:hint="eastAsia" w:ascii="仿宋" w:hAnsi="仿宋" w:eastAsia="仿宋" w:cs="仿宋"/>
          <w:b/>
          <w:bCs/>
          <w:sz w:val="24"/>
          <w:szCs w:val="24"/>
        </w:rPr>
        <w:t>月</w:t>
      </w:r>
      <w:r>
        <w:rPr>
          <w:rFonts w:hint="eastAsia" w:ascii="仿宋" w:hAnsi="仿宋" w:eastAsia="仿宋" w:cs="仿宋"/>
          <w:b/>
          <w:bCs/>
          <w:sz w:val="24"/>
          <w:szCs w:val="24"/>
          <w:lang w:val="en-US" w:eastAsia="zh-CN"/>
        </w:rPr>
        <w:t>24</w:t>
      </w:r>
      <w:r>
        <w:rPr>
          <w:rFonts w:hint="eastAsia" w:ascii="仿宋" w:hAnsi="仿宋" w:eastAsia="仿宋" w:cs="仿宋"/>
          <w:b/>
          <w:bCs/>
          <w:sz w:val="24"/>
          <w:szCs w:val="24"/>
        </w:rPr>
        <w:t>日</w:t>
      </w:r>
      <w:r>
        <w:rPr>
          <w:rFonts w:hint="eastAsia" w:ascii="仿宋" w:hAnsi="仿宋" w:eastAsia="仿宋" w:cs="仿宋"/>
          <w:b/>
          <w:bCs/>
          <w:sz w:val="24"/>
          <w:szCs w:val="24"/>
          <w:lang w:val="en-US" w:eastAsia="zh-CN"/>
        </w:rPr>
        <w:t>09：</w:t>
      </w:r>
      <w:r>
        <w:rPr>
          <w:rFonts w:hint="eastAsia" w:ascii="仿宋" w:hAnsi="仿宋" w:eastAsia="仿宋" w:cs="仿宋"/>
          <w:b/>
          <w:bCs/>
          <w:sz w:val="24"/>
          <w:szCs w:val="24"/>
        </w:rPr>
        <w:t>30分（北京时间）。</w:t>
      </w:r>
    </w:p>
    <w:p w14:paraId="07E143A9">
      <w:pPr>
        <w:keepNext w:val="0"/>
        <w:keepLines w:val="0"/>
        <w:pageBreakBefore w:val="0"/>
        <w:numPr>
          <w:ilvl w:val="0"/>
          <w:numId w:val="0"/>
        </w:numPr>
        <w:tabs>
          <w:tab w:val="left" w:pos="0"/>
          <w:tab w:val="left" w:pos="851"/>
        </w:tabs>
        <w:kinsoku/>
        <w:wordWrap w:val="0"/>
        <w:overflowPunct/>
        <w:topLinePunct w:val="0"/>
        <w:autoSpaceDE/>
        <w:autoSpaceDN/>
        <w:bidi w:val="0"/>
        <w:adjustRightInd/>
        <w:snapToGrid/>
        <w:spacing w:line="360" w:lineRule="auto"/>
        <w:ind w:left="480" w:leftChars="0"/>
        <w:textAlignment w:val="auto"/>
        <w:rPr>
          <w:rFonts w:ascii="仿宋" w:hAnsi="仿宋" w:eastAsia="仿宋" w:cs="宋体"/>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地点</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宋体"/>
          <w:sz w:val="24"/>
          <w:szCs w:val="24"/>
          <w:lang w:eastAsia="zh-CN"/>
        </w:rPr>
        <w:t>随县</w:t>
      </w:r>
      <w:r>
        <w:rPr>
          <w:rFonts w:hint="eastAsia" w:ascii="仿宋" w:hAnsi="仿宋" w:eastAsia="仿宋" w:cs="宋体"/>
          <w:sz w:val="24"/>
          <w:szCs w:val="24"/>
        </w:rPr>
        <w:t>政府电子采购平台”。（https://dzcg.hubeigp.gov.cn/assets/special/100/hbenterpoint.html）</w:t>
      </w:r>
    </w:p>
    <w:p w14:paraId="3D4A6C32">
      <w:pPr>
        <w:keepNext w:val="0"/>
        <w:keepLines w:val="0"/>
        <w:pageBreakBefore w:val="0"/>
        <w:suppressLineNumbers/>
        <w:kinsoku/>
        <w:overflowPunct/>
        <w:topLinePunct w:val="0"/>
        <w:autoSpaceDE/>
        <w:autoSpaceDN/>
        <w:bidi w:val="0"/>
        <w:adjustRightInd/>
        <w:snapToGrid/>
        <w:spacing w:line="360" w:lineRule="auto"/>
        <w:ind w:right="228" w:rightChars="95"/>
        <w:textAlignment w:val="auto"/>
        <w:outlineLvl w:val="1"/>
        <w:rPr>
          <w:rFonts w:ascii="仿宋" w:hAnsi="仿宋" w:eastAsia="仿宋" w:cs="仿宋"/>
          <w:b/>
          <w:bCs/>
          <w:sz w:val="24"/>
          <w:szCs w:val="24"/>
        </w:rPr>
      </w:pPr>
      <w:bookmarkStart w:id="39" w:name="_Toc3294"/>
      <w:r>
        <w:rPr>
          <w:rFonts w:hint="eastAsia" w:ascii="仿宋" w:hAnsi="仿宋" w:eastAsia="仿宋" w:cs="仿宋"/>
          <w:b/>
          <w:bCs/>
          <w:sz w:val="24"/>
          <w:szCs w:val="24"/>
        </w:rPr>
        <w:t>六、公告期限</w:t>
      </w:r>
      <w:bookmarkEnd w:id="39"/>
    </w:p>
    <w:p w14:paraId="41D87DB9">
      <w:pPr>
        <w:keepNext w:val="0"/>
        <w:keepLines w:val="0"/>
        <w:pageBreakBefore w:val="0"/>
        <w:widowControl w:val="0"/>
        <w:suppressLineNumbers/>
        <w:kinsoku/>
        <w:wordWrap/>
        <w:overflowPunct/>
        <w:topLinePunct w:val="0"/>
        <w:autoSpaceDE/>
        <w:autoSpaceDN/>
        <w:bidi w:val="0"/>
        <w:adjustRightInd/>
        <w:snapToGrid/>
        <w:spacing w:line="360" w:lineRule="auto"/>
        <w:ind w:right="228" w:rightChars="95" w:firstLine="480" w:firstLineChars="200"/>
        <w:textAlignment w:val="auto"/>
        <w:rPr>
          <w:rFonts w:hint="eastAsia"/>
        </w:rPr>
      </w:pPr>
      <w:r>
        <w:rPr>
          <w:rFonts w:hint="eastAsia" w:ascii="仿宋" w:hAnsi="仿宋" w:eastAsia="仿宋" w:cs="仿宋"/>
          <w:sz w:val="24"/>
          <w:szCs w:val="24"/>
        </w:rPr>
        <w:t>自本公告发布之日起</w:t>
      </w:r>
      <w:r>
        <w:rPr>
          <w:rFonts w:hint="eastAsia" w:ascii="仿宋" w:hAnsi="仿宋" w:eastAsia="仿宋" w:cs="仿宋"/>
          <w:sz w:val="24"/>
          <w:szCs w:val="24"/>
          <w:lang w:val="en-US" w:eastAsia="zh-CN"/>
        </w:rPr>
        <w:t>3</w:t>
      </w:r>
      <w:r>
        <w:rPr>
          <w:rFonts w:hint="eastAsia" w:ascii="仿宋" w:hAnsi="仿宋" w:eastAsia="仿宋" w:cs="仿宋"/>
          <w:sz w:val="24"/>
          <w:szCs w:val="24"/>
        </w:rPr>
        <w:t>个工作日。</w:t>
      </w:r>
    </w:p>
    <w:p w14:paraId="58063382">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b/>
          <w:sz w:val="24"/>
          <w:szCs w:val="24"/>
        </w:rPr>
      </w:pPr>
      <w:bookmarkStart w:id="40" w:name="_Toc102119804"/>
      <w:bookmarkStart w:id="41" w:name="_Toc102056171"/>
      <w:bookmarkStart w:id="42" w:name="_Toc102115973"/>
      <w:bookmarkStart w:id="43" w:name="_Toc102114871"/>
      <w:bookmarkStart w:id="44" w:name="_Toc102116103"/>
      <w:bookmarkStart w:id="45" w:name="_Toc102057671"/>
      <w:r>
        <w:rPr>
          <w:rFonts w:hint="eastAsia" w:ascii="仿宋" w:hAnsi="仿宋" w:eastAsia="仿宋" w:cs="仿宋"/>
          <w:b/>
          <w:sz w:val="24"/>
          <w:szCs w:val="24"/>
          <w:lang w:eastAsia="zh-CN"/>
        </w:rPr>
        <w:t>七</w:t>
      </w:r>
      <w:r>
        <w:rPr>
          <w:rFonts w:hint="eastAsia" w:ascii="仿宋" w:hAnsi="仿宋" w:eastAsia="仿宋" w:cs="仿宋"/>
          <w:b/>
          <w:sz w:val="24"/>
          <w:szCs w:val="24"/>
        </w:rPr>
        <w:t>、</w:t>
      </w:r>
      <w:bookmarkEnd w:id="40"/>
      <w:bookmarkEnd w:id="41"/>
      <w:bookmarkEnd w:id="42"/>
      <w:bookmarkEnd w:id="43"/>
      <w:bookmarkEnd w:id="44"/>
      <w:bookmarkEnd w:id="45"/>
      <w:bookmarkStart w:id="46" w:name="_Toc102114872"/>
      <w:bookmarkStart w:id="47" w:name="_Toc102119805"/>
      <w:bookmarkStart w:id="48" w:name="_Toc102116104"/>
      <w:bookmarkStart w:id="49" w:name="_Toc102056172"/>
      <w:bookmarkStart w:id="50" w:name="_Toc102057672"/>
      <w:bookmarkStart w:id="51" w:name="_Toc102115974"/>
      <w:r>
        <w:rPr>
          <w:rFonts w:hint="eastAsia" w:ascii="仿宋" w:hAnsi="仿宋" w:eastAsia="仿宋" w:cs="仿宋"/>
          <w:b/>
          <w:sz w:val="24"/>
          <w:szCs w:val="24"/>
        </w:rPr>
        <w:t>其他补充事宜</w:t>
      </w:r>
      <w:bookmarkEnd w:id="46"/>
      <w:bookmarkEnd w:id="47"/>
      <w:bookmarkEnd w:id="48"/>
      <w:bookmarkEnd w:id="49"/>
      <w:bookmarkEnd w:id="50"/>
      <w:bookmarkEnd w:id="51"/>
    </w:p>
    <w:p w14:paraId="57AD6996">
      <w:pPr>
        <w:keepNext w:val="0"/>
        <w:keepLines w:val="0"/>
        <w:pageBreakBefore w:val="0"/>
        <w:numPr>
          <w:ilvl w:val="0"/>
          <w:numId w:val="6"/>
        </w:numPr>
        <w:tabs>
          <w:tab w:val="left" w:pos="0"/>
          <w:tab w:val="left" w:pos="851"/>
        </w:tabs>
        <w:kinsoku/>
        <w:wordWrap w:val="0"/>
        <w:overflowPunct/>
        <w:topLinePunct w:val="0"/>
        <w:autoSpaceDE/>
        <w:autoSpaceDN/>
        <w:bidi w:val="0"/>
        <w:adjustRightInd/>
        <w:snapToGrid/>
        <w:spacing w:line="360" w:lineRule="auto"/>
        <w:ind w:left="900" w:leftChars="0" w:firstLineChars="0"/>
        <w:textAlignment w:val="auto"/>
        <w:rPr>
          <w:rFonts w:hint="eastAsia" w:ascii="仿宋" w:hAnsi="仿宋" w:eastAsia="仿宋" w:cs="仿宋"/>
          <w:sz w:val="24"/>
          <w:szCs w:val="24"/>
          <w:u w:val="none"/>
        </w:rPr>
      </w:pPr>
      <w:r>
        <w:rPr>
          <w:rFonts w:hint="eastAsia" w:ascii="仿宋" w:hAnsi="仿宋" w:eastAsia="仿宋" w:cs="仿宋"/>
          <w:sz w:val="24"/>
          <w:szCs w:val="24"/>
        </w:rPr>
        <w:t>是否政府集中采购项目：</w:t>
      </w:r>
      <w:r>
        <w:rPr>
          <w:rFonts w:hint="eastAsia" w:ascii="仿宋" w:hAnsi="仿宋" w:eastAsia="仿宋" w:cs="仿宋"/>
          <w:sz w:val="24"/>
          <w:szCs w:val="24"/>
          <w:u w:val="none"/>
          <w:lang w:eastAsia="zh-CN"/>
        </w:rPr>
        <w:t>是</w:t>
      </w:r>
      <w:r>
        <w:rPr>
          <w:rFonts w:hint="eastAsia" w:ascii="仿宋" w:hAnsi="仿宋" w:eastAsia="仿宋" w:cs="仿宋"/>
          <w:sz w:val="24"/>
          <w:szCs w:val="24"/>
          <w:u w:val="none"/>
        </w:rPr>
        <w:t>；</w:t>
      </w:r>
    </w:p>
    <w:p w14:paraId="2560CF3C">
      <w:pPr>
        <w:keepNext w:val="0"/>
        <w:keepLines w:val="0"/>
        <w:pageBreakBefore w:val="0"/>
        <w:numPr>
          <w:ilvl w:val="0"/>
          <w:numId w:val="6"/>
        </w:numPr>
        <w:tabs>
          <w:tab w:val="left" w:pos="0"/>
          <w:tab w:val="left" w:pos="851"/>
        </w:tabs>
        <w:kinsoku/>
        <w:wordWrap w:val="0"/>
        <w:overflowPunct/>
        <w:topLinePunct w:val="0"/>
        <w:autoSpaceDE/>
        <w:autoSpaceDN/>
        <w:bidi w:val="0"/>
        <w:adjustRightInd/>
        <w:snapToGrid/>
        <w:spacing w:line="360" w:lineRule="auto"/>
        <w:ind w:left="-2" w:leftChars="0" w:firstLine="482" w:firstLineChars="0"/>
        <w:textAlignment w:val="auto"/>
        <w:rPr>
          <w:rFonts w:hint="eastAsia" w:ascii="仿宋" w:hAnsi="仿宋" w:eastAsia="仿宋" w:cs="仿宋"/>
          <w:sz w:val="24"/>
          <w:szCs w:val="24"/>
        </w:rPr>
      </w:pPr>
      <w:r>
        <w:rPr>
          <w:rFonts w:hint="eastAsia" w:ascii="仿宋" w:hAnsi="仿宋" w:eastAsia="仿宋" w:cs="仿宋"/>
          <w:sz w:val="24"/>
          <w:szCs w:val="24"/>
        </w:rPr>
        <w:t>采购预算资金来源：财政性资金；</w:t>
      </w:r>
    </w:p>
    <w:p w14:paraId="5F4CC346">
      <w:pPr>
        <w:keepNext w:val="0"/>
        <w:keepLines w:val="0"/>
        <w:pageBreakBefore w:val="0"/>
        <w:widowControl w:val="0"/>
        <w:numPr>
          <w:ilvl w:val="0"/>
          <w:numId w:val="0"/>
        </w:numPr>
        <w:suppressLineNumbers/>
        <w:kinsoku/>
        <w:wordWrap/>
        <w:overflowPunct/>
        <w:topLinePunct w:val="0"/>
        <w:autoSpaceDE/>
        <w:autoSpaceDN/>
        <w:bidi w:val="0"/>
        <w:adjustRightInd/>
        <w:snapToGrid/>
        <w:spacing w:line="360" w:lineRule="auto"/>
        <w:ind w:right="228" w:rightChars="95" w:firstLine="480" w:firstLineChars="200"/>
        <w:textAlignment w:val="auto"/>
        <w:outlineLvl w:val="1"/>
        <w:rPr>
          <w:rFonts w:ascii="仿宋" w:hAnsi="仿宋" w:eastAsia="仿宋"/>
        </w:rPr>
      </w:pPr>
      <w:bookmarkStart w:id="52" w:name="_Toc102119806"/>
      <w:bookmarkStart w:id="53" w:name="_Toc102057673"/>
      <w:bookmarkStart w:id="54" w:name="_Toc102056173"/>
      <w:bookmarkStart w:id="55" w:name="_Toc102115975"/>
      <w:bookmarkStart w:id="56" w:name="_Toc102114873"/>
      <w:bookmarkStart w:id="57" w:name="_Toc102116105"/>
      <w:r>
        <w:rPr>
          <w:rFonts w:hint="eastAsia" w:ascii="仿宋" w:hAnsi="仿宋" w:eastAsia="仿宋" w:cs="仿宋"/>
          <w:sz w:val="24"/>
          <w:szCs w:val="24"/>
          <w:lang w:val="en-US" w:eastAsia="zh-CN"/>
        </w:rPr>
        <w:t>3.</w:t>
      </w:r>
      <w:r>
        <w:rPr>
          <w:rFonts w:ascii="仿宋" w:hAnsi="仿宋" w:eastAsia="仿宋" w:cs="仿宋"/>
          <w:sz w:val="24"/>
        </w:rPr>
        <w:t>供应商无需提交纸质响应文件，需于截止时间前在</w:t>
      </w:r>
      <w:r>
        <w:rPr>
          <w:rFonts w:hint="eastAsia" w:ascii="仿宋" w:hAnsi="仿宋" w:eastAsia="仿宋" w:cs="仿宋"/>
          <w:sz w:val="24"/>
          <w:lang w:eastAsia="zh-CN"/>
        </w:rPr>
        <w:t>随县</w:t>
      </w:r>
      <w:r>
        <w:rPr>
          <w:rFonts w:ascii="仿宋" w:hAnsi="仿宋" w:eastAsia="仿宋" w:cs="仿宋"/>
          <w:sz w:val="24"/>
        </w:rPr>
        <w:t>政府</w:t>
      </w:r>
      <w:r>
        <w:rPr>
          <w:rFonts w:hint="eastAsia" w:ascii="仿宋" w:hAnsi="仿宋" w:eastAsia="仿宋" w:cs="仿宋"/>
          <w:sz w:val="24"/>
        </w:rPr>
        <w:t>电子</w:t>
      </w:r>
      <w:r>
        <w:rPr>
          <w:rFonts w:ascii="仿宋" w:hAnsi="仿宋" w:eastAsia="仿宋" w:cs="仿宋"/>
          <w:sz w:val="24"/>
        </w:rPr>
        <w:t>采购</w:t>
      </w:r>
      <w:r>
        <w:rPr>
          <w:rFonts w:hint="eastAsia" w:ascii="仿宋" w:hAnsi="仿宋" w:eastAsia="仿宋" w:cs="仿宋"/>
          <w:sz w:val="24"/>
        </w:rPr>
        <w:t>平台上传电子响应文件一份。投标过程中如遇系统操作问题可咨询：0722-</w:t>
      </w:r>
      <w:r>
        <w:rPr>
          <w:rFonts w:hint="eastAsia" w:ascii="仿宋" w:hAnsi="仿宋" w:eastAsia="仿宋" w:cs="仿宋"/>
          <w:sz w:val="24"/>
          <w:lang w:val="en-US" w:eastAsia="zh-CN"/>
        </w:rPr>
        <w:t>3563205</w:t>
      </w:r>
      <w:r>
        <w:rPr>
          <w:rFonts w:hint="eastAsia" w:ascii="仿宋" w:hAnsi="仿宋" w:eastAsia="仿宋" w:cs="仿宋"/>
          <w:sz w:val="24"/>
        </w:rPr>
        <w:t>、全省供应商</w:t>
      </w:r>
      <w:r>
        <w:rPr>
          <w:rFonts w:ascii="仿宋" w:hAnsi="仿宋" w:eastAsia="仿宋"/>
          <w:sz w:val="24"/>
        </w:rPr>
        <w:t>QQ群：</w:t>
      </w:r>
      <w:r>
        <w:rPr>
          <w:rFonts w:hint="eastAsia" w:ascii="仿宋" w:hAnsi="仿宋" w:eastAsia="仿宋"/>
          <w:sz w:val="24"/>
        </w:rPr>
        <w:t>463671735 / 966545752</w:t>
      </w:r>
      <w:r>
        <w:rPr>
          <w:rFonts w:ascii="仿宋" w:hAnsi="仿宋" w:eastAsia="仿宋"/>
          <w:sz w:val="24"/>
        </w:rPr>
        <w:t>，联系电话：</w:t>
      </w:r>
      <w:r>
        <w:rPr>
          <w:rFonts w:hint="eastAsia" w:ascii="仿宋" w:hAnsi="仿宋" w:eastAsia="仿宋"/>
          <w:sz w:val="24"/>
        </w:rPr>
        <w:t>4009913966</w:t>
      </w:r>
    </w:p>
    <w:p w14:paraId="45E83E55">
      <w:pPr>
        <w:keepNext w:val="0"/>
        <w:keepLines w:val="0"/>
        <w:pageBreakBefore w:val="0"/>
        <w:widowControl w:val="0"/>
        <w:kinsoku/>
        <w:wordWrap/>
        <w:overflowPunct/>
        <w:topLinePunct w:val="0"/>
        <w:autoSpaceDE/>
        <w:autoSpaceDN/>
        <w:bidi w:val="0"/>
        <w:adjustRightInd/>
        <w:snapToGrid/>
        <w:spacing w:line="360" w:lineRule="auto"/>
        <w:ind w:right="-100" w:rightChars="-42" w:firstLine="480" w:firstLineChars="200"/>
        <w:textAlignment w:val="auto"/>
        <w:rPr>
          <w:rFonts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政府采购相关政策执行：落实政府采购强制优先采购节能产品政策；政府采购优先采购环保产品政策；政府采购促进中小企业发展（监狱企业、残疾人福利性单位视同小微企业）等政策。</w:t>
      </w:r>
    </w:p>
    <w:p w14:paraId="2870760C">
      <w:pPr>
        <w:pStyle w:val="11"/>
        <w:keepNext w:val="0"/>
        <w:keepLines w:val="0"/>
        <w:pageBreakBefore w:val="0"/>
        <w:widowControl w:val="0"/>
        <w:kinsoku/>
        <w:wordWrap/>
        <w:overflowPunct/>
        <w:topLinePunct w:val="0"/>
        <w:autoSpaceDE/>
        <w:autoSpaceDN/>
        <w:bidi w:val="0"/>
        <w:adjustRightInd/>
        <w:snapToGrid/>
        <w:spacing w:line="360" w:lineRule="auto"/>
        <w:ind w:right="-100" w:rightChars="-42" w:firstLine="480" w:firstLineChars="200"/>
        <w:textAlignment w:val="auto"/>
        <w:rPr>
          <w:rFonts w:hint="eastAsia" w:ascii="仿宋" w:hAnsi="仿宋" w:eastAsia="仿宋"/>
          <w:sz w:val="24"/>
          <w:lang w:val="en-US" w:eastAsia="zh-CN"/>
        </w:rPr>
      </w:pPr>
      <w:r>
        <w:rPr>
          <w:rFonts w:hint="eastAsia" w:ascii="仿宋" w:hAnsi="仿宋" w:eastAsia="仿宋"/>
          <w:sz w:val="24"/>
          <w:lang w:val="en-US" w:eastAsia="zh-CN"/>
        </w:rPr>
        <w:t>5.为支持扶持中小微企业及推进“政采贷”政策落实，目前随县已开通的“政采</w:t>
      </w:r>
    </w:p>
    <w:p w14:paraId="0C3581A3">
      <w:pPr>
        <w:pStyle w:val="11"/>
        <w:keepNext w:val="0"/>
        <w:keepLines w:val="0"/>
        <w:pageBreakBefore w:val="0"/>
        <w:widowControl w:val="0"/>
        <w:kinsoku/>
        <w:wordWrap/>
        <w:overflowPunct/>
        <w:topLinePunct w:val="0"/>
        <w:autoSpaceDE/>
        <w:autoSpaceDN/>
        <w:bidi w:val="0"/>
        <w:adjustRightInd/>
        <w:snapToGrid/>
        <w:spacing w:line="360" w:lineRule="auto"/>
        <w:ind w:right="-100" w:rightChars="-42"/>
        <w:textAlignment w:val="auto"/>
        <w:rPr>
          <w:rFonts w:hint="eastAsia" w:ascii="仿宋" w:hAnsi="仿宋" w:eastAsia="仿宋"/>
          <w:sz w:val="24"/>
          <w:lang w:val="en-US" w:eastAsia="zh-CN"/>
        </w:rPr>
      </w:pPr>
      <w:r>
        <w:rPr>
          <w:rFonts w:hint="eastAsia" w:ascii="仿宋" w:hAnsi="仿宋" w:eastAsia="仿宋"/>
          <w:sz w:val="24"/>
          <w:lang w:val="en-US" w:eastAsia="zh-CN"/>
        </w:rPr>
        <w:t>贷”银行有2家，联系方式如下：（1）建设银行随县支行：0722-3338009；（2）邮储银行随县支行：0722-3338922。</w:t>
      </w:r>
    </w:p>
    <w:p w14:paraId="656601FE">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0" w:rightChars="-42" w:firstLine="480" w:firstLineChars="200"/>
        <w:textAlignment w:val="auto"/>
        <w:rPr>
          <w:rFonts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sz w:val="24"/>
          <w:lang w:val="en-US" w:eastAsia="zh-CN"/>
        </w:rPr>
        <w:t>6.质疑：供应商对磋商文</w:t>
      </w:r>
      <w:r>
        <w:rPr>
          <w:rFonts w:hint="eastAsia" w:ascii="仿宋" w:hAnsi="仿宋" w:eastAsia="仿宋"/>
          <w:sz w:val="24"/>
        </w:rPr>
        <w:t>件、采购过程和中标结果使自己的权益受到损害的，可以在知道或者应知其权益受到损害之日起7个工作日内，向</w:t>
      </w:r>
      <w:r>
        <w:rPr>
          <w:rFonts w:hint="eastAsia" w:ascii="仿宋" w:hAnsi="仿宋" w:eastAsia="仿宋"/>
          <w:sz w:val="24"/>
          <w:lang w:eastAsia="zh-CN"/>
        </w:rPr>
        <w:t>随县政府采购</w:t>
      </w:r>
      <w:r>
        <w:rPr>
          <w:rFonts w:hint="eastAsia" w:ascii="仿宋" w:hAnsi="仿宋" w:eastAsia="仿宋"/>
          <w:sz w:val="24"/>
        </w:rPr>
        <w:t>中心提出质疑。质疑提出时间以提供书面质疑书记载为准。联系人</w:t>
      </w:r>
      <w:r>
        <w:rPr>
          <w:rFonts w:hint="eastAsia" w:ascii="仿宋" w:hAnsi="仿宋" w:eastAsia="仿宋"/>
          <w:sz w:val="24"/>
          <w:lang w:eastAsia="zh-CN"/>
        </w:rPr>
        <w:t>：钦盼</w:t>
      </w:r>
      <w:r>
        <w:rPr>
          <w:rFonts w:hint="eastAsia" w:ascii="仿宋" w:hAnsi="仿宋" w:eastAsia="仿宋"/>
          <w:sz w:val="24"/>
        </w:rPr>
        <w:t>；联系电话：0722-</w:t>
      </w:r>
      <w:r>
        <w:rPr>
          <w:rFonts w:hint="eastAsia" w:ascii="仿宋" w:hAnsi="仿宋" w:eastAsia="仿宋"/>
          <w:sz w:val="24"/>
          <w:lang w:val="en-US" w:eastAsia="zh-CN"/>
        </w:rPr>
        <w:t>3563205</w:t>
      </w:r>
      <w:r>
        <w:rPr>
          <w:rFonts w:hint="eastAsia" w:ascii="仿宋" w:hAnsi="仿宋" w:eastAsia="仿宋"/>
          <w:sz w:val="24"/>
        </w:rPr>
        <w:t>； 联系地址：</w:t>
      </w:r>
      <w:r>
        <w:rPr>
          <w:rFonts w:hint="eastAsia" w:ascii="仿宋" w:hAnsi="仿宋" w:eastAsia="仿宋"/>
          <w:sz w:val="24"/>
          <w:lang w:eastAsia="zh-CN"/>
        </w:rPr>
        <w:t>随县新民主路</w:t>
      </w:r>
      <w:r>
        <w:rPr>
          <w:rFonts w:hint="eastAsia" w:ascii="仿宋" w:hAnsi="仿宋" w:eastAsia="仿宋"/>
          <w:sz w:val="24"/>
        </w:rPr>
        <w:t>（随县政府大楼南侧）</w:t>
      </w:r>
    </w:p>
    <w:p w14:paraId="410AC54A">
      <w:pPr>
        <w:spacing w:line="360" w:lineRule="auto"/>
        <w:rPr>
          <w:rFonts w:hint="eastAsia" w:ascii="仿宋" w:hAnsi="仿宋" w:eastAsia="仿宋" w:cs="仿宋"/>
          <w:b/>
          <w:sz w:val="24"/>
          <w:szCs w:val="24"/>
        </w:rPr>
      </w:pPr>
      <w:r>
        <w:rPr>
          <w:rFonts w:hint="eastAsia" w:ascii="仿宋" w:hAnsi="仿宋" w:eastAsia="仿宋" w:cs="仿宋"/>
          <w:b/>
          <w:sz w:val="24"/>
          <w:szCs w:val="24"/>
        </w:rPr>
        <w:t>六、对本次竞争性磋商提出询问，请按以下方式联系</w:t>
      </w:r>
      <w:bookmarkEnd w:id="52"/>
      <w:bookmarkEnd w:id="53"/>
      <w:bookmarkEnd w:id="54"/>
      <w:bookmarkEnd w:id="55"/>
      <w:bookmarkEnd w:id="56"/>
      <w:bookmarkEnd w:id="57"/>
    </w:p>
    <w:p w14:paraId="06417A19">
      <w:pPr>
        <w:numPr>
          <w:ilvl w:val="0"/>
          <w:numId w:val="7"/>
        </w:numPr>
        <w:tabs>
          <w:tab w:val="left" w:pos="0"/>
        </w:tabs>
        <w:wordWrap w:val="0"/>
        <w:spacing w:line="360" w:lineRule="auto"/>
        <w:ind w:left="851" w:hanging="369"/>
        <w:rPr>
          <w:rFonts w:hint="eastAsia" w:ascii="仿宋" w:hAnsi="仿宋" w:eastAsia="仿宋" w:cs="仿宋"/>
          <w:sz w:val="24"/>
          <w:szCs w:val="24"/>
        </w:rPr>
      </w:pPr>
      <w:r>
        <w:rPr>
          <w:rFonts w:hint="eastAsia" w:ascii="仿宋" w:hAnsi="仿宋" w:eastAsia="仿宋" w:cs="仿宋"/>
          <w:sz w:val="24"/>
          <w:szCs w:val="24"/>
        </w:rPr>
        <w:t>采购人信息</w:t>
      </w:r>
    </w:p>
    <w:p w14:paraId="3E2E1ACF">
      <w:pPr>
        <w:tabs>
          <w:tab w:val="left" w:pos="0"/>
        </w:tabs>
        <w:wordWrap w:val="0"/>
        <w:spacing w:line="360" w:lineRule="auto"/>
        <w:ind w:left="851"/>
        <w:rPr>
          <w:rFonts w:hint="default" w:ascii="仿宋" w:hAnsi="仿宋" w:eastAsia="仿宋" w:cs="仿宋"/>
          <w:sz w:val="24"/>
          <w:szCs w:val="24"/>
          <w:lang w:eastAsia="zh-CN"/>
        </w:rPr>
      </w:pPr>
      <w:r>
        <w:rPr>
          <w:rFonts w:hint="eastAsia" w:ascii="仿宋" w:hAnsi="仿宋" w:eastAsia="仿宋" w:cs="仿宋"/>
          <w:sz w:val="24"/>
          <w:szCs w:val="24"/>
        </w:rPr>
        <w:t>名称：</w:t>
      </w:r>
      <w:r>
        <w:rPr>
          <w:rFonts w:hint="eastAsia" w:ascii="仿宋" w:hAnsi="仿宋" w:eastAsia="仿宋" w:cs="仿宋"/>
          <w:sz w:val="24"/>
          <w:szCs w:val="24"/>
          <w:lang w:eastAsia="zh-CN"/>
        </w:rPr>
        <w:t>随县</w:t>
      </w:r>
      <w:r>
        <w:rPr>
          <w:rFonts w:hint="default" w:ascii="仿宋" w:hAnsi="仿宋" w:eastAsia="仿宋" w:cs="仿宋"/>
          <w:sz w:val="24"/>
          <w:szCs w:val="24"/>
          <w:lang w:eastAsia="zh-CN"/>
        </w:rPr>
        <w:t>水利和湖泊局</w:t>
      </w:r>
    </w:p>
    <w:p w14:paraId="1AC7EC00">
      <w:pPr>
        <w:tabs>
          <w:tab w:val="left" w:pos="0"/>
        </w:tabs>
        <w:wordWrap w:val="0"/>
        <w:spacing w:line="360" w:lineRule="auto"/>
        <w:ind w:left="851"/>
        <w:rPr>
          <w:rFonts w:hint="eastAsia" w:ascii="仿宋" w:hAnsi="仿宋" w:eastAsia="仿宋" w:cs="仿宋"/>
          <w:sz w:val="24"/>
          <w:szCs w:val="24"/>
          <w:lang w:eastAsia="zh-CN"/>
        </w:rPr>
      </w:pPr>
      <w:r>
        <w:rPr>
          <w:rFonts w:hint="eastAsia" w:ascii="仿宋" w:hAnsi="仿宋" w:eastAsia="仿宋" w:cs="仿宋"/>
          <w:sz w:val="24"/>
          <w:szCs w:val="24"/>
        </w:rPr>
        <w:t>地址：</w:t>
      </w:r>
      <w:r>
        <w:rPr>
          <w:rFonts w:hint="default" w:ascii="仿宋" w:hAnsi="仿宋" w:eastAsia="仿宋" w:cs="仿宋"/>
          <w:sz w:val="24"/>
          <w:szCs w:val="24"/>
          <w:lang w:eastAsia="zh-CN"/>
        </w:rPr>
        <w:t>随县新城区振兴路</w:t>
      </w:r>
    </w:p>
    <w:p w14:paraId="23333AD2">
      <w:pPr>
        <w:tabs>
          <w:tab w:val="left" w:pos="0"/>
        </w:tabs>
        <w:wordWrap w:val="0"/>
        <w:spacing w:line="360" w:lineRule="auto"/>
        <w:ind w:left="851"/>
        <w:rPr>
          <w:rFonts w:hint="default" w:ascii="仿宋" w:hAnsi="仿宋" w:eastAsia="仿宋" w:cs="仿宋"/>
          <w:sz w:val="24"/>
          <w:szCs w:val="24"/>
          <w:lang w:eastAsia="zh-CN"/>
        </w:rPr>
      </w:pPr>
      <w:r>
        <w:rPr>
          <w:rFonts w:hint="default" w:ascii="仿宋" w:hAnsi="仿宋" w:eastAsia="仿宋" w:cs="仿宋"/>
          <w:sz w:val="24"/>
          <w:szCs w:val="24"/>
          <w:lang w:eastAsia="zh-CN"/>
        </w:rPr>
        <w:t>联系方式：</w:t>
      </w:r>
      <w:r>
        <w:rPr>
          <w:rFonts w:hint="eastAsia" w:ascii="仿宋" w:hAnsi="仿宋" w:eastAsia="仿宋" w:cs="仿宋"/>
          <w:sz w:val="24"/>
          <w:szCs w:val="24"/>
          <w:lang w:eastAsia="zh-CN"/>
        </w:rPr>
        <w:t xml:space="preserve">向主任 </w:t>
      </w:r>
      <w:r>
        <w:rPr>
          <w:rFonts w:hint="default" w:ascii="仿宋" w:hAnsi="仿宋" w:eastAsia="仿宋" w:cs="仿宋"/>
          <w:sz w:val="24"/>
          <w:szCs w:val="24"/>
          <w:lang w:eastAsia="zh-CN"/>
        </w:rPr>
        <w:t xml:space="preserve">  </w:t>
      </w:r>
      <w:r>
        <w:rPr>
          <w:rFonts w:hint="eastAsia" w:ascii="仿宋" w:hAnsi="仿宋" w:eastAsia="仿宋" w:cs="仿宋"/>
          <w:sz w:val="24"/>
          <w:szCs w:val="24"/>
          <w:lang w:eastAsia="zh-CN"/>
        </w:rPr>
        <w:t xml:space="preserve"> </w:t>
      </w:r>
      <w:r>
        <w:rPr>
          <w:rFonts w:hint="default" w:ascii="仿宋" w:hAnsi="仿宋" w:eastAsia="仿宋" w:cs="仿宋"/>
          <w:sz w:val="24"/>
          <w:szCs w:val="24"/>
          <w:lang w:eastAsia="zh-CN"/>
        </w:rPr>
        <w:t xml:space="preserve"> 0722- 3339603</w:t>
      </w:r>
    </w:p>
    <w:p w14:paraId="770BADD6">
      <w:pPr>
        <w:numPr>
          <w:ilvl w:val="0"/>
          <w:numId w:val="7"/>
        </w:numPr>
        <w:tabs>
          <w:tab w:val="left" w:pos="0"/>
        </w:tabs>
        <w:wordWrap w:val="0"/>
        <w:spacing w:line="360" w:lineRule="auto"/>
        <w:ind w:left="851" w:hanging="369"/>
        <w:rPr>
          <w:rFonts w:hint="eastAsia" w:ascii="仿宋" w:hAnsi="仿宋" w:eastAsia="仿宋" w:cs="仿宋"/>
          <w:sz w:val="24"/>
          <w:szCs w:val="24"/>
        </w:rPr>
      </w:pPr>
      <w:r>
        <w:rPr>
          <w:rFonts w:hint="eastAsia" w:ascii="仿宋" w:hAnsi="仿宋" w:eastAsia="仿宋" w:cs="仿宋"/>
          <w:sz w:val="24"/>
          <w:szCs w:val="24"/>
        </w:rPr>
        <w:t>集中采购机构信息</w:t>
      </w:r>
    </w:p>
    <w:p w14:paraId="4B79C568">
      <w:pPr>
        <w:tabs>
          <w:tab w:val="left" w:pos="0"/>
        </w:tabs>
        <w:wordWrap w:val="0"/>
        <w:spacing w:line="360" w:lineRule="auto"/>
        <w:ind w:left="851"/>
        <w:rPr>
          <w:rFonts w:hint="eastAsia" w:ascii="仿宋" w:hAnsi="仿宋" w:eastAsia="仿宋" w:cs="仿宋"/>
          <w:sz w:val="24"/>
          <w:szCs w:val="24"/>
        </w:rPr>
      </w:pPr>
      <w:r>
        <w:rPr>
          <w:rFonts w:hint="eastAsia" w:ascii="仿宋" w:hAnsi="仿宋" w:eastAsia="仿宋" w:cs="仿宋"/>
          <w:sz w:val="24"/>
          <w:szCs w:val="24"/>
        </w:rPr>
        <w:t>名称：</w:t>
      </w:r>
      <w:r>
        <w:rPr>
          <w:rFonts w:hint="eastAsia" w:ascii="仿宋" w:hAnsi="仿宋" w:eastAsia="仿宋" w:cs="仿宋"/>
          <w:sz w:val="24"/>
          <w:szCs w:val="24"/>
          <w:lang w:eastAsia="zh-CN"/>
        </w:rPr>
        <w:t>随县</w:t>
      </w:r>
      <w:r>
        <w:rPr>
          <w:rFonts w:hint="eastAsia" w:ascii="仿宋" w:hAnsi="仿宋" w:eastAsia="仿宋" w:cs="仿宋"/>
          <w:sz w:val="24"/>
          <w:szCs w:val="24"/>
        </w:rPr>
        <w:t>公共资源交易中心（</w:t>
      </w:r>
      <w:r>
        <w:rPr>
          <w:rFonts w:hint="eastAsia" w:ascii="仿宋" w:hAnsi="仿宋" w:eastAsia="仿宋" w:cs="仿宋"/>
          <w:sz w:val="24"/>
          <w:szCs w:val="24"/>
          <w:lang w:eastAsia="zh-CN"/>
        </w:rPr>
        <w:t>随县</w:t>
      </w:r>
      <w:r>
        <w:rPr>
          <w:rFonts w:hint="eastAsia" w:ascii="仿宋" w:hAnsi="仿宋" w:eastAsia="仿宋" w:cs="仿宋"/>
          <w:sz w:val="24"/>
          <w:szCs w:val="24"/>
        </w:rPr>
        <w:t>政府采购中心）</w:t>
      </w:r>
    </w:p>
    <w:p w14:paraId="08337B94">
      <w:pPr>
        <w:tabs>
          <w:tab w:val="left" w:pos="0"/>
        </w:tabs>
        <w:wordWrap w:val="0"/>
        <w:spacing w:line="360" w:lineRule="auto"/>
        <w:ind w:left="851"/>
        <w:rPr>
          <w:rFonts w:hint="eastAsia" w:ascii="仿宋" w:hAnsi="仿宋" w:eastAsia="仿宋" w:cs="宋体"/>
          <w:sz w:val="24"/>
          <w:szCs w:val="24"/>
          <w:lang w:eastAsia="zh-CN"/>
        </w:rPr>
      </w:pPr>
      <w:r>
        <w:rPr>
          <w:rFonts w:hint="eastAsia" w:ascii="仿宋" w:hAnsi="仿宋" w:eastAsia="仿宋" w:cs="仿宋"/>
          <w:sz w:val="24"/>
          <w:szCs w:val="24"/>
        </w:rPr>
        <w:t>地址：</w:t>
      </w:r>
      <w:r>
        <w:rPr>
          <w:rFonts w:hint="eastAsia" w:ascii="仿宋" w:hAnsi="仿宋" w:eastAsia="仿宋" w:cs="宋体"/>
          <w:sz w:val="24"/>
          <w:szCs w:val="24"/>
          <w:lang w:eastAsia="zh-CN"/>
        </w:rPr>
        <w:t>随县新民主路（随县政府大楼南侧）</w:t>
      </w:r>
    </w:p>
    <w:p w14:paraId="377F29C2">
      <w:pPr>
        <w:tabs>
          <w:tab w:val="left" w:pos="0"/>
        </w:tabs>
        <w:wordWrap w:val="0"/>
        <w:spacing w:line="360" w:lineRule="auto"/>
        <w:ind w:left="851"/>
        <w:rPr>
          <w:rFonts w:hint="default" w:ascii="仿宋" w:hAnsi="仿宋" w:eastAsia="仿宋" w:cs="仿宋"/>
          <w:sz w:val="24"/>
          <w:szCs w:val="24"/>
          <w:u w:val="none"/>
          <w:lang w:val="en-US" w:eastAsia="zh-CN"/>
        </w:rPr>
      </w:pPr>
      <w:r>
        <w:rPr>
          <w:rFonts w:hint="eastAsia" w:ascii="仿宋" w:hAnsi="仿宋" w:eastAsia="仿宋" w:cs="仿宋"/>
          <w:sz w:val="24"/>
          <w:szCs w:val="24"/>
        </w:rPr>
        <w:t>联系</w:t>
      </w:r>
      <w:r>
        <w:rPr>
          <w:rFonts w:hint="eastAsia" w:ascii="仿宋" w:hAnsi="仿宋" w:eastAsia="仿宋" w:cs="仿宋"/>
          <w:sz w:val="24"/>
          <w:szCs w:val="24"/>
          <w:lang w:eastAsia="zh-CN"/>
        </w:rPr>
        <w:t>电话</w:t>
      </w:r>
      <w:r>
        <w:rPr>
          <w:rFonts w:hint="eastAsia" w:ascii="仿宋" w:hAnsi="仿宋" w:eastAsia="仿宋" w:cs="仿宋"/>
          <w:sz w:val="24"/>
          <w:szCs w:val="24"/>
        </w:rPr>
        <w:t>：</w:t>
      </w:r>
      <w:r>
        <w:rPr>
          <w:rFonts w:hint="eastAsia" w:ascii="仿宋" w:hAnsi="仿宋" w:eastAsia="仿宋" w:cs="仿宋"/>
          <w:sz w:val="24"/>
          <w:szCs w:val="24"/>
          <w:u w:val="none"/>
          <w:lang w:val="en-US" w:eastAsia="zh-CN"/>
        </w:rPr>
        <w:t>0722-3563205</w:t>
      </w:r>
    </w:p>
    <w:p w14:paraId="6817C55F">
      <w:pPr>
        <w:numPr>
          <w:ilvl w:val="0"/>
          <w:numId w:val="7"/>
        </w:numPr>
        <w:tabs>
          <w:tab w:val="left" w:pos="0"/>
        </w:tabs>
        <w:wordWrap w:val="0"/>
        <w:spacing w:line="360" w:lineRule="auto"/>
        <w:ind w:left="851" w:hanging="369"/>
        <w:rPr>
          <w:rFonts w:hint="eastAsia" w:ascii="仿宋" w:hAnsi="仿宋" w:eastAsia="仿宋" w:cs="仿宋"/>
          <w:sz w:val="24"/>
          <w:szCs w:val="24"/>
        </w:rPr>
      </w:pPr>
      <w:r>
        <w:rPr>
          <w:rFonts w:hint="eastAsia" w:ascii="仿宋" w:hAnsi="仿宋" w:eastAsia="仿宋" w:cs="仿宋"/>
          <w:sz w:val="24"/>
          <w:szCs w:val="24"/>
        </w:rPr>
        <w:t>项目联系方式</w:t>
      </w:r>
    </w:p>
    <w:p w14:paraId="140089AD">
      <w:pPr>
        <w:tabs>
          <w:tab w:val="left" w:pos="0"/>
        </w:tabs>
        <w:wordWrap w:val="0"/>
        <w:spacing w:line="360" w:lineRule="auto"/>
        <w:ind w:left="851"/>
        <w:rPr>
          <w:rFonts w:hint="eastAsia" w:ascii="仿宋" w:hAnsi="仿宋" w:eastAsia="仿宋" w:cs="仿宋"/>
          <w:sz w:val="24"/>
          <w:szCs w:val="24"/>
          <w:u w:val="none"/>
        </w:rPr>
      </w:pPr>
      <w:r>
        <w:rPr>
          <w:rFonts w:hint="eastAsia" w:ascii="仿宋" w:hAnsi="仿宋" w:eastAsia="仿宋" w:cs="仿宋"/>
          <w:sz w:val="24"/>
          <w:szCs w:val="24"/>
        </w:rPr>
        <w:t>项目联系人：</w:t>
      </w:r>
      <w:r>
        <w:rPr>
          <w:rFonts w:hint="eastAsia" w:ascii="仿宋" w:hAnsi="仿宋" w:eastAsia="仿宋" w:cs="仿宋"/>
          <w:sz w:val="24"/>
          <w:szCs w:val="24"/>
          <w:u w:val="none"/>
          <w:lang w:eastAsia="zh-CN"/>
        </w:rPr>
        <w:t>钦盼、万栋</w:t>
      </w:r>
      <w:r>
        <w:rPr>
          <w:rFonts w:hint="eastAsia" w:ascii="仿宋" w:hAnsi="仿宋" w:eastAsia="仿宋" w:cs="仿宋"/>
          <w:sz w:val="24"/>
          <w:szCs w:val="24"/>
          <w:u w:val="none"/>
        </w:rPr>
        <w:t xml:space="preserve">       </w:t>
      </w:r>
    </w:p>
    <w:p w14:paraId="4EA48FF2">
      <w:pPr>
        <w:tabs>
          <w:tab w:val="left" w:pos="0"/>
          <w:tab w:val="left" w:pos="5880"/>
        </w:tabs>
        <w:wordWrap w:val="0"/>
        <w:spacing w:line="360" w:lineRule="auto"/>
        <w:ind w:left="851"/>
        <w:rPr>
          <w:rFonts w:hint="eastAsia" w:ascii="仿宋" w:hAnsi="仿宋" w:eastAsia="仿宋" w:cs="仿宋"/>
          <w:b/>
          <w:iCs/>
          <w:sz w:val="24"/>
          <w:szCs w:val="24"/>
        </w:rPr>
      </w:pPr>
      <w:r>
        <w:rPr>
          <w:rFonts w:hint="eastAsia" w:ascii="仿宋" w:hAnsi="仿宋" w:eastAsia="仿宋" w:cs="仿宋"/>
          <w:sz w:val="24"/>
          <w:szCs w:val="24"/>
        </w:rPr>
        <w:t>电话：</w:t>
      </w:r>
      <w:r>
        <w:rPr>
          <w:rFonts w:hint="eastAsia" w:ascii="仿宋" w:hAnsi="仿宋" w:eastAsia="仿宋" w:cs="仿宋"/>
          <w:sz w:val="24"/>
          <w:szCs w:val="24"/>
          <w:u w:val="none"/>
          <w:lang w:val="en-US" w:eastAsia="zh-CN"/>
        </w:rPr>
        <w:t>0722-3563205</w:t>
      </w:r>
      <w:r>
        <w:rPr>
          <w:rFonts w:hint="eastAsia" w:ascii="仿宋" w:hAnsi="仿宋" w:eastAsia="仿宋" w:cs="仿宋"/>
          <w:sz w:val="24"/>
          <w:szCs w:val="24"/>
        </w:rPr>
        <w:tab/>
      </w:r>
    </w:p>
    <w:p w14:paraId="158E0FB8">
      <w:pPr>
        <w:pStyle w:val="11"/>
        <w:tabs>
          <w:tab w:val="left" w:pos="5880"/>
        </w:tabs>
        <w:wordWrap w:val="0"/>
        <w:spacing w:line="360" w:lineRule="auto"/>
        <w:rPr>
          <w:sz w:val="21"/>
          <w:szCs w:val="21"/>
        </w:rPr>
        <w:sectPr>
          <w:headerReference r:id="rId9" w:type="default"/>
          <w:footerReference r:id="rId10" w:type="default"/>
          <w:pgSz w:w="11906" w:h="16838"/>
          <w:pgMar w:top="1134" w:right="1191" w:bottom="1134" w:left="1191" w:header="851" w:footer="992" w:gutter="0"/>
          <w:pgBorders>
            <w:top w:val="none" w:sz="0" w:space="0"/>
            <w:left w:val="none" w:sz="0" w:space="0"/>
            <w:bottom w:val="none" w:sz="0" w:space="0"/>
            <w:right w:val="none" w:sz="0" w:space="0"/>
          </w:pgBorders>
          <w:pgNumType w:start="1"/>
          <w:cols w:space="425" w:num="1"/>
          <w:docGrid w:type="linesAndChars" w:linePitch="312" w:charSpace="0"/>
        </w:sectPr>
      </w:pPr>
      <w:r>
        <w:rPr>
          <w:rFonts w:hint="eastAsia" w:ascii="仿宋" w:hAnsi="仿宋" w:eastAsia="仿宋" w:cs="仿宋"/>
          <w:sz w:val="24"/>
          <w:szCs w:val="24"/>
        </w:rPr>
        <w:tab/>
      </w:r>
    </w:p>
    <w:p w14:paraId="20BF511B">
      <w:pPr>
        <w:pStyle w:val="3"/>
        <w:numPr>
          <w:ilvl w:val="0"/>
          <w:numId w:val="1"/>
        </w:numPr>
        <w:tabs>
          <w:tab w:val="left" w:pos="1276"/>
        </w:tabs>
        <w:wordWrap w:val="0"/>
        <w:spacing w:before="120" w:after="120" w:line="360" w:lineRule="auto"/>
        <w:ind w:left="723" w:hanging="723" w:hangingChars="200"/>
        <w:jc w:val="center"/>
        <w:rPr>
          <w:sz w:val="36"/>
          <w:szCs w:val="36"/>
        </w:rPr>
      </w:pPr>
      <w:bookmarkStart w:id="58" w:name="_Toc102116106"/>
      <w:bookmarkStart w:id="59" w:name="_Toc511894493"/>
      <w:bookmarkStart w:id="60" w:name="_Toc122527524"/>
      <w:bookmarkStart w:id="61" w:name="_Toc117244463"/>
      <w:bookmarkStart w:id="62" w:name="_Toc117244348"/>
      <w:bookmarkStart w:id="63" w:name="_Toc511889415"/>
      <w:bookmarkStart w:id="64" w:name="_Toc102057674"/>
      <w:bookmarkStart w:id="65" w:name="_Toc102056174"/>
      <w:bookmarkStart w:id="66" w:name="_Toc102115976"/>
      <w:bookmarkStart w:id="67" w:name="_Toc102114874"/>
      <w:bookmarkStart w:id="68" w:name="_Toc102119807"/>
      <w:r>
        <w:rPr>
          <w:rFonts w:hint="eastAsia"/>
          <w:sz w:val="36"/>
          <w:szCs w:val="36"/>
        </w:rPr>
        <w:t>磋商须知</w:t>
      </w:r>
      <w:bookmarkEnd w:id="58"/>
      <w:bookmarkEnd w:id="59"/>
      <w:bookmarkEnd w:id="60"/>
      <w:bookmarkEnd w:id="61"/>
      <w:bookmarkEnd w:id="62"/>
      <w:bookmarkEnd w:id="63"/>
      <w:bookmarkEnd w:id="64"/>
      <w:bookmarkEnd w:id="65"/>
      <w:bookmarkEnd w:id="66"/>
      <w:bookmarkEnd w:id="67"/>
      <w:bookmarkEnd w:id="68"/>
    </w:p>
    <w:p w14:paraId="13EDEAC5">
      <w:pPr>
        <w:tabs>
          <w:tab w:val="left" w:pos="476"/>
        </w:tabs>
        <w:wordWrap w:val="0"/>
        <w:spacing w:line="360" w:lineRule="auto"/>
        <w:ind w:firstLine="560" w:firstLineChars="200"/>
        <w:jc w:val="center"/>
        <w:outlineLvl w:val="1"/>
        <w:rPr>
          <w:sz w:val="28"/>
          <w:szCs w:val="28"/>
          <w:lang w:val="zh-CN"/>
        </w:rPr>
      </w:pPr>
      <w:bookmarkStart w:id="69" w:name="_Toc102119808"/>
      <w:bookmarkStart w:id="70" w:name="_Toc102114875"/>
      <w:bookmarkStart w:id="71" w:name="_Toc117244349"/>
      <w:bookmarkStart w:id="72" w:name="_Toc102056175"/>
      <w:bookmarkStart w:id="73" w:name="_Toc102116107"/>
      <w:bookmarkStart w:id="74" w:name="_Toc511889416"/>
      <w:bookmarkStart w:id="75" w:name="_Toc102115977"/>
      <w:bookmarkStart w:id="76" w:name="_Toc117244464"/>
      <w:bookmarkStart w:id="77" w:name="_Toc511894494"/>
      <w:bookmarkStart w:id="78" w:name="_Toc102057675"/>
      <w:bookmarkStart w:id="79" w:name="_Toc122527525"/>
      <w:bookmarkStart w:id="80" w:name="_Toc102057676"/>
      <w:bookmarkStart w:id="81" w:name="_Toc100579891"/>
      <w:bookmarkStart w:id="82" w:name="_Toc102116108"/>
      <w:bookmarkStart w:id="83" w:name="_Toc102119809"/>
      <w:bookmarkStart w:id="84" w:name="_Toc102056176"/>
      <w:bookmarkStart w:id="85" w:name="_Toc102115978"/>
      <w:bookmarkStart w:id="86" w:name="_Toc102114876"/>
      <w:r>
        <w:rPr>
          <w:sz w:val="28"/>
          <w:szCs w:val="28"/>
          <w:lang w:val="zh-CN"/>
        </w:rPr>
        <w:t>磋商须知前附表</w:t>
      </w:r>
      <w:bookmarkEnd w:id="69"/>
      <w:bookmarkEnd w:id="70"/>
      <w:bookmarkEnd w:id="71"/>
      <w:bookmarkEnd w:id="72"/>
      <w:bookmarkEnd w:id="73"/>
      <w:bookmarkEnd w:id="74"/>
      <w:bookmarkEnd w:id="75"/>
      <w:bookmarkEnd w:id="76"/>
      <w:bookmarkEnd w:id="77"/>
      <w:bookmarkEnd w:id="78"/>
      <w:bookmarkEnd w:id="79"/>
    </w:p>
    <w:tbl>
      <w:tblPr>
        <w:tblStyle w:val="30"/>
        <w:tblW w:w="97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1701"/>
        <w:gridCol w:w="7080"/>
      </w:tblGrid>
      <w:tr w14:paraId="10089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blHeader/>
          <w:jc w:val="center"/>
        </w:trPr>
        <w:tc>
          <w:tcPr>
            <w:tcW w:w="959" w:type="dxa"/>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1FF9F5FC">
            <w:pPr>
              <w:wordWrap w:val="0"/>
              <w:spacing w:line="360" w:lineRule="auto"/>
              <w:ind w:left="-74" w:leftChars="-31" w:right="-91" w:rightChars="-38"/>
              <w:jc w:val="center"/>
              <w:rPr>
                <w:b/>
                <w:szCs w:val="24"/>
              </w:rPr>
            </w:pPr>
            <w:r>
              <w:rPr>
                <w:rFonts w:hint="eastAsia"/>
                <w:b/>
                <w:szCs w:val="24"/>
              </w:rPr>
              <w:t>条款</w:t>
            </w:r>
            <w:r>
              <w:rPr>
                <w:b/>
                <w:szCs w:val="24"/>
              </w:rPr>
              <w:t>号</w:t>
            </w:r>
          </w:p>
        </w:tc>
        <w:tc>
          <w:tcPr>
            <w:tcW w:w="1701" w:type="dxa"/>
            <w:tcBorders>
              <w:top w:val="single" w:color="auto" w:sz="4" w:space="0"/>
              <w:left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5886E905">
            <w:pPr>
              <w:wordWrap w:val="0"/>
              <w:spacing w:line="360" w:lineRule="auto"/>
              <w:ind w:right="-11"/>
              <w:jc w:val="center"/>
              <w:rPr>
                <w:b/>
                <w:szCs w:val="24"/>
              </w:rPr>
            </w:pPr>
            <w:r>
              <w:rPr>
                <w:rFonts w:hint="eastAsia"/>
                <w:b/>
                <w:szCs w:val="24"/>
              </w:rPr>
              <w:t>条款名称</w:t>
            </w:r>
          </w:p>
        </w:tc>
        <w:tc>
          <w:tcPr>
            <w:tcW w:w="7080"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6D28AC38">
            <w:pPr>
              <w:wordWrap w:val="0"/>
              <w:spacing w:line="360" w:lineRule="auto"/>
              <w:ind w:right="57"/>
              <w:jc w:val="center"/>
              <w:rPr>
                <w:b/>
                <w:szCs w:val="24"/>
              </w:rPr>
            </w:pPr>
            <w:r>
              <w:rPr>
                <w:rFonts w:hint="eastAsia"/>
                <w:b/>
                <w:szCs w:val="24"/>
              </w:rPr>
              <w:t>编列</w:t>
            </w:r>
            <w:r>
              <w:rPr>
                <w:b/>
                <w:szCs w:val="24"/>
              </w:rPr>
              <w:t>内容</w:t>
            </w:r>
          </w:p>
        </w:tc>
      </w:tr>
      <w:tr w14:paraId="1E287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9740" w:type="dxa"/>
            <w:gridSpan w:val="3"/>
            <w:tcBorders>
              <w:top w:val="single" w:color="auto" w:sz="4" w:space="0"/>
              <w:bottom w:val="single" w:color="auto" w:sz="4" w:space="0"/>
            </w:tcBorders>
            <w:vAlign w:val="center"/>
          </w:tcPr>
          <w:p w14:paraId="255B8047">
            <w:pPr>
              <w:wordWrap w:val="0"/>
              <w:spacing w:line="360" w:lineRule="auto"/>
              <w:rPr>
                <w:rFonts w:cs="宋体"/>
                <w:szCs w:val="24"/>
              </w:rPr>
            </w:pPr>
            <w:r>
              <w:rPr>
                <w:rFonts w:hint="eastAsia" w:cs="宋体"/>
                <w:szCs w:val="24"/>
              </w:rPr>
              <w:t>一、总则</w:t>
            </w:r>
          </w:p>
        </w:tc>
      </w:tr>
      <w:tr w14:paraId="74BA8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5BFB65B1">
            <w:pPr>
              <w:tabs>
                <w:tab w:val="left" w:pos="130"/>
              </w:tabs>
              <w:wordWrap w:val="0"/>
              <w:spacing w:line="360" w:lineRule="auto"/>
              <w:ind w:right="57"/>
              <w:jc w:val="center"/>
              <w:rPr>
                <w:rFonts w:hint="eastAsia" w:eastAsia="宋体"/>
                <w:szCs w:val="24"/>
                <w:lang w:eastAsia="zh-CN"/>
              </w:rPr>
            </w:pPr>
            <w:r>
              <w:rPr>
                <w:rFonts w:hint="eastAsia"/>
                <w:szCs w:val="24"/>
                <w:lang w:val="en-US" w:eastAsia="zh-CN"/>
              </w:rPr>
              <w:t>1</w:t>
            </w:r>
          </w:p>
        </w:tc>
        <w:tc>
          <w:tcPr>
            <w:tcW w:w="1701" w:type="dxa"/>
            <w:tcBorders>
              <w:top w:val="single" w:color="auto" w:sz="4" w:space="0"/>
              <w:left w:val="single" w:color="auto" w:sz="4" w:space="0"/>
              <w:bottom w:val="single" w:color="auto" w:sz="4" w:space="0"/>
              <w:right w:val="single" w:color="auto" w:sz="4" w:space="0"/>
            </w:tcBorders>
            <w:vAlign w:val="center"/>
          </w:tcPr>
          <w:p w14:paraId="1B1BD6C0">
            <w:pPr>
              <w:wordWrap w:val="0"/>
              <w:spacing w:line="360" w:lineRule="auto"/>
              <w:jc w:val="center"/>
              <w:rPr>
                <w:szCs w:val="24"/>
              </w:rPr>
            </w:pPr>
            <w:r>
              <w:rPr>
                <w:rFonts w:hint="eastAsia"/>
                <w:szCs w:val="24"/>
              </w:rPr>
              <w:t>监管部门</w:t>
            </w:r>
          </w:p>
        </w:tc>
        <w:tc>
          <w:tcPr>
            <w:tcW w:w="7080" w:type="dxa"/>
            <w:tcBorders>
              <w:top w:val="single" w:color="auto" w:sz="4" w:space="0"/>
              <w:left w:val="single" w:color="auto" w:sz="4" w:space="0"/>
              <w:bottom w:val="single" w:color="auto" w:sz="4" w:space="0"/>
            </w:tcBorders>
            <w:vAlign w:val="center"/>
          </w:tcPr>
          <w:p w14:paraId="256191D6">
            <w:pPr>
              <w:wordWrap w:val="0"/>
              <w:spacing w:line="360" w:lineRule="auto"/>
              <w:rPr>
                <w:rFonts w:hint="eastAsia" w:eastAsia="宋体"/>
                <w:szCs w:val="24"/>
                <w:lang w:eastAsia="zh-CN"/>
              </w:rPr>
            </w:pPr>
            <w:r>
              <w:rPr>
                <w:rFonts w:hint="eastAsia"/>
                <w:szCs w:val="24"/>
                <w:lang w:eastAsia="zh-CN"/>
              </w:rPr>
              <w:t>随县财政局</w:t>
            </w:r>
          </w:p>
        </w:tc>
      </w:tr>
      <w:tr w14:paraId="1265D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48DF19FB">
            <w:pPr>
              <w:tabs>
                <w:tab w:val="left" w:pos="130"/>
              </w:tabs>
              <w:wordWrap w:val="0"/>
              <w:spacing w:line="360" w:lineRule="auto"/>
              <w:ind w:right="57"/>
              <w:jc w:val="center"/>
              <w:rPr>
                <w:rFonts w:hint="eastAsia" w:eastAsia="宋体"/>
                <w:szCs w:val="24"/>
                <w:lang w:eastAsia="zh-CN"/>
              </w:rPr>
            </w:pPr>
            <w:r>
              <w:rPr>
                <w:rFonts w:hint="eastAsia"/>
                <w:szCs w:val="24"/>
                <w:lang w:val="en-US" w:eastAsia="zh-CN"/>
              </w:rPr>
              <w:t>2</w:t>
            </w:r>
          </w:p>
        </w:tc>
        <w:tc>
          <w:tcPr>
            <w:tcW w:w="1701" w:type="dxa"/>
            <w:tcBorders>
              <w:top w:val="single" w:color="auto" w:sz="4" w:space="0"/>
              <w:left w:val="single" w:color="auto" w:sz="4" w:space="0"/>
              <w:bottom w:val="single" w:color="auto" w:sz="4" w:space="0"/>
              <w:right w:val="single" w:color="auto" w:sz="4" w:space="0"/>
            </w:tcBorders>
            <w:vAlign w:val="center"/>
          </w:tcPr>
          <w:p w14:paraId="49CC52C8">
            <w:pPr>
              <w:wordWrap w:val="0"/>
              <w:spacing w:line="360" w:lineRule="auto"/>
              <w:jc w:val="center"/>
              <w:rPr>
                <w:rFonts w:cs="宋体"/>
                <w:szCs w:val="24"/>
              </w:rPr>
            </w:pPr>
            <w:r>
              <w:rPr>
                <w:rFonts w:hint="eastAsia" w:cs="宋体"/>
                <w:szCs w:val="24"/>
              </w:rPr>
              <w:t>项目属性</w:t>
            </w:r>
          </w:p>
        </w:tc>
        <w:tc>
          <w:tcPr>
            <w:tcW w:w="7080" w:type="dxa"/>
            <w:tcBorders>
              <w:top w:val="single" w:color="auto" w:sz="4" w:space="0"/>
              <w:left w:val="single" w:color="auto" w:sz="4" w:space="0"/>
              <w:bottom w:val="single" w:color="auto" w:sz="4" w:space="0"/>
            </w:tcBorders>
            <w:vAlign w:val="center"/>
          </w:tcPr>
          <w:p w14:paraId="3E596EF3">
            <w:pPr>
              <w:pStyle w:val="11"/>
              <w:spacing w:line="360" w:lineRule="auto"/>
              <w:rPr>
                <w:rFonts w:hint="default" w:eastAsia="宋体"/>
                <w:i/>
                <w:lang w:eastAsia="zh-CN"/>
              </w:rPr>
            </w:pPr>
            <w:r>
              <w:rPr>
                <w:rFonts w:hint="default"/>
                <w:i w:val="0"/>
                <w:iCs/>
                <w:lang w:eastAsia="zh-CN"/>
              </w:rPr>
              <w:t>服务</w:t>
            </w:r>
          </w:p>
        </w:tc>
      </w:tr>
      <w:tr w14:paraId="15FEB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959" w:type="dxa"/>
            <w:tcBorders>
              <w:top w:val="single" w:color="auto" w:sz="4" w:space="0"/>
              <w:bottom w:val="single" w:color="auto" w:sz="4" w:space="0"/>
              <w:right w:val="single" w:color="auto" w:sz="4" w:space="0"/>
            </w:tcBorders>
            <w:vAlign w:val="center"/>
          </w:tcPr>
          <w:p w14:paraId="2F2F9CC1">
            <w:pPr>
              <w:tabs>
                <w:tab w:val="left" w:pos="130"/>
              </w:tabs>
              <w:wordWrap w:val="0"/>
              <w:spacing w:line="360" w:lineRule="auto"/>
              <w:ind w:right="57"/>
              <w:jc w:val="center"/>
              <w:rPr>
                <w:rFonts w:hint="eastAsia" w:eastAsia="宋体"/>
                <w:szCs w:val="24"/>
                <w:lang w:eastAsia="zh-CN"/>
              </w:rPr>
            </w:pPr>
            <w:r>
              <w:rPr>
                <w:rFonts w:hint="eastAsia"/>
                <w:szCs w:val="24"/>
                <w:lang w:val="en-US" w:eastAsia="zh-CN"/>
              </w:rPr>
              <w:t>3</w:t>
            </w:r>
          </w:p>
        </w:tc>
        <w:tc>
          <w:tcPr>
            <w:tcW w:w="1701" w:type="dxa"/>
            <w:tcBorders>
              <w:top w:val="single" w:color="auto" w:sz="4" w:space="0"/>
              <w:left w:val="single" w:color="auto" w:sz="4" w:space="0"/>
              <w:bottom w:val="single" w:color="auto" w:sz="4" w:space="0"/>
              <w:right w:val="single" w:color="auto" w:sz="4" w:space="0"/>
            </w:tcBorders>
            <w:vAlign w:val="center"/>
          </w:tcPr>
          <w:p w14:paraId="65C0CE14">
            <w:pPr>
              <w:wordWrap w:val="0"/>
              <w:spacing w:line="360" w:lineRule="auto"/>
              <w:jc w:val="center"/>
              <w:rPr>
                <w:rFonts w:cs="宋体"/>
                <w:szCs w:val="24"/>
              </w:rPr>
            </w:pPr>
            <w:r>
              <w:rPr>
                <w:rFonts w:hint="eastAsia" w:cs="宋体"/>
                <w:szCs w:val="24"/>
              </w:rPr>
              <w:t>分支机构</w:t>
            </w:r>
          </w:p>
        </w:tc>
        <w:tc>
          <w:tcPr>
            <w:tcW w:w="7080" w:type="dxa"/>
            <w:tcBorders>
              <w:top w:val="single" w:color="auto" w:sz="4" w:space="0"/>
              <w:left w:val="single" w:color="auto" w:sz="4" w:space="0"/>
              <w:bottom w:val="single" w:color="auto" w:sz="4" w:space="0"/>
            </w:tcBorders>
            <w:vAlign w:val="center"/>
          </w:tcPr>
          <w:p w14:paraId="59DD204C">
            <w:pPr>
              <w:pStyle w:val="11"/>
              <w:spacing w:line="360" w:lineRule="auto"/>
            </w:pPr>
            <w:r>
              <w:rPr>
                <w:rFonts w:hint="eastAsia"/>
              </w:rPr>
              <w:t>采购项目属于电信(基础</w:t>
            </w:r>
            <w:r>
              <w:t>电信服务)</w:t>
            </w:r>
            <w:r>
              <w:rPr>
                <w:rFonts w:hint="eastAsia"/>
              </w:rPr>
              <w:t>、银行、保险、石油石化、电力等行业的，上述企业分支机构可以参加相应项目的磋商，但其授权代表应获得总公司法定代表人有效授权。</w:t>
            </w:r>
          </w:p>
        </w:tc>
      </w:tr>
      <w:tr w14:paraId="6751F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959" w:type="dxa"/>
            <w:tcBorders>
              <w:top w:val="single" w:color="auto" w:sz="4" w:space="0"/>
              <w:bottom w:val="single" w:color="auto" w:sz="4" w:space="0"/>
              <w:right w:val="single" w:color="auto" w:sz="4" w:space="0"/>
            </w:tcBorders>
            <w:vAlign w:val="center"/>
          </w:tcPr>
          <w:p w14:paraId="7315C295">
            <w:pPr>
              <w:tabs>
                <w:tab w:val="left" w:pos="130"/>
              </w:tabs>
              <w:wordWrap w:val="0"/>
              <w:spacing w:line="360" w:lineRule="auto"/>
              <w:ind w:right="57"/>
              <w:jc w:val="center"/>
              <w:rPr>
                <w:rFonts w:hint="eastAsia" w:eastAsia="宋体"/>
                <w:szCs w:val="24"/>
                <w:lang w:eastAsia="zh-CN"/>
              </w:rPr>
            </w:pPr>
            <w:r>
              <w:rPr>
                <w:rFonts w:hint="eastAsia"/>
                <w:szCs w:val="24"/>
                <w:lang w:val="en-US" w:eastAsia="zh-CN"/>
              </w:rPr>
              <w:t>4</w:t>
            </w:r>
          </w:p>
        </w:tc>
        <w:tc>
          <w:tcPr>
            <w:tcW w:w="1701" w:type="dxa"/>
            <w:tcBorders>
              <w:top w:val="single" w:color="auto" w:sz="4" w:space="0"/>
              <w:left w:val="single" w:color="auto" w:sz="4" w:space="0"/>
              <w:bottom w:val="single" w:color="auto" w:sz="4" w:space="0"/>
              <w:right w:val="single" w:color="auto" w:sz="4" w:space="0"/>
            </w:tcBorders>
            <w:vAlign w:val="center"/>
          </w:tcPr>
          <w:p w14:paraId="6E5D6F04">
            <w:pPr>
              <w:wordWrap w:val="0"/>
              <w:spacing w:line="360" w:lineRule="auto"/>
              <w:jc w:val="center"/>
              <w:rPr>
                <w:szCs w:val="24"/>
              </w:rPr>
            </w:pPr>
            <w:r>
              <w:rPr>
                <w:rFonts w:hint="eastAsia"/>
                <w:szCs w:val="24"/>
              </w:rPr>
              <w:t>采购信息获取</w:t>
            </w:r>
          </w:p>
        </w:tc>
        <w:tc>
          <w:tcPr>
            <w:tcW w:w="7080" w:type="dxa"/>
            <w:tcBorders>
              <w:top w:val="single" w:color="auto" w:sz="4" w:space="0"/>
              <w:left w:val="single" w:color="auto" w:sz="4" w:space="0"/>
              <w:bottom w:val="single" w:color="auto" w:sz="4" w:space="0"/>
            </w:tcBorders>
            <w:vAlign w:val="center"/>
          </w:tcPr>
          <w:p w14:paraId="23C180F1">
            <w:pPr>
              <w:wordWrap w:val="0"/>
              <w:spacing w:line="360" w:lineRule="auto"/>
              <w:rPr>
                <w:rFonts w:cs="宋体"/>
                <w:szCs w:val="24"/>
              </w:rPr>
            </w:pPr>
            <w:r>
              <w:rPr>
                <w:rFonts w:hint="eastAsia"/>
                <w:szCs w:val="24"/>
              </w:rPr>
              <w:t>应自行在中国湖北政府采购网</w:t>
            </w:r>
            <w:r>
              <w:rPr>
                <w:rFonts w:hint="eastAsia"/>
                <w:szCs w:val="24"/>
                <w:lang w:eastAsia="zh-CN"/>
              </w:rPr>
              <w:t>、随县人民政府网和随县</w:t>
            </w:r>
            <w:r>
              <w:rPr>
                <w:rFonts w:hint="eastAsia"/>
                <w:szCs w:val="24"/>
              </w:rPr>
              <w:t>政府电子采购平台（以下简称电子采购平台）上获取</w:t>
            </w:r>
          </w:p>
        </w:tc>
      </w:tr>
      <w:tr w14:paraId="4508F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959" w:type="dxa"/>
            <w:tcBorders>
              <w:top w:val="single" w:color="auto" w:sz="4" w:space="0"/>
              <w:bottom w:val="single" w:color="auto" w:sz="4" w:space="0"/>
              <w:right w:val="single" w:color="auto" w:sz="4" w:space="0"/>
            </w:tcBorders>
            <w:vAlign w:val="center"/>
          </w:tcPr>
          <w:p w14:paraId="15891740">
            <w:pPr>
              <w:tabs>
                <w:tab w:val="left" w:pos="130"/>
              </w:tabs>
              <w:wordWrap w:val="0"/>
              <w:spacing w:line="360" w:lineRule="auto"/>
              <w:ind w:right="57"/>
              <w:jc w:val="center"/>
              <w:rPr>
                <w:rFonts w:hint="eastAsia" w:eastAsia="宋体"/>
                <w:szCs w:val="24"/>
                <w:lang w:eastAsia="zh-CN"/>
              </w:rPr>
            </w:pPr>
            <w:r>
              <w:rPr>
                <w:rFonts w:hint="eastAsia"/>
                <w:szCs w:val="24"/>
                <w:lang w:val="en-US" w:eastAsia="zh-CN"/>
              </w:rPr>
              <w:t>5</w:t>
            </w:r>
          </w:p>
        </w:tc>
        <w:tc>
          <w:tcPr>
            <w:tcW w:w="1701" w:type="dxa"/>
            <w:tcBorders>
              <w:top w:val="single" w:color="auto" w:sz="4" w:space="0"/>
              <w:left w:val="single" w:color="auto" w:sz="4" w:space="0"/>
              <w:bottom w:val="single" w:color="auto" w:sz="4" w:space="0"/>
              <w:right w:val="single" w:color="auto" w:sz="4" w:space="0"/>
            </w:tcBorders>
            <w:vAlign w:val="center"/>
          </w:tcPr>
          <w:p w14:paraId="2AD37383">
            <w:pPr>
              <w:wordWrap w:val="0"/>
              <w:spacing w:line="360" w:lineRule="auto"/>
              <w:jc w:val="center"/>
              <w:rPr>
                <w:szCs w:val="24"/>
              </w:rPr>
            </w:pPr>
            <w:r>
              <w:rPr>
                <w:rFonts w:hint="eastAsia"/>
                <w:szCs w:val="24"/>
              </w:rPr>
              <w:t>电子采购平台操作手册</w:t>
            </w:r>
          </w:p>
        </w:tc>
        <w:tc>
          <w:tcPr>
            <w:tcW w:w="7080" w:type="dxa"/>
            <w:tcBorders>
              <w:top w:val="single" w:color="auto" w:sz="4" w:space="0"/>
              <w:left w:val="single" w:color="auto" w:sz="4" w:space="0"/>
              <w:bottom w:val="single" w:color="auto" w:sz="4" w:space="0"/>
            </w:tcBorders>
            <w:vAlign w:val="center"/>
          </w:tcPr>
          <w:p w14:paraId="462B7458">
            <w:pPr>
              <w:wordWrap w:val="0"/>
              <w:spacing w:line="360" w:lineRule="auto"/>
            </w:pPr>
            <w:r>
              <w:rPr>
                <w:rFonts w:hint="eastAsia" w:ascii="宋体" w:hAnsi="宋体" w:eastAsia="宋体" w:cs="Times New Roman"/>
                <w:szCs w:val="24"/>
                <w:lang w:eastAsia="zh-CN"/>
              </w:rPr>
              <w:t>随县</w:t>
            </w:r>
            <w:r>
              <w:rPr>
                <w:rFonts w:hint="eastAsia" w:ascii="宋体" w:hAnsi="宋体" w:eastAsia="宋体" w:cs="Times New Roman"/>
                <w:szCs w:val="24"/>
              </w:rPr>
              <w:t>政府电子采购平台(https://dzcg. hubeigp. gov. cn/lassets/ special/ 100/hbenterpoint. html)</w:t>
            </w:r>
          </w:p>
        </w:tc>
      </w:tr>
      <w:tr w14:paraId="71B9E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034CD84C">
            <w:pPr>
              <w:tabs>
                <w:tab w:val="left" w:pos="242"/>
              </w:tabs>
              <w:wordWrap w:val="0"/>
              <w:spacing w:line="360" w:lineRule="auto"/>
              <w:ind w:right="57"/>
              <w:jc w:val="center"/>
              <w:rPr>
                <w:rFonts w:hint="eastAsia" w:eastAsia="宋体"/>
                <w:szCs w:val="24"/>
                <w:lang w:eastAsia="zh-CN"/>
              </w:rPr>
            </w:pPr>
            <w:r>
              <w:rPr>
                <w:rFonts w:hint="eastAsia"/>
                <w:szCs w:val="24"/>
                <w:lang w:val="en-US" w:eastAsia="zh-CN"/>
              </w:rPr>
              <w:t>6</w:t>
            </w:r>
          </w:p>
        </w:tc>
        <w:tc>
          <w:tcPr>
            <w:tcW w:w="1701" w:type="dxa"/>
            <w:tcBorders>
              <w:top w:val="single" w:color="auto" w:sz="4" w:space="0"/>
              <w:left w:val="single" w:color="auto" w:sz="4" w:space="0"/>
              <w:bottom w:val="single" w:color="auto" w:sz="4" w:space="0"/>
              <w:right w:val="single" w:color="auto" w:sz="4" w:space="0"/>
            </w:tcBorders>
            <w:vAlign w:val="center"/>
          </w:tcPr>
          <w:p w14:paraId="295AB3CB">
            <w:pPr>
              <w:wordWrap w:val="0"/>
              <w:spacing w:line="360" w:lineRule="auto"/>
              <w:jc w:val="center"/>
              <w:rPr>
                <w:szCs w:val="24"/>
              </w:rPr>
            </w:pPr>
            <w:r>
              <w:rPr>
                <w:rFonts w:hint="eastAsia"/>
                <w:szCs w:val="24"/>
              </w:rPr>
              <w:t>电子采购平台咨询</w:t>
            </w:r>
          </w:p>
        </w:tc>
        <w:tc>
          <w:tcPr>
            <w:tcW w:w="7080" w:type="dxa"/>
            <w:tcBorders>
              <w:top w:val="single" w:color="auto" w:sz="4" w:space="0"/>
              <w:left w:val="single" w:color="auto" w:sz="4" w:space="0"/>
              <w:bottom w:val="single" w:color="auto" w:sz="4" w:space="0"/>
            </w:tcBorders>
            <w:vAlign w:val="center"/>
          </w:tcPr>
          <w:p w14:paraId="4BC0A7BE">
            <w:pPr>
              <w:pStyle w:val="11"/>
              <w:wordWrap w:val="0"/>
              <w:spacing w:line="360" w:lineRule="auto"/>
              <w:rPr>
                <w:szCs w:val="24"/>
              </w:rPr>
            </w:pPr>
            <w:r>
              <w:rPr>
                <w:rFonts w:hint="eastAsia"/>
                <w:szCs w:val="24"/>
              </w:rPr>
              <w:t>提交磋商文件截止时间</w:t>
            </w:r>
            <w:r>
              <w:rPr>
                <w:rFonts w:hint="eastAsia"/>
                <w:b/>
                <w:szCs w:val="24"/>
              </w:rPr>
              <w:t>48小时前</w:t>
            </w:r>
            <w:r>
              <w:rPr>
                <w:rFonts w:hint="eastAsia"/>
                <w:szCs w:val="24"/>
              </w:rPr>
              <w:t>咨询电子采购平台</w:t>
            </w:r>
          </w:p>
        </w:tc>
      </w:tr>
      <w:tr w14:paraId="018ED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06E62722">
            <w:pPr>
              <w:tabs>
                <w:tab w:val="left" w:pos="242"/>
              </w:tabs>
              <w:wordWrap w:val="0"/>
              <w:spacing w:line="360" w:lineRule="auto"/>
              <w:ind w:right="57"/>
              <w:jc w:val="center"/>
              <w:rPr>
                <w:rFonts w:hint="eastAsia" w:eastAsia="宋体"/>
                <w:szCs w:val="24"/>
                <w:lang w:eastAsia="zh-CN"/>
              </w:rPr>
            </w:pPr>
            <w:r>
              <w:rPr>
                <w:rFonts w:hint="eastAsia"/>
                <w:szCs w:val="24"/>
                <w:lang w:val="en-US" w:eastAsia="zh-CN"/>
              </w:rPr>
              <w:t>7</w:t>
            </w:r>
          </w:p>
        </w:tc>
        <w:tc>
          <w:tcPr>
            <w:tcW w:w="1701" w:type="dxa"/>
            <w:tcBorders>
              <w:top w:val="single" w:color="auto" w:sz="4" w:space="0"/>
              <w:left w:val="single" w:color="auto" w:sz="4" w:space="0"/>
              <w:bottom w:val="single" w:color="auto" w:sz="4" w:space="0"/>
              <w:right w:val="single" w:color="auto" w:sz="4" w:space="0"/>
            </w:tcBorders>
            <w:vAlign w:val="center"/>
          </w:tcPr>
          <w:p w14:paraId="4F0D3B78">
            <w:pPr>
              <w:wordWrap w:val="0"/>
              <w:spacing w:line="360" w:lineRule="auto"/>
              <w:jc w:val="center"/>
              <w:rPr>
                <w:szCs w:val="24"/>
              </w:rPr>
            </w:pPr>
            <w:r>
              <w:rPr>
                <w:rFonts w:hint="eastAsia"/>
                <w:szCs w:val="24"/>
              </w:rPr>
              <w:t>电子采购平台联系方式</w:t>
            </w:r>
          </w:p>
        </w:tc>
        <w:tc>
          <w:tcPr>
            <w:tcW w:w="7080" w:type="dxa"/>
            <w:tcBorders>
              <w:top w:val="single" w:color="auto" w:sz="4" w:space="0"/>
              <w:left w:val="single" w:color="auto" w:sz="4" w:space="0"/>
              <w:bottom w:val="single" w:color="auto" w:sz="4" w:space="0"/>
            </w:tcBorders>
            <w:vAlign w:val="center"/>
          </w:tcPr>
          <w:p w14:paraId="554FCB21">
            <w:pPr>
              <w:pStyle w:val="11"/>
              <w:wordWrap w:val="0"/>
              <w:spacing w:line="360" w:lineRule="auto"/>
              <w:rPr>
                <w:szCs w:val="24"/>
              </w:rPr>
            </w:pPr>
            <w:r>
              <w:rPr>
                <w:rFonts w:hint="eastAsia"/>
                <w:szCs w:val="24"/>
              </w:rPr>
              <w:t>QQ群：463671735，966545752</w:t>
            </w:r>
          </w:p>
          <w:p w14:paraId="05263085">
            <w:pPr>
              <w:pStyle w:val="11"/>
              <w:wordWrap w:val="0"/>
              <w:spacing w:line="360" w:lineRule="auto"/>
              <w:rPr>
                <w:szCs w:val="24"/>
              </w:rPr>
            </w:pPr>
            <w:r>
              <w:rPr>
                <w:rFonts w:hint="eastAsia"/>
                <w:szCs w:val="24"/>
              </w:rPr>
              <w:t>电话：</w:t>
            </w:r>
            <w:r>
              <w:rPr>
                <w:szCs w:val="24"/>
              </w:rPr>
              <w:t>027-</w:t>
            </w:r>
            <w:r>
              <w:rPr>
                <w:rFonts w:hint="eastAsia"/>
                <w:szCs w:val="24"/>
              </w:rPr>
              <w:t>86620931</w:t>
            </w:r>
          </w:p>
        </w:tc>
      </w:tr>
      <w:tr w14:paraId="10B0A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9740" w:type="dxa"/>
            <w:gridSpan w:val="3"/>
            <w:tcBorders>
              <w:top w:val="single" w:color="auto" w:sz="4" w:space="0"/>
              <w:bottom w:val="single" w:color="auto" w:sz="4" w:space="0"/>
            </w:tcBorders>
            <w:vAlign w:val="center"/>
          </w:tcPr>
          <w:p w14:paraId="29520921">
            <w:pPr>
              <w:pStyle w:val="11"/>
              <w:wordWrap w:val="0"/>
              <w:spacing w:line="360" w:lineRule="auto"/>
              <w:rPr>
                <w:szCs w:val="24"/>
              </w:rPr>
            </w:pPr>
            <w:r>
              <w:rPr>
                <w:rFonts w:hint="eastAsia"/>
                <w:szCs w:val="24"/>
              </w:rPr>
              <w:t>二、竞争性磋商文件</w:t>
            </w:r>
          </w:p>
        </w:tc>
      </w:tr>
      <w:tr w14:paraId="4E9CD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70C827FC">
            <w:pPr>
              <w:tabs>
                <w:tab w:val="left" w:pos="130"/>
              </w:tabs>
              <w:wordWrap w:val="0"/>
              <w:spacing w:line="360" w:lineRule="auto"/>
              <w:ind w:right="57"/>
              <w:jc w:val="center"/>
              <w:rPr>
                <w:rFonts w:hint="default"/>
                <w:szCs w:val="24"/>
              </w:rPr>
            </w:pPr>
            <w:r>
              <w:rPr>
                <w:rFonts w:hint="default"/>
                <w:szCs w:val="24"/>
              </w:rPr>
              <w:t>8</w:t>
            </w:r>
          </w:p>
        </w:tc>
        <w:tc>
          <w:tcPr>
            <w:tcW w:w="1701" w:type="dxa"/>
            <w:tcBorders>
              <w:top w:val="single" w:color="auto" w:sz="4" w:space="0"/>
              <w:left w:val="single" w:color="auto" w:sz="4" w:space="0"/>
              <w:bottom w:val="single" w:color="auto" w:sz="4" w:space="0"/>
              <w:right w:val="single" w:color="auto" w:sz="4" w:space="0"/>
            </w:tcBorders>
            <w:vAlign w:val="center"/>
          </w:tcPr>
          <w:p w14:paraId="57408544">
            <w:pPr>
              <w:wordWrap w:val="0"/>
              <w:spacing w:line="360" w:lineRule="auto"/>
              <w:jc w:val="center"/>
              <w:rPr>
                <w:rFonts w:cs="宋体"/>
                <w:szCs w:val="24"/>
              </w:rPr>
            </w:pPr>
            <w:r>
              <w:rPr>
                <w:rFonts w:hint="eastAsia" w:cs="宋体"/>
                <w:szCs w:val="24"/>
              </w:rPr>
              <w:t>实物样品</w:t>
            </w:r>
          </w:p>
        </w:tc>
        <w:tc>
          <w:tcPr>
            <w:tcW w:w="7080" w:type="dxa"/>
            <w:tcBorders>
              <w:top w:val="single" w:color="auto" w:sz="4" w:space="0"/>
              <w:left w:val="single" w:color="auto" w:sz="4" w:space="0"/>
              <w:bottom w:val="single" w:color="auto" w:sz="4" w:space="0"/>
            </w:tcBorders>
            <w:vAlign w:val="center"/>
          </w:tcPr>
          <w:p w14:paraId="1A743FAB">
            <w:pPr>
              <w:wordWrap w:val="0"/>
              <w:spacing w:line="360" w:lineRule="auto"/>
              <w:rPr>
                <w:szCs w:val="24"/>
              </w:rPr>
            </w:pPr>
            <w:r>
              <w:rPr>
                <w:rFonts w:hint="eastAsia"/>
                <w:i w:val="0"/>
                <w:iCs/>
                <w:szCs w:val="24"/>
              </w:rPr>
              <w:t>不提供</w:t>
            </w:r>
          </w:p>
        </w:tc>
      </w:tr>
      <w:tr w14:paraId="38704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407774D7">
            <w:pPr>
              <w:tabs>
                <w:tab w:val="left" w:pos="130"/>
              </w:tabs>
              <w:wordWrap w:val="0"/>
              <w:spacing w:line="360" w:lineRule="auto"/>
              <w:ind w:right="57"/>
              <w:jc w:val="center"/>
              <w:rPr>
                <w:rFonts w:hint="default"/>
                <w:szCs w:val="24"/>
              </w:rPr>
            </w:pPr>
            <w:r>
              <w:rPr>
                <w:rFonts w:hint="default"/>
                <w:szCs w:val="24"/>
              </w:rPr>
              <w:t>9</w:t>
            </w:r>
          </w:p>
        </w:tc>
        <w:tc>
          <w:tcPr>
            <w:tcW w:w="1701" w:type="dxa"/>
            <w:tcBorders>
              <w:top w:val="single" w:color="auto" w:sz="4" w:space="0"/>
              <w:left w:val="single" w:color="auto" w:sz="4" w:space="0"/>
              <w:bottom w:val="single" w:color="auto" w:sz="4" w:space="0"/>
              <w:right w:val="single" w:color="auto" w:sz="4" w:space="0"/>
            </w:tcBorders>
            <w:vAlign w:val="center"/>
          </w:tcPr>
          <w:p w14:paraId="63A7BA2E">
            <w:pPr>
              <w:wordWrap w:val="0"/>
              <w:spacing w:line="360" w:lineRule="auto"/>
              <w:jc w:val="center"/>
              <w:rPr>
                <w:rFonts w:cs="宋体"/>
                <w:szCs w:val="24"/>
              </w:rPr>
            </w:pPr>
            <w:r>
              <w:rPr>
                <w:rFonts w:hint="eastAsia" w:cs="宋体"/>
                <w:szCs w:val="24"/>
              </w:rPr>
              <w:t>项目演示</w:t>
            </w:r>
          </w:p>
        </w:tc>
        <w:tc>
          <w:tcPr>
            <w:tcW w:w="7080" w:type="dxa"/>
            <w:tcBorders>
              <w:top w:val="single" w:color="auto" w:sz="4" w:space="0"/>
              <w:left w:val="single" w:color="auto" w:sz="4" w:space="0"/>
              <w:bottom w:val="single" w:color="auto" w:sz="4" w:space="0"/>
            </w:tcBorders>
            <w:vAlign w:val="center"/>
          </w:tcPr>
          <w:p w14:paraId="3488D0E6">
            <w:pPr>
              <w:wordWrap w:val="0"/>
              <w:spacing w:line="360" w:lineRule="auto"/>
              <w:ind w:right="-120" w:rightChars="-50"/>
              <w:rPr>
                <w:szCs w:val="24"/>
              </w:rPr>
            </w:pPr>
            <w:r>
              <w:rPr>
                <w:rFonts w:hint="eastAsia"/>
                <w:i w:val="0"/>
                <w:iCs/>
                <w:szCs w:val="24"/>
              </w:rPr>
              <w:t>不进行</w:t>
            </w:r>
          </w:p>
        </w:tc>
      </w:tr>
      <w:tr w14:paraId="77FA4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right w:val="single" w:color="auto" w:sz="4" w:space="0"/>
            </w:tcBorders>
            <w:vAlign w:val="center"/>
          </w:tcPr>
          <w:p w14:paraId="1882D065">
            <w:pPr>
              <w:tabs>
                <w:tab w:val="left" w:pos="130"/>
              </w:tabs>
              <w:wordWrap w:val="0"/>
              <w:spacing w:line="360" w:lineRule="auto"/>
              <w:ind w:right="57"/>
              <w:jc w:val="center"/>
              <w:rPr>
                <w:rFonts w:hint="default"/>
                <w:szCs w:val="24"/>
              </w:rPr>
            </w:pPr>
            <w:r>
              <w:rPr>
                <w:rFonts w:hint="default"/>
                <w:szCs w:val="24"/>
              </w:rPr>
              <w:t>10</w:t>
            </w:r>
          </w:p>
        </w:tc>
        <w:tc>
          <w:tcPr>
            <w:tcW w:w="1701" w:type="dxa"/>
            <w:tcBorders>
              <w:top w:val="single" w:color="auto" w:sz="4" w:space="0"/>
              <w:left w:val="single" w:color="auto" w:sz="4" w:space="0"/>
              <w:bottom w:val="single" w:color="auto" w:sz="4" w:space="0"/>
              <w:right w:val="single" w:color="auto" w:sz="4" w:space="0"/>
            </w:tcBorders>
            <w:vAlign w:val="center"/>
          </w:tcPr>
          <w:p w14:paraId="031D1A7F">
            <w:pPr>
              <w:wordWrap w:val="0"/>
              <w:spacing w:line="360" w:lineRule="auto"/>
              <w:jc w:val="center"/>
              <w:rPr>
                <w:rFonts w:cs="宋体"/>
                <w:szCs w:val="24"/>
              </w:rPr>
            </w:pPr>
            <w:r>
              <w:rPr>
                <w:rFonts w:hint="eastAsia" w:cs="宋体"/>
                <w:szCs w:val="24"/>
              </w:rPr>
              <w:t>澄清或修改</w:t>
            </w:r>
          </w:p>
        </w:tc>
        <w:tc>
          <w:tcPr>
            <w:tcW w:w="7080" w:type="dxa"/>
            <w:tcBorders>
              <w:top w:val="single" w:color="auto" w:sz="4" w:space="0"/>
              <w:left w:val="single" w:color="auto" w:sz="4" w:space="0"/>
              <w:bottom w:val="single" w:color="auto" w:sz="4" w:space="0"/>
            </w:tcBorders>
            <w:vAlign w:val="center"/>
          </w:tcPr>
          <w:p w14:paraId="5A262561">
            <w:pPr>
              <w:wordWrap w:val="0"/>
              <w:spacing w:line="360" w:lineRule="auto"/>
              <w:ind w:right="-120" w:rightChars="-50"/>
              <w:rPr>
                <w:szCs w:val="24"/>
              </w:rPr>
            </w:pPr>
            <w:r>
              <w:rPr>
                <w:rFonts w:hint="eastAsia" w:cs="宋体"/>
                <w:szCs w:val="24"/>
              </w:rPr>
              <w:t>获取竞争性磋商文件的潜在供应商应自行在中国湖北政府采购网上关注更正公告并下载澄清或修改的内容，采购人、集中采购机构</w:t>
            </w:r>
            <w:r>
              <w:rPr>
                <w:rFonts w:hint="eastAsia" w:cs="宋体"/>
                <w:b/>
                <w:szCs w:val="24"/>
              </w:rPr>
              <w:t>不再书面通知</w:t>
            </w:r>
            <w:r>
              <w:rPr>
                <w:rFonts w:hint="eastAsia" w:cs="宋体"/>
                <w:szCs w:val="24"/>
              </w:rPr>
              <w:t>。</w:t>
            </w:r>
          </w:p>
        </w:tc>
      </w:tr>
      <w:tr w14:paraId="6AD62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59" w:type="dxa"/>
            <w:tcBorders>
              <w:top w:val="single" w:color="auto" w:sz="4" w:space="0"/>
              <w:right w:val="single" w:color="auto" w:sz="4" w:space="0"/>
            </w:tcBorders>
            <w:vAlign w:val="center"/>
          </w:tcPr>
          <w:p w14:paraId="2C3C6AA2">
            <w:pPr>
              <w:tabs>
                <w:tab w:val="left" w:pos="130"/>
              </w:tabs>
              <w:wordWrap w:val="0"/>
              <w:spacing w:line="360" w:lineRule="auto"/>
              <w:ind w:right="57"/>
              <w:jc w:val="center"/>
              <w:rPr>
                <w:rFonts w:hint="default"/>
                <w:szCs w:val="24"/>
              </w:rPr>
            </w:pPr>
            <w:r>
              <w:rPr>
                <w:rFonts w:hint="default"/>
                <w:szCs w:val="24"/>
              </w:rPr>
              <w:t>11</w:t>
            </w:r>
          </w:p>
        </w:tc>
        <w:tc>
          <w:tcPr>
            <w:tcW w:w="1701" w:type="dxa"/>
            <w:tcBorders>
              <w:top w:val="single" w:color="auto" w:sz="4" w:space="0"/>
              <w:left w:val="single" w:color="auto" w:sz="4" w:space="0"/>
              <w:bottom w:val="single" w:color="auto" w:sz="4" w:space="0"/>
              <w:right w:val="single" w:color="auto" w:sz="4" w:space="0"/>
            </w:tcBorders>
            <w:vAlign w:val="center"/>
          </w:tcPr>
          <w:p w14:paraId="5402E228">
            <w:pPr>
              <w:wordWrap w:val="0"/>
              <w:spacing w:line="360" w:lineRule="auto"/>
              <w:jc w:val="center"/>
              <w:rPr>
                <w:szCs w:val="24"/>
              </w:rPr>
            </w:pPr>
            <w:r>
              <w:rPr>
                <w:rFonts w:hint="eastAsia" w:cs="宋体"/>
                <w:szCs w:val="24"/>
              </w:rPr>
              <w:t>现场考察</w:t>
            </w:r>
            <w:r>
              <w:rPr>
                <w:rFonts w:hint="eastAsia" w:cs="宋体"/>
                <w:b/>
                <w:szCs w:val="24"/>
              </w:rPr>
              <w:t>或</w:t>
            </w:r>
            <w:r>
              <w:rPr>
                <w:rFonts w:hint="eastAsia" w:cs="宋体"/>
                <w:szCs w:val="24"/>
                <w:lang w:val="zh-CN"/>
              </w:rPr>
              <w:t>磋商前答疑会</w:t>
            </w:r>
          </w:p>
        </w:tc>
        <w:tc>
          <w:tcPr>
            <w:tcW w:w="7080" w:type="dxa"/>
            <w:tcBorders>
              <w:top w:val="single" w:color="auto" w:sz="4" w:space="0"/>
              <w:left w:val="single" w:color="auto" w:sz="4" w:space="0"/>
              <w:bottom w:val="single" w:color="auto" w:sz="4" w:space="0"/>
            </w:tcBorders>
            <w:vAlign w:val="center"/>
          </w:tcPr>
          <w:p w14:paraId="0CB27225">
            <w:pPr>
              <w:pStyle w:val="11"/>
              <w:spacing w:line="360" w:lineRule="auto"/>
            </w:pPr>
            <w:r>
              <w:rPr>
                <w:rFonts w:hint="eastAsia"/>
                <w:i w:val="0"/>
                <w:iCs/>
                <w:szCs w:val="24"/>
              </w:rPr>
              <w:t>不组织</w:t>
            </w:r>
          </w:p>
        </w:tc>
      </w:tr>
      <w:tr w14:paraId="32D23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14:paraId="1A49CDFF">
            <w:pPr>
              <w:wordWrap w:val="0"/>
              <w:spacing w:line="360" w:lineRule="auto"/>
              <w:ind w:right="-120" w:rightChars="-50"/>
              <w:rPr>
                <w:szCs w:val="24"/>
              </w:rPr>
            </w:pPr>
            <w:r>
              <w:rPr>
                <w:rFonts w:hint="eastAsia"/>
                <w:szCs w:val="24"/>
              </w:rPr>
              <w:t>三、响应文件</w:t>
            </w:r>
          </w:p>
        </w:tc>
      </w:tr>
      <w:tr w14:paraId="45B5B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959" w:type="dxa"/>
            <w:tcBorders>
              <w:top w:val="single" w:color="auto" w:sz="4" w:space="0"/>
              <w:bottom w:val="single" w:color="auto" w:sz="4" w:space="0"/>
              <w:right w:val="single" w:color="auto" w:sz="4" w:space="0"/>
            </w:tcBorders>
            <w:vAlign w:val="center"/>
          </w:tcPr>
          <w:p w14:paraId="1136523D">
            <w:pPr>
              <w:tabs>
                <w:tab w:val="left" w:pos="130"/>
              </w:tabs>
              <w:wordWrap w:val="0"/>
              <w:spacing w:line="360" w:lineRule="auto"/>
              <w:ind w:right="57"/>
              <w:jc w:val="center"/>
              <w:rPr>
                <w:rFonts w:hint="default"/>
                <w:szCs w:val="24"/>
              </w:rPr>
            </w:pPr>
            <w:r>
              <w:rPr>
                <w:szCs w:val="24"/>
              </w:rPr>
              <w:t>12</w:t>
            </w:r>
          </w:p>
        </w:tc>
        <w:tc>
          <w:tcPr>
            <w:tcW w:w="1701" w:type="dxa"/>
            <w:tcBorders>
              <w:top w:val="single" w:color="auto" w:sz="4" w:space="0"/>
              <w:left w:val="single" w:color="auto" w:sz="4" w:space="0"/>
              <w:bottom w:val="single" w:color="auto" w:sz="4" w:space="0"/>
              <w:right w:val="single" w:color="auto" w:sz="4" w:space="0"/>
            </w:tcBorders>
            <w:vAlign w:val="center"/>
          </w:tcPr>
          <w:p w14:paraId="1B8F7D6C">
            <w:pPr>
              <w:wordWrap w:val="0"/>
              <w:spacing w:line="360" w:lineRule="auto"/>
              <w:jc w:val="center"/>
              <w:rPr>
                <w:szCs w:val="24"/>
              </w:rPr>
            </w:pPr>
            <w:r>
              <w:rPr>
                <w:rFonts w:hint="eastAsia"/>
                <w:szCs w:val="24"/>
              </w:rPr>
              <w:t>响应</w:t>
            </w:r>
            <w:r>
              <w:rPr>
                <w:szCs w:val="24"/>
              </w:rPr>
              <w:t>文件</w:t>
            </w:r>
            <w:r>
              <w:rPr>
                <w:rFonts w:hint="eastAsia"/>
                <w:szCs w:val="24"/>
              </w:rPr>
              <w:t>数量</w:t>
            </w:r>
          </w:p>
        </w:tc>
        <w:tc>
          <w:tcPr>
            <w:tcW w:w="7080" w:type="dxa"/>
            <w:tcBorders>
              <w:top w:val="single" w:color="auto" w:sz="4" w:space="0"/>
              <w:left w:val="single" w:color="auto" w:sz="4" w:space="0"/>
              <w:bottom w:val="single" w:color="auto" w:sz="4" w:space="0"/>
            </w:tcBorders>
            <w:vAlign w:val="center"/>
          </w:tcPr>
          <w:p w14:paraId="23DF1983">
            <w:pPr>
              <w:wordWrap w:val="0"/>
              <w:spacing w:line="360" w:lineRule="auto"/>
              <w:rPr>
                <w:szCs w:val="24"/>
              </w:rPr>
            </w:pPr>
            <w:r>
              <w:rPr>
                <w:rFonts w:hint="eastAsia"/>
                <w:b/>
                <w:szCs w:val="24"/>
                <w:u w:val="single"/>
              </w:rPr>
              <w:t xml:space="preserve"> 1</w:t>
            </w:r>
            <w:r>
              <w:rPr>
                <w:rFonts w:hint="eastAsia"/>
                <w:szCs w:val="24"/>
                <w:u w:val="single"/>
              </w:rPr>
              <w:t xml:space="preserve"> </w:t>
            </w:r>
            <w:r>
              <w:rPr>
                <w:rFonts w:hint="eastAsia"/>
                <w:szCs w:val="24"/>
              </w:rPr>
              <w:t>份，包括磋商文件（PDF格式）和磋商数据文件（PDF格式）</w:t>
            </w:r>
          </w:p>
        </w:tc>
      </w:tr>
      <w:tr w14:paraId="18718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959" w:type="dxa"/>
            <w:tcBorders>
              <w:top w:val="single" w:color="auto" w:sz="4" w:space="0"/>
              <w:bottom w:val="single" w:color="auto" w:sz="4" w:space="0"/>
              <w:right w:val="single" w:color="auto" w:sz="4" w:space="0"/>
            </w:tcBorders>
            <w:vAlign w:val="center"/>
          </w:tcPr>
          <w:p w14:paraId="1E664E53">
            <w:pPr>
              <w:tabs>
                <w:tab w:val="left" w:pos="242"/>
              </w:tabs>
              <w:wordWrap w:val="0"/>
              <w:spacing w:line="360" w:lineRule="auto"/>
              <w:ind w:right="57"/>
              <w:jc w:val="center"/>
              <w:rPr>
                <w:szCs w:val="24"/>
              </w:rPr>
            </w:pPr>
            <w:r>
              <w:rPr>
                <w:rFonts w:hint="default"/>
                <w:szCs w:val="24"/>
              </w:rPr>
              <w:t>1</w:t>
            </w:r>
            <w:r>
              <w:rPr>
                <w:szCs w:val="24"/>
              </w:rPr>
              <w:t>3</w:t>
            </w:r>
          </w:p>
        </w:tc>
        <w:tc>
          <w:tcPr>
            <w:tcW w:w="1701" w:type="dxa"/>
            <w:tcBorders>
              <w:top w:val="single" w:color="auto" w:sz="4" w:space="0"/>
              <w:left w:val="single" w:color="auto" w:sz="4" w:space="0"/>
              <w:bottom w:val="single" w:color="auto" w:sz="4" w:space="0"/>
              <w:right w:val="single" w:color="auto" w:sz="4" w:space="0"/>
            </w:tcBorders>
            <w:vAlign w:val="center"/>
          </w:tcPr>
          <w:p w14:paraId="1D8F0C79">
            <w:pPr>
              <w:wordWrap w:val="0"/>
              <w:spacing w:line="360" w:lineRule="auto"/>
              <w:jc w:val="center"/>
              <w:rPr>
                <w:szCs w:val="24"/>
              </w:rPr>
            </w:pPr>
            <w:r>
              <w:rPr>
                <w:rFonts w:hint="eastAsia"/>
                <w:szCs w:val="24"/>
              </w:rPr>
              <w:t>备选方案</w:t>
            </w:r>
          </w:p>
        </w:tc>
        <w:tc>
          <w:tcPr>
            <w:tcW w:w="7080" w:type="dxa"/>
            <w:tcBorders>
              <w:top w:val="single" w:color="auto" w:sz="4" w:space="0"/>
              <w:left w:val="single" w:color="auto" w:sz="4" w:space="0"/>
              <w:bottom w:val="single" w:color="auto" w:sz="4" w:space="0"/>
            </w:tcBorders>
            <w:vAlign w:val="center"/>
          </w:tcPr>
          <w:p w14:paraId="363AFAD6">
            <w:pPr>
              <w:wordWrap w:val="0"/>
              <w:spacing w:line="360" w:lineRule="auto"/>
              <w:rPr>
                <w:szCs w:val="24"/>
              </w:rPr>
            </w:pPr>
            <w:r>
              <w:rPr>
                <w:rFonts w:hint="eastAsia"/>
                <w:szCs w:val="24"/>
              </w:rPr>
              <w:t>不允许</w:t>
            </w:r>
          </w:p>
        </w:tc>
      </w:tr>
      <w:tr w14:paraId="303D2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59" w:type="dxa"/>
            <w:tcBorders>
              <w:top w:val="single" w:color="auto" w:sz="4" w:space="0"/>
              <w:bottom w:val="single" w:color="auto" w:sz="4" w:space="0"/>
              <w:right w:val="single" w:color="auto" w:sz="4" w:space="0"/>
            </w:tcBorders>
            <w:vAlign w:val="center"/>
          </w:tcPr>
          <w:p w14:paraId="4D44ECC8">
            <w:pPr>
              <w:tabs>
                <w:tab w:val="left" w:pos="242"/>
              </w:tabs>
              <w:wordWrap w:val="0"/>
              <w:spacing w:line="360" w:lineRule="auto"/>
              <w:ind w:right="57"/>
              <w:jc w:val="center"/>
              <w:rPr>
                <w:rFonts w:hint="default"/>
                <w:szCs w:val="24"/>
              </w:rPr>
            </w:pPr>
            <w:r>
              <w:rPr>
                <w:rFonts w:hint="default"/>
                <w:szCs w:val="24"/>
              </w:rPr>
              <w:t>14</w:t>
            </w:r>
          </w:p>
        </w:tc>
        <w:tc>
          <w:tcPr>
            <w:tcW w:w="1701" w:type="dxa"/>
            <w:tcBorders>
              <w:top w:val="single" w:color="auto" w:sz="4" w:space="0"/>
              <w:left w:val="single" w:color="auto" w:sz="4" w:space="0"/>
              <w:bottom w:val="single" w:color="auto" w:sz="4" w:space="0"/>
              <w:right w:val="single" w:color="auto" w:sz="4" w:space="0"/>
            </w:tcBorders>
            <w:vAlign w:val="center"/>
          </w:tcPr>
          <w:p w14:paraId="74EB83FE">
            <w:pPr>
              <w:wordWrap w:val="0"/>
              <w:spacing w:line="360" w:lineRule="auto"/>
              <w:jc w:val="center"/>
              <w:rPr>
                <w:szCs w:val="24"/>
              </w:rPr>
            </w:pPr>
            <w:r>
              <w:rPr>
                <w:szCs w:val="24"/>
              </w:rPr>
              <w:t>磋商有效期</w:t>
            </w:r>
          </w:p>
        </w:tc>
        <w:tc>
          <w:tcPr>
            <w:tcW w:w="7080" w:type="dxa"/>
            <w:tcBorders>
              <w:top w:val="single" w:color="auto" w:sz="4" w:space="0"/>
              <w:left w:val="single" w:color="auto" w:sz="4" w:space="0"/>
              <w:bottom w:val="single" w:color="auto" w:sz="4" w:space="0"/>
            </w:tcBorders>
            <w:vAlign w:val="center"/>
          </w:tcPr>
          <w:p w14:paraId="5BD7F3FA">
            <w:pPr>
              <w:wordWrap w:val="0"/>
              <w:spacing w:line="360" w:lineRule="auto"/>
              <w:rPr>
                <w:szCs w:val="24"/>
              </w:rPr>
            </w:pPr>
            <w:r>
              <w:rPr>
                <w:rFonts w:hint="eastAsia" w:cs="宋体"/>
                <w:szCs w:val="24"/>
              </w:rPr>
              <w:t>提交磋商文件截止之日起</w:t>
            </w:r>
            <w:r>
              <w:rPr>
                <w:rFonts w:hint="eastAsia" w:cs="宋体"/>
                <w:b/>
                <w:szCs w:val="24"/>
                <w:u w:val="single"/>
              </w:rPr>
              <w:t>90</w:t>
            </w:r>
            <w:r>
              <w:rPr>
                <w:rFonts w:hint="eastAsia" w:cs="宋体"/>
                <w:szCs w:val="24"/>
              </w:rPr>
              <w:t>日历日</w:t>
            </w:r>
          </w:p>
        </w:tc>
      </w:tr>
      <w:tr w14:paraId="465EA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14:paraId="18B8F2B1">
            <w:pPr>
              <w:wordWrap w:val="0"/>
              <w:spacing w:line="360" w:lineRule="auto"/>
              <w:rPr>
                <w:rFonts w:cs="宋体"/>
                <w:szCs w:val="24"/>
              </w:rPr>
            </w:pPr>
            <w:r>
              <w:rPr>
                <w:rFonts w:hint="eastAsia" w:cs="宋体"/>
                <w:szCs w:val="24"/>
              </w:rPr>
              <w:t>四、磋商与评审</w:t>
            </w:r>
          </w:p>
        </w:tc>
      </w:tr>
      <w:tr w14:paraId="50B2A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03E144C9">
            <w:pPr>
              <w:tabs>
                <w:tab w:val="left" w:pos="242"/>
              </w:tabs>
              <w:wordWrap w:val="0"/>
              <w:spacing w:line="360" w:lineRule="auto"/>
              <w:ind w:right="57"/>
              <w:jc w:val="center"/>
              <w:rPr>
                <w:rFonts w:hint="default"/>
                <w:szCs w:val="24"/>
              </w:rPr>
            </w:pPr>
            <w:r>
              <w:rPr>
                <w:rFonts w:hint="default"/>
                <w:szCs w:val="24"/>
              </w:rPr>
              <w:t>15</w:t>
            </w:r>
          </w:p>
        </w:tc>
        <w:tc>
          <w:tcPr>
            <w:tcW w:w="1701" w:type="dxa"/>
            <w:tcBorders>
              <w:top w:val="single" w:color="auto" w:sz="4" w:space="0"/>
              <w:left w:val="single" w:color="auto" w:sz="4" w:space="0"/>
              <w:bottom w:val="single" w:color="auto" w:sz="4" w:space="0"/>
              <w:right w:val="single" w:color="auto" w:sz="4" w:space="0"/>
            </w:tcBorders>
            <w:vAlign w:val="center"/>
          </w:tcPr>
          <w:p w14:paraId="0E91AE2D">
            <w:pPr>
              <w:wordWrap w:val="0"/>
              <w:spacing w:line="360" w:lineRule="auto"/>
              <w:jc w:val="center"/>
              <w:rPr>
                <w:szCs w:val="24"/>
              </w:rPr>
            </w:pPr>
            <w:r>
              <w:rPr>
                <w:rFonts w:hint="eastAsia"/>
                <w:szCs w:val="24"/>
              </w:rPr>
              <w:t>响应文件解密</w:t>
            </w:r>
          </w:p>
        </w:tc>
        <w:tc>
          <w:tcPr>
            <w:tcW w:w="7080" w:type="dxa"/>
            <w:tcBorders>
              <w:top w:val="single" w:color="auto" w:sz="4" w:space="0"/>
              <w:left w:val="single" w:color="auto" w:sz="4" w:space="0"/>
              <w:bottom w:val="single" w:color="auto" w:sz="4" w:space="0"/>
            </w:tcBorders>
            <w:vAlign w:val="center"/>
          </w:tcPr>
          <w:p w14:paraId="39273EFA">
            <w:pPr>
              <w:wordWrap w:val="0"/>
              <w:spacing w:line="360" w:lineRule="auto"/>
              <w:ind w:right="-120" w:rightChars="-50"/>
              <w:rPr>
                <w:szCs w:val="24"/>
              </w:rPr>
            </w:pPr>
            <w:r>
              <w:rPr>
                <w:rFonts w:hint="eastAsia"/>
                <w:szCs w:val="24"/>
              </w:rPr>
              <w:t>文件解密时间：无特殊情况，</w:t>
            </w:r>
            <w:r>
              <w:rPr>
                <w:rFonts w:hint="eastAsia"/>
                <w:b/>
                <w:szCs w:val="24"/>
              </w:rPr>
              <w:t>30分钟内</w:t>
            </w:r>
          </w:p>
          <w:p w14:paraId="391A2D7F">
            <w:pPr>
              <w:wordWrap w:val="0"/>
              <w:spacing w:line="360" w:lineRule="auto"/>
              <w:ind w:right="-120" w:rightChars="-50"/>
              <w:rPr>
                <w:szCs w:val="24"/>
              </w:rPr>
            </w:pPr>
            <w:r>
              <w:rPr>
                <w:rFonts w:hint="eastAsia"/>
                <w:szCs w:val="24"/>
              </w:rPr>
              <w:t>密码输入：</w:t>
            </w:r>
            <w:r>
              <w:rPr>
                <w:rFonts w:hint="eastAsia"/>
                <w:b/>
                <w:szCs w:val="24"/>
              </w:rPr>
              <w:t>5次机会</w:t>
            </w:r>
            <w:r>
              <w:rPr>
                <w:rFonts w:hint="eastAsia" w:ascii="楷体" w:hAnsi="楷体" w:eastAsia="楷体"/>
                <w:szCs w:val="24"/>
              </w:rPr>
              <w:t>（</w:t>
            </w:r>
            <w:r>
              <w:rPr>
                <w:rFonts w:ascii="楷体" w:hAnsi="楷体" w:eastAsia="楷体"/>
                <w:szCs w:val="24"/>
              </w:rPr>
              <w:t>若忘记密码，在</w:t>
            </w:r>
            <w:r>
              <w:rPr>
                <w:rFonts w:hint="eastAsia" w:ascii="楷体" w:hAnsi="楷体" w:eastAsia="楷体"/>
                <w:szCs w:val="24"/>
              </w:rPr>
              <w:t>5次输入</w:t>
            </w:r>
            <w:r>
              <w:rPr>
                <w:rFonts w:ascii="楷体" w:hAnsi="楷体" w:eastAsia="楷体"/>
                <w:szCs w:val="24"/>
              </w:rPr>
              <w:t>机会未使用完前可</w:t>
            </w:r>
            <w:r>
              <w:rPr>
                <w:rFonts w:hint="eastAsia" w:ascii="楷体" w:hAnsi="楷体" w:eastAsia="楷体"/>
                <w:szCs w:val="24"/>
              </w:rPr>
              <w:t>使</w:t>
            </w:r>
            <w:r>
              <w:rPr>
                <w:rFonts w:ascii="楷体" w:hAnsi="楷体" w:eastAsia="楷体"/>
                <w:szCs w:val="24"/>
              </w:rPr>
              <w:t>用密码找回</w:t>
            </w:r>
            <w:r>
              <w:rPr>
                <w:rFonts w:hint="eastAsia" w:ascii="楷体" w:hAnsi="楷体" w:eastAsia="楷体"/>
                <w:szCs w:val="24"/>
              </w:rPr>
              <w:t>功能找回</w:t>
            </w:r>
            <w:r>
              <w:rPr>
                <w:rFonts w:ascii="楷体" w:hAnsi="楷体" w:eastAsia="楷体"/>
                <w:szCs w:val="24"/>
              </w:rPr>
              <w:t>密码</w:t>
            </w:r>
            <w:r>
              <w:rPr>
                <w:rFonts w:hint="eastAsia" w:ascii="楷体" w:hAnsi="楷体" w:eastAsia="楷体"/>
                <w:szCs w:val="24"/>
              </w:rPr>
              <w:t>）</w:t>
            </w:r>
          </w:p>
        </w:tc>
      </w:tr>
      <w:tr w14:paraId="1D2E7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14:paraId="157424AF">
            <w:pPr>
              <w:wordWrap w:val="0"/>
              <w:spacing w:line="360" w:lineRule="auto"/>
              <w:ind w:right="-120" w:rightChars="-50"/>
              <w:rPr>
                <w:szCs w:val="24"/>
              </w:rPr>
            </w:pPr>
            <w:r>
              <w:rPr>
                <w:rFonts w:hint="eastAsia"/>
                <w:szCs w:val="24"/>
              </w:rPr>
              <w:t>五、成交和合同</w:t>
            </w:r>
          </w:p>
        </w:tc>
      </w:tr>
      <w:tr w14:paraId="2A88D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67102755">
            <w:pPr>
              <w:tabs>
                <w:tab w:val="left" w:pos="130"/>
              </w:tabs>
              <w:wordWrap w:val="0"/>
              <w:spacing w:line="360" w:lineRule="auto"/>
              <w:ind w:right="57"/>
              <w:jc w:val="center"/>
              <w:rPr>
                <w:szCs w:val="24"/>
              </w:rPr>
            </w:pPr>
            <w:r>
              <w:rPr>
                <w:rFonts w:hint="default"/>
                <w:szCs w:val="24"/>
              </w:rPr>
              <w:t>1</w:t>
            </w:r>
            <w:r>
              <w:rPr>
                <w:szCs w:val="24"/>
              </w:rPr>
              <w:t>6</w:t>
            </w:r>
          </w:p>
        </w:tc>
        <w:tc>
          <w:tcPr>
            <w:tcW w:w="1701" w:type="dxa"/>
            <w:tcBorders>
              <w:top w:val="single" w:color="auto" w:sz="4" w:space="0"/>
              <w:left w:val="single" w:color="auto" w:sz="4" w:space="0"/>
              <w:bottom w:val="single" w:color="auto" w:sz="4" w:space="0"/>
              <w:right w:val="single" w:color="auto" w:sz="4" w:space="0"/>
            </w:tcBorders>
            <w:vAlign w:val="center"/>
          </w:tcPr>
          <w:p w14:paraId="771C9154">
            <w:pPr>
              <w:wordWrap w:val="0"/>
              <w:spacing w:line="360" w:lineRule="auto"/>
              <w:jc w:val="center"/>
              <w:rPr>
                <w:szCs w:val="24"/>
              </w:rPr>
            </w:pPr>
            <w:r>
              <w:rPr>
                <w:rFonts w:hint="eastAsia"/>
                <w:szCs w:val="24"/>
              </w:rPr>
              <w:t>合同融资</w:t>
            </w:r>
          </w:p>
          <w:p w14:paraId="7E458685">
            <w:pPr>
              <w:wordWrap w:val="0"/>
              <w:spacing w:line="360" w:lineRule="auto"/>
              <w:jc w:val="center"/>
              <w:rPr>
                <w:szCs w:val="24"/>
              </w:rPr>
            </w:pPr>
            <w:r>
              <w:rPr>
                <w:rFonts w:hint="eastAsia"/>
                <w:szCs w:val="24"/>
              </w:rPr>
              <w:t>（</w:t>
            </w:r>
            <w:r>
              <w:rPr>
                <w:rFonts w:hint="eastAsia"/>
                <w:b/>
                <w:szCs w:val="24"/>
              </w:rPr>
              <w:t>政采贷</w:t>
            </w:r>
            <w:r>
              <w:rPr>
                <w:rFonts w:hint="eastAsia"/>
                <w:szCs w:val="24"/>
              </w:rPr>
              <w:t>）</w:t>
            </w:r>
          </w:p>
        </w:tc>
        <w:tc>
          <w:tcPr>
            <w:tcW w:w="7080" w:type="dxa"/>
            <w:tcBorders>
              <w:top w:val="single" w:color="auto" w:sz="4" w:space="0"/>
              <w:left w:val="single" w:color="auto" w:sz="4" w:space="0"/>
              <w:bottom w:val="single" w:color="auto" w:sz="4" w:space="0"/>
            </w:tcBorders>
            <w:vAlign w:val="center"/>
          </w:tcPr>
          <w:p w14:paraId="0A46509F">
            <w:pPr>
              <w:suppressLineNumbers/>
              <w:rPr>
                <w:rFonts w:cs="宋体"/>
                <w:szCs w:val="24"/>
              </w:rPr>
            </w:pPr>
            <w:r>
              <w:rPr>
                <w:rFonts w:hint="eastAsia" w:ascii="宋体" w:hAnsi="宋体" w:eastAsia="宋体" w:cs="宋体"/>
                <w:kern w:val="0"/>
                <w:sz w:val="24"/>
                <w:szCs w:val="24"/>
                <w:lang w:val="en-US" w:eastAsia="zh-CN"/>
              </w:rPr>
              <w:t>为支持扶持中小微企业及推进“政采贷”政策落实，目前随县已开通的“政采贷”银行有2家，联系方式如下：（1）建设银行随县支行：0722-3338009；（2）邮储银行随县支行：0722-3338922。</w:t>
            </w:r>
          </w:p>
        </w:tc>
      </w:tr>
      <w:tr w14:paraId="13B9D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14:paraId="507487D4">
            <w:pPr>
              <w:wordWrap w:val="0"/>
              <w:spacing w:line="360" w:lineRule="auto"/>
              <w:rPr>
                <w:rFonts w:cs="宋体"/>
                <w:szCs w:val="24"/>
              </w:rPr>
            </w:pPr>
            <w:r>
              <w:rPr>
                <w:rFonts w:hint="eastAsia" w:cs="宋体"/>
                <w:szCs w:val="24"/>
              </w:rPr>
              <w:t>六、询问及质疑</w:t>
            </w:r>
          </w:p>
        </w:tc>
      </w:tr>
      <w:tr w14:paraId="34BA9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959" w:type="dxa"/>
            <w:tcBorders>
              <w:top w:val="single" w:color="auto" w:sz="4" w:space="0"/>
              <w:bottom w:val="single" w:color="auto" w:sz="4" w:space="0"/>
              <w:right w:val="single" w:color="auto" w:sz="4" w:space="0"/>
            </w:tcBorders>
            <w:vAlign w:val="center"/>
          </w:tcPr>
          <w:p w14:paraId="29E2842D">
            <w:pPr>
              <w:tabs>
                <w:tab w:val="left" w:pos="242"/>
              </w:tabs>
              <w:wordWrap w:val="0"/>
              <w:spacing w:line="360" w:lineRule="auto"/>
              <w:ind w:right="57"/>
              <w:jc w:val="center"/>
              <w:rPr>
                <w:rFonts w:hint="default"/>
                <w:szCs w:val="24"/>
              </w:rPr>
            </w:pPr>
            <w:r>
              <w:rPr>
                <w:rFonts w:hint="default"/>
                <w:szCs w:val="24"/>
              </w:rPr>
              <w:t>17</w:t>
            </w:r>
          </w:p>
        </w:tc>
        <w:tc>
          <w:tcPr>
            <w:tcW w:w="1701" w:type="dxa"/>
            <w:tcBorders>
              <w:top w:val="single" w:color="auto" w:sz="4" w:space="0"/>
              <w:left w:val="single" w:color="auto" w:sz="4" w:space="0"/>
              <w:bottom w:val="single" w:color="auto" w:sz="4" w:space="0"/>
              <w:right w:val="single" w:color="auto" w:sz="4" w:space="0"/>
            </w:tcBorders>
            <w:vAlign w:val="center"/>
          </w:tcPr>
          <w:p w14:paraId="5ADD9186">
            <w:pPr>
              <w:wordWrap w:val="0"/>
              <w:spacing w:line="360" w:lineRule="auto"/>
              <w:jc w:val="center"/>
              <w:rPr>
                <w:szCs w:val="24"/>
              </w:rPr>
            </w:pPr>
            <w:r>
              <w:rPr>
                <w:rFonts w:hint="eastAsia"/>
                <w:szCs w:val="24"/>
              </w:rPr>
              <w:t>询问联系方式</w:t>
            </w:r>
          </w:p>
        </w:tc>
        <w:tc>
          <w:tcPr>
            <w:tcW w:w="7080" w:type="dxa"/>
            <w:tcBorders>
              <w:top w:val="single" w:color="auto" w:sz="4" w:space="0"/>
              <w:left w:val="single" w:color="auto" w:sz="4" w:space="0"/>
              <w:bottom w:val="single" w:color="auto" w:sz="4" w:space="0"/>
            </w:tcBorders>
            <w:vAlign w:val="center"/>
          </w:tcPr>
          <w:p w14:paraId="5C8904B1">
            <w:pPr>
              <w:pStyle w:val="11"/>
              <w:wordWrap w:val="0"/>
              <w:spacing w:line="360" w:lineRule="auto"/>
              <w:rPr>
                <w:szCs w:val="24"/>
              </w:rPr>
            </w:pPr>
            <w:r>
              <w:rPr>
                <w:rFonts w:hint="eastAsia"/>
                <w:szCs w:val="24"/>
              </w:rPr>
              <w:t>采购人联系方式详见第一章“磋商邀请”</w:t>
            </w:r>
          </w:p>
          <w:p w14:paraId="26041C60">
            <w:pPr>
              <w:pStyle w:val="11"/>
              <w:wordWrap w:val="0"/>
              <w:spacing w:line="360" w:lineRule="auto"/>
              <w:rPr>
                <w:szCs w:val="24"/>
                <w:highlight w:val="yellow"/>
              </w:rPr>
            </w:pPr>
            <w:r>
              <w:rPr>
                <w:rFonts w:hint="eastAsia"/>
                <w:szCs w:val="24"/>
              </w:rPr>
              <w:t>竞争性磋商文件联系方式详见第一章“磋商邀请”</w:t>
            </w:r>
          </w:p>
          <w:p w14:paraId="31025B32">
            <w:pPr>
              <w:pStyle w:val="11"/>
              <w:wordWrap w:val="0"/>
              <w:spacing w:line="360" w:lineRule="auto"/>
              <w:rPr>
                <w:szCs w:val="24"/>
              </w:rPr>
            </w:pPr>
            <w:r>
              <w:rPr>
                <w:rFonts w:hint="eastAsia"/>
                <w:szCs w:val="24"/>
              </w:rPr>
              <w:t>开评审及成交后事项联系方式：</w:t>
            </w:r>
            <w:r>
              <w:rPr>
                <w:rFonts w:hint="eastAsia"/>
                <w:szCs w:val="24"/>
                <w:lang w:val="en-US" w:eastAsia="zh-CN"/>
              </w:rPr>
              <w:t>0722-3563205</w:t>
            </w:r>
            <w:r>
              <w:rPr>
                <w:rFonts w:hint="eastAsia"/>
                <w:szCs w:val="24"/>
              </w:rPr>
              <w:t>。</w:t>
            </w:r>
          </w:p>
        </w:tc>
      </w:tr>
      <w:tr w14:paraId="70BE8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59" w:type="dxa"/>
            <w:tcBorders>
              <w:top w:val="single" w:color="auto" w:sz="4" w:space="0"/>
              <w:bottom w:val="single" w:color="auto" w:sz="4" w:space="0"/>
              <w:right w:val="single" w:color="auto" w:sz="4" w:space="0"/>
            </w:tcBorders>
            <w:vAlign w:val="center"/>
          </w:tcPr>
          <w:p w14:paraId="79977C9D">
            <w:pPr>
              <w:tabs>
                <w:tab w:val="left" w:pos="242"/>
              </w:tabs>
              <w:wordWrap w:val="0"/>
              <w:spacing w:line="360" w:lineRule="auto"/>
              <w:ind w:right="57"/>
              <w:jc w:val="center"/>
              <w:rPr>
                <w:rFonts w:hint="default"/>
                <w:szCs w:val="24"/>
              </w:rPr>
            </w:pPr>
            <w:r>
              <w:rPr>
                <w:rFonts w:hint="default"/>
                <w:szCs w:val="24"/>
              </w:rPr>
              <w:t>18</w:t>
            </w:r>
          </w:p>
        </w:tc>
        <w:tc>
          <w:tcPr>
            <w:tcW w:w="1701" w:type="dxa"/>
            <w:tcBorders>
              <w:top w:val="single" w:color="auto" w:sz="4" w:space="0"/>
              <w:left w:val="single" w:color="auto" w:sz="4" w:space="0"/>
              <w:bottom w:val="single" w:color="auto" w:sz="4" w:space="0"/>
              <w:right w:val="single" w:color="auto" w:sz="4" w:space="0"/>
            </w:tcBorders>
            <w:vAlign w:val="center"/>
          </w:tcPr>
          <w:p w14:paraId="2BA309BA">
            <w:pPr>
              <w:wordWrap w:val="0"/>
              <w:spacing w:line="360" w:lineRule="auto"/>
              <w:jc w:val="center"/>
              <w:rPr>
                <w:szCs w:val="24"/>
              </w:rPr>
            </w:pPr>
            <w:r>
              <w:rPr>
                <w:rFonts w:hint="eastAsia"/>
                <w:szCs w:val="24"/>
              </w:rPr>
              <w:t>质疑联系方式</w:t>
            </w:r>
          </w:p>
        </w:tc>
        <w:tc>
          <w:tcPr>
            <w:tcW w:w="7080" w:type="dxa"/>
            <w:tcBorders>
              <w:top w:val="single" w:color="auto" w:sz="4" w:space="0"/>
              <w:left w:val="single" w:color="auto" w:sz="4" w:space="0"/>
              <w:bottom w:val="single" w:color="auto" w:sz="4" w:space="0"/>
            </w:tcBorders>
            <w:vAlign w:val="center"/>
          </w:tcPr>
          <w:p w14:paraId="76394E0C">
            <w:pPr>
              <w:pStyle w:val="11"/>
              <w:wordWrap w:val="0"/>
              <w:spacing w:line="360" w:lineRule="auto"/>
              <w:rPr>
                <w:rFonts w:hint="default" w:eastAsia="宋体"/>
                <w:szCs w:val="24"/>
                <w:lang w:val="en-US" w:eastAsia="zh-CN"/>
              </w:rPr>
            </w:pPr>
            <w:r>
              <w:rPr>
                <w:rFonts w:hint="eastAsia"/>
                <w:szCs w:val="24"/>
              </w:rPr>
              <w:t>联系人：</w:t>
            </w:r>
            <w:r>
              <w:rPr>
                <w:rFonts w:hint="eastAsia"/>
                <w:szCs w:val="24"/>
                <w:lang w:eastAsia="zh-CN"/>
              </w:rPr>
              <w:t>钦盼、万栋</w:t>
            </w:r>
            <w:r>
              <w:rPr>
                <w:rFonts w:hint="eastAsia"/>
                <w:szCs w:val="24"/>
              </w:rPr>
              <w:t xml:space="preserve">   电话：</w:t>
            </w:r>
            <w:r>
              <w:rPr>
                <w:rFonts w:hint="eastAsia"/>
                <w:szCs w:val="24"/>
                <w:lang w:val="en-US" w:eastAsia="zh-CN"/>
              </w:rPr>
              <w:t>0722-3563205</w:t>
            </w:r>
          </w:p>
          <w:p w14:paraId="1D3C04B7">
            <w:pPr>
              <w:tabs>
                <w:tab w:val="left" w:pos="0"/>
              </w:tabs>
              <w:wordWrap w:val="0"/>
              <w:spacing w:line="360" w:lineRule="auto"/>
              <w:rPr>
                <w:szCs w:val="24"/>
              </w:rPr>
            </w:pPr>
            <w:r>
              <w:rPr>
                <w:rFonts w:hint="eastAsia" w:ascii="宋体" w:hAnsi="宋体" w:eastAsia="宋体" w:cs="Times New Roman"/>
                <w:sz w:val="24"/>
                <w:szCs w:val="24"/>
                <w:lang w:val="en-US" w:eastAsia="zh-CN" w:bidi="ar-SA"/>
              </w:rPr>
              <w:t>地址：随县新民主路（随县政府大楼南侧）</w:t>
            </w:r>
          </w:p>
        </w:tc>
      </w:tr>
      <w:tr w14:paraId="2A280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740" w:type="dxa"/>
            <w:gridSpan w:val="3"/>
            <w:tcBorders>
              <w:top w:val="single" w:color="auto" w:sz="4" w:space="0"/>
              <w:bottom w:val="single" w:color="auto" w:sz="4" w:space="0"/>
            </w:tcBorders>
            <w:vAlign w:val="center"/>
          </w:tcPr>
          <w:p w14:paraId="318611DA">
            <w:pPr>
              <w:pStyle w:val="11"/>
              <w:wordWrap w:val="0"/>
              <w:spacing w:line="360" w:lineRule="auto"/>
              <w:ind w:firstLine="480" w:firstLineChars="200"/>
              <w:rPr>
                <w:szCs w:val="24"/>
              </w:rPr>
            </w:pPr>
            <w:r>
              <w:rPr>
                <w:szCs w:val="24"/>
              </w:rPr>
              <w:t>1</w:t>
            </w:r>
            <w:r>
              <w:rPr>
                <w:rFonts w:hint="eastAsia"/>
                <w:szCs w:val="24"/>
              </w:rPr>
              <w:t>、本竞争性磋商文件所称的“以上”、“以下”、“内”、“以内”，包括本数；所称的“不足”，不包括本数。</w:t>
            </w:r>
          </w:p>
          <w:p w14:paraId="236448E7">
            <w:pPr>
              <w:pStyle w:val="11"/>
              <w:wordWrap w:val="0"/>
              <w:spacing w:line="360" w:lineRule="auto"/>
              <w:ind w:firstLine="480" w:firstLineChars="200"/>
              <w:rPr>
                <w:szCs w:val="24"/>
              </w:rPr>
            </w:pPr>
            <w:r>
              <w:rPr>
                <w:szCs w:val="24"/>
              </w:rPr>
              <w:t>2</w:t>
            </w:r>
            <w:r>
              <w:rPr>
                <w:rFonts w:hint="eastAsia"/>
                <w:szCs w:val="24"/>
              </w:rPr>
              <w:t>、</w:t>
            </w:r>
            <w:r>
              <w:rPr>
                <w:szCs w:val="24"/>
              </w:rPr>
              <w:t>若</w:t>
            </w:r>
            <w:r>
              <w:rPr>
                <w:rFonts w:hint="eastAsia"/>
                <w:szCs w:val="24"/>
              </w:rPr>
              <w:t>竞争性磋商</w:t>
            </w:r>
            <w:r>
              <w:rPr>
                <w:szCs w:val="24"/>
              </w:rPr>
              <w:t>文件前后不一致的，</w:t>
            </w:r>
            <w:r>
              <w:rPr>
                <w:rFonts w:hint="eastAsia"/>
                <w:szCs w:val="24"/>
              </w:rPr>
              <w:t>以“</w:t>
            </w:r>
            <w:r>
              <w:rPr>
                <w:szCs w:val="24"/>
              </w:rPr>
              <w:t>第一章</w:t>
            </w:r>
            <w:r>
              <w:rPr>
                <w:rFonts w:hint="eastAsia"/>
                <w:szCs w:val="24"/>
              </w:rPr>
              <w:t xml:space="preserve"> 磋商</w:t>
            </w:r>
            <w:r>
              <w:rPr>
                <w:szCs w:val="24"/>
              </w:rPr>
              <w:t>邀请</w:t>
            </w:r>
            <w:r>
              <w:rPr>
                <w:rFonts w:hint="eastAsia"/>
                <w:szCs w:val="24"/>
              </w:rPr>
              <w:t>”</w:t>
            </w:r>
            <w:r>
              <w:rPr>
                <w:szCs w:val="24"/>
              </w:rPr>
              <w:t>和此表的内容为准</w:t>
            </w:r>
            <w:r>
              <w:rPr>
                <w:rFonts w:hint="eastAsia"/>
                <w:szCs w:val="24"/>
              </w:rPr>
              <w:t>。</w:t>
            </w:r>
          </w:p>
        </w:tc>
      </w:tr>
    </w:tbl>
    <w:p w14:paraId="2707D0C2">
      <w:pPr>
        <w:pStyle w:val="11"/>
        <w:wordWrap w:val="0"/>
        <w:spacing w:line="360" w:lineRule="auto"/>
      </w:pPr>
      <w:r>
        <w:br w:type="page"/>
      </w:r>
    </w:p>
    <w:bookmarkEnd w:id="80"/>
    <w:bookmarkEnd w:id="81"/>
    <w:bookmarkEnd w:id="82"/>
    <w:bookmarkEnd w:id="83"/>
    <w:bookmarkEnd w:id="84"/>
    <w:bookmarkEnd w:id="85"/>
    <w:bookmarkEnd w:id="86"/>
    <w:p w14:paraId="7A32BCB4">
      <w:pPr>
        <w:pStyle w:val="4"/>
        <w:numPr>
          <w:ilvl w:val="0"/>
          <w:numId w:val="8"/>
        </w:numPr>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87" w:name="_Toc117244465"/>
      <w:bookmarkStart w:id="88" w:name="_Toc122527526"/>
      <w:bookmarkStart w:id="89" w:name="_Toc117244350"/>
      <w:r>
        <w:rPr>
          <w:rFonts w:hint="eastAsia" w:ascii="宋体" w:hAnsi="宋体" w:eastAsia="宋体" w:cs="Times New Roman"/>
          <w:bCs w:val="0"/>
          <w:sz w:val="28"/>
          <w:szCs w:val="28"/>
          <w:lang w:val="zh-CN"/>
        </w:rPr>
        <w:t>总  则</w:t>
      </w:r>
      <w:bookmarkEnd w:id="87"/>
      <w:bookmarkEnd w:id="88"/>
      <w:bookmarkEnd w:id="89"/>
    </w:p>
    <w:p w14:paraId="0ACF8AD1">
      <w:pPr>
        <w:pStyle w:val="44"/>
        <w:numPr>
          <w:ilvl w:val="0"/>
          <w:numId w:val="9"/>
        </w:numPr>
        <w:spacing w:line="360" w:lineRule="auto"/>
        <w:ind w:left="284" w:hanging="284" w:firstLineChars="0"/>
        <w:rPr>
          <w:b/>
          <w:szCs w:val="24"/>
          <w:lang w:val="zh-CN"/>
        </w:rPr>
      </w:pPr>
      <w:bookmarkStart w:id="90" w:name="_Toc102115979"/>
      <w:bookmarkStart w:id="91" w:name="_Toc102056177"/>
      <w:bookmarkStart w:id="92" w:name="_Toc102114877"/>
      <w:bookmarkStart w:id="93" w:name="_Toc102116109"/>
      <w:bookmarkStart w:id="94" w:name="_Toc102119810"/>
      <w:bookmarkStart w:id="95" w:name="_Toc102057677"/>
      <w:r>
        <w:rPr>
          <w:rFonts w:hint="eastAsia"/>
          <w:b/>
          <w:szCs w:val="24"/>
          <w:lang w:val="zh-CN"/>
        </w:rPr>
        <w:t>适用</w:t>
      </w:r>
      <w:bookmarkEnd w:id="90"/>
      <w:bookmarkEnd w:id="91"/>
      <w:bookmarkEnd w:id="92"/>
      <w:bookmarkEnd w:id="93"/>
      <w:bookmarkEnd w:id="94"/>
      <w:bookmarkEnd w:id="95"/>
      <w:r>
        <w:rPr>
          <w:rFonts w:hint="eastAsia"/>
          <w:b/>
          <w:szCs w:val="24"/>
          <w:lang w:val="zh-CN"/>
        </w:rPr>
        <w:t>范围</w:t>
      </w:r>
    </w:p>
    <w:p w14:paraId="34951B6D">
      <w:pPr>
        <w:wordWrap w:val="0"/>
        <w:adjustRightInd w:val="0"/>
        <w:snapToGrid w:val="0"/>
        <w:spacing w:line="360" w:lineRule="auto"/>
        <w:ind w:firstLine="480" w:firstLineChars="200"/>
        <w:rPr>
          <w:lang w:val="zh-CN"/>
        </w:rPr>
      </w:pPr>
      <w:r>
        <w:rPr>
          <w:rFonts w:hint="eastAsia"/>
          <w:szCs w:val="24"/>
          <w:lang w:val="zh-CN"/>
        </w:rPr>
        <w:t>本竞争性磋商文件仅适用于“第一章 磋商邀请”中所述的采购项目。</w:t>
      </w:r>
    </w:p>
    <w:p w14:paraId="0D572B00">
      <w:pPr>
        <w:pStyle w:val="44"/>
        <w:numPr>
          <w:ilvl w:val="0"/>
          <w:numId w:val="9"/>
        </w:numPr>
        <w:spacing w:line="360" w:lineRule="auto"/>
        <w:ind w:left="284" w:hanging="284" w:firstLineChars="0"/>
        <w:rPr>
          <w:b/>
          <w:szCs w:val="24"/>
          <w:lang w:val="zh-CN"/>
        </w:rPr>
      </w:pPr>
      <w:bookmarkStart w:id="96" w:name="_Toc102119814"/>
      <w:bookmarkStart w:id="97" w:name="_Toc102116113"/>
      <w:bookmarkStart w:id="98" w:name="_Toc102114881"/>
      <w:bookmarkStart w:id="99" w:name="_Toc102056180"/>
      <w:bookmarkStart w:id="100" w:name="_Toc102115983"/>
      <w:bookmarkStart w:id="101" w:name="_Toc102057680"/>
      <w:bookmarkStart w:id="102" w:name="_Toc102114879"/>
      <w:bookmarkStart w:id="103" w:name="_Toc102056179"/>
      <w:bookmarkStart w:id="104" w:name="_Toc102115981"/>
      <w:bookmarkStart w:id="105" w:name="_Toc102119812"/>
      <w:bookmarkStart w:id="106" w:name="_Toc102116111"/>
      <w:bookmarkStart w:id="107" w:name="_Toc102057679"/>
      <w:r>
        <w:rPr>
          <w:rFonts w:hint="eastAsia"/>
          <w:b/>
          <w:szCs w:val="24"/>
          <w:lang w:val="zh-CN"/>
        </w:rPr>
        <w:t>基本定义</w:t>
      </w:r>
    </w:p>
    <w:p w14:paraId="68FB469E">
      <w:pPr>
        <w:numPr>
          <w:ilvl w:val="0"/>
          <w:numId w:val="10"/>
        </w:numPr>
        <w:wordWrap w:val="0"/>
        <w:adjustRightInd w:val="0"/>
        <w:snapToGrid w:val="0"/>
        <w:spacing w:line="360" w:lineRule="auto"/>
        <w:ind w:left="476" w:hanging="476"/>
        <w:rPr>
          <w:szCs w:val="24"/>
          <w:lang w:val="zh-CN"/>
        </w:rPr>
      </w:pPr>
      <w:r>
        <w:rPr>
          <w:rFonts w:hint="eastAsia"/>
          <w:szCs w:val="24"/>
          <w:lang w:val="zh-CN"/>
        </w:rPr>
        <w:t>“电子采购平台”是指：随县政府电子采购平台</w:t>
      </w:r>
      <w:r>
        <w:rPr>
          <w:rFonts w:hint="eastAsia" w:ascii="宋体" w:hAnsi="宋体" w:eastAsia="宋体" w:cs="Times New Roman"/>
          <w:szCs w:val="24"/>
        </w:rPr>
        <w:t>(https://dzcg. hubeigp. gov. cn/lassets/ special/ 100/hbenterpoint. html)</w:t>
      </w:r>
      <w:r>
        <w:rPr>
          <w:rFonts w:hint="eastAsia"/>
          <w:szCs w:val="24"/>
          <w:lang w:val="zh-CN"/>
        </w:rPr>
        <w:t>。</w:t>
      </w:r>
    </w:p>
    <w:p w14:paraId="62A032F4">
      <w:pPr>
        <w:numPr>
          <w:ilvl w:val="0"/>
          <w:numId w:val="10"/>
        </w:numPr>
        <w:wordWrap w:val="0"/>
        <w:adjustRightInd w:val="0"/>
        <w:snapToGrid w:val="0"/>
        <w:spacing w:line="360" w:lineRule="auto"/>
        <w:ind w:left="476" w:hanging="476"/>
        <w:rPr>
          <w:szCs w:val="24"/>
          <w:lang w:val="zh-CN"/>
        </w:rPr>
      </w:pPr>
      <w:r>
        <w:rPr>
          <w:rFonts w:hint="eastAsia"/>
          <w:szCs w:val="24"/>
          <w:lang w:val="zh-CN"/>
        </w:rPr>
        <w:t>“采购人”：详见“第一章 磋商邀请”。</w:t>
      </w:r>
    </w:p>
    <w:p w14:paraId="0A8E5E05">
      <w:pPr>
        <w:numPr>
          <w:ilvl w:val="0"/>
          <w:numId w:val="10"/>
        </w:numPr>
        <w:wordWrap w:val="0"/>
        <w:adjustRightInd w:val="0"/>
        <w:snapToGrid w:val="0"/>
        <w:spacing w:line="360" w:lineRule="auto"/>
        <w:ind w:left="476" w:hanging="476"/>
        <w:rPr>
          <w:szCs w:val="24"/>
          <w:lang w:val="zh-CN"/>
        </w:rPr>
      </w:pPr>
      <w:r>
        <w:rPr>
          <w:rFonts w:hint="eastAsia"/>
          <w:szCs w:val="24"/>
          <w:lang w:val="zh-CN"/>
        </w:rPr>
        <w:t>“集中采购机构”是指：随县公共资源交易中心（随县政府采购中心）。</w:t>
      </w:r>
    </w:p>
    <w:p w14:paraId="248BF056">
      <w:pPr>
        <w:numPr>
          <w:ilvl w:val="0"/>
          <w:numId w:val="10"/>
        </w:numPr>
        <w:wordWrap w:val="0"/>
        <w:adjustRightInd w:val="0"/>
        <w:snapToGrid w:val="0"/>
        <w:spacing w:line="360" w:lineRule="auto"/>
        <w:ind w:left="476" w:hanging="476"/>
        <w:rPr>
          <w:lang w:val="zh-CN"/>
        </w:rPr>
      </w:pPr>
      <w:r>
        <w:rPr>
          <w:rFonts w:hint="eastAsia"/>
          <w:szCs w:val="24"/>
          <w:lang w:val="zh-CN"/>
        </w:rPr>
        <w:t>“供应商”是指：响应竞争性磋商、参加磋商竞争的法人、其他组织或者自然人，应在电子采购平台注册办理CA数字证书及电子签章。</w:t>
      </w:r>
    </w:p>
    <w:p w14:paraId="4178EBE2">
      <w:pPr>
        <w:numPr>
          <w:ilvl w:val="0"/>
          <w:numId w:val="10"/>
        </w:numPr>
        <w:wordWrap w:val="0"/>
        <w:adjustRightInd w:val="0"/>
        <w:snapToGrid w:val="0"/>
        <w:spacing w:line="360" w:lineRule="auto"/>
        <w:ind w:left="476" w:hanging="476"/>
        <w:rPr>
          <w:szCs w:val="24"/>
          <w:lang w:val="zh-CN"/>
        </w:rPr>
      </w:pPr>
      <w:r>
        <w:rPr>
          <w:rFonts w:hint="eastAsia"/>
          <w:szCs w:val="24"/>
          <w:lang w:val="zh-CN"/>
        </w:rPr>
        <w:t>“成交供应商”是指：经磋商小组评审，授予合同的供应商。</w:t>
      </w:r>
    </w:p>
    <w:p w14:paraId="5FEFD7A0">
      <w:pPr>
        <w:numPr>
          <w:ilvl w:val="0"/>
          <w:numId w:val="10"/>
        </w:numPr>
        <w:wordWrap w:val="0"/>
        <w:adjustRightInd w:val="0"/>
        <w:snapToGrid w:val="0"/>
        <w:spacing w:line="360" w:lineRule="auto"/>
        <w:ind w:left="476" w:hanging="476"/>
        <w:rPr>
          <w:szCs w:val="24"/>
          <w:lang w:val="zh-CN"/>
        </w:rPr>
      </w:pPr>
      <w:r>
        <w:rPr>
          <w:rFonts w:hint="eastAsia"/>
          <w:szCs w:val="24"/>
          <w:lang w:val="zh-CN"/>
        </w:rPr>
        <w:t>“进口产品”是指：符合《政府采购进口产品管理办法》（财库〔2007〕119号）和《关于政府采购进口产品管理有关问题的通知》（财办库〔2008〕248号）文件规定的产品。竞争性磋商文件未规定采购进口产品的，拒绝进口产品参加磋商。竞争性磋商文件规定可采购进口产品的，不得限制满足竞争性磋商文件要求的国内产品参与磋商竞争。</w:t>
      </w:r>
    </w:p>
    <w:p w14:paraId="7EDE0466">
      <w:pPr>
        <w:pStyle w:val="44"/>
        <w:numPr>
          <w:ilvl w:val="0"/>
          <w:numId w:val="9"/>
        </w:numPr>
        <w:spacing w:line="360" w:lineRule="auto"/>
        <w:ind w:left="284" w:hanging="284" w:firstLineChars="0"/>
        <w:rPr>
          <w:b/>
          <w:szCs w:val="24"/>
          <w:lang w:val="zh-CN"/>
        </w:rPr>
      </w:pPr>
      <w:r>
        <w:rPr>
          <w:rFonts w:hint="eastAsia"/>
          <w:b/>
          <w:szCs w:val="24"/>
          <w:lang w:val="zh-CN"/>
        </w:rPr>
        <w:t>监管部门</w:t>
      </w:r>
    </w:p>
    <w:p w14:paraId="685AB53F">
      <w:pPr>
        <w:numPr>
          <w:ilvl w:val="0"/>
          <w:numId w:val="11"/>
        </w:numPr>
        <w:wordWrap w:val="0"/>
        <w:adjustRightInd w:val="0"/>
        <w:snapToGrid w:val="0"/>
        <w:spacing w:line="360" w:lineRule="auto"/>
        <w:ind w:left="476" w:hanging="476"/>
        <w:rPr>
          <w:szCs w:val="24"/>
          <w:lang w:val="zh-CN"/>
        </w:rPr>
      </w:pPr>
      <w:r>
        <w:rPr>
          <w:rFonts w:hint="eastAsia"/>
          <w:szCs w:val="24"/>
          <w:lang w:val="zh-CN"/>
        </w:rPr>
        <w:t>监管部门：详见</w:t>
      </w:r>
      <w:r>
        <w:rPr>
          <w:rFonts w:hint="eastAsia"/>
          <w:b/>
          <w:szCs w:val="24"/>
          <w:lang w:val="zh-CN"/>
        </w:rPr>
        <w:t>“磋商须知前附表”</w:t>
      </w:r>
      <w:r>
        <w:rPr>
          <w:rFonts w:hint="eastAsia"/>
          <w:szCs w:val="24"/>
          <w:lang w:val="zh-CN"/>
        </w:rPr>
        <w:t>。</w:t>
      </w:r>
    </w:p>
    <w:p w14:paraId="40283FFA">
      <w:pPr>
        <w:numPr>
          <w:ilvl w:val="0"/>
          <w:numId w:val="11"/>
        </w:numPr>
        <w:wordWrap w:val="0"/>
        <w:adjustRightInd w:val="0"/>
        <w:snapToGrid w:val="0"/>
        <w:spacing w:line="360" w:lineRule="auto"/>
        <w:ind w:left="476" w:hanging="476"/>
        <w:rPr>
          <w:szCs w:val="24"/>
          <w:lang w:val="zh-CN"/>
        </w:rPr>
      </w:pPr>
      <w:r>
        <w:rPr>
          <w:rFonts w:hint="eastAsia"/>
          <w:szCs w:val="24"/>
          <w:lang w:val="zh-CN"/>
        </w:rPr>
        <w:t>跨区域联合采购项目，采购人所属预算级次相同的，集中采购机构所在地的财政部门为政府采购监管部门；采购人所属预算级次不同的，由预算级次最高的财政部门为政府采购监管部门。</w:t>
      </w:r>
    </w:p>
    <w:p w14:paraId="7128E8B9">
      <w:pPr>
        <w:pStyle w:val="44"/>
        <w:numPr>
          <w:ilvl w:val="0"/>
          <w:numId w:val="9"/>
        </w:numPr>
        <w:spacing w:line="360" w:lineRule="auto"/>
        <w:ind w:left="284" w:hanging="284" w:firstLineChars="0"/>
        <w:rPr>
          <w:b/>
          <w:szCs w:val="24"/>
          <w:lang w:val="zh-CN"/>
        </w:rPr>
      </w:pPr>
      <w:r>
        <w:rPr>
          <w:rFonts w:hint="eastAsia"/>
          <w:b/>
          <w:szCs w:val="24"/>
          <w:lang w:val="zh-CN"/>
        </w:rPr>
        <w:t>项目属性</w:t>
      </w:r>
      <w:bookmarkEnd w:id="96"/>
      <w:bookmarkEnd w:id="97"/>
      <w:bookmarkEnd w:id="98"/>
      <w:bookmarkEnd w:id="99"/>
      <w:bookmarkEnd w:id="100"/>
      <w:bookmarkEnd w:id="101"/>
    </w:p>
    <w:p w14:paraId="0A2E4E35">
      <w:pPr>
        <w:numPr>
          <w:ilvl w:val="0"/>
          <w:numId w:val="12"/>
        </w:numPr>
        <w:wordWrap w:val="0"/>
        <w:adjustRightInd w:val="0"/>
        <w:snapToGrid w:val="0"/>
        <w:spacing w:line="360" w:lineRule="auto"/>
        <w:ind w:left="476" w:hanging="476"/>
        <w:rPr>
          <w:szCs w:val="24"/>
          <w:lang w:val="zh-CN"/>
        </w:rPr>
      </w:pPr>
      <w:r>
        <w:rPr>
          <w:rFonts w:hint="eastAsia"/>
          <w:szCs w:val="24"/>
          <w:lang w:val="zh-CN"/>
        </w:rPr>
        <w:t>项目属性：详见</w:t>
      </w:r>
      <w:r>
        <w:rPr>
          <w:rFonts w:hint="eastAsia"/>
          <w:b/>
          <w:szCs w:val="24"/>
          <w:lang w:val="zh-CN"/>
        </w:rPr>
        <w:t>“磋商须知前附表”</w:t>
      </w:r>
      <w:r>
        <w:rPr>
          <w:rFonts w:hint="eastAsia"/>
          <w:szCs w:val="24"/>
          <w:lang w:val="zh-CN"/>
        </w:rPr>
        <w:t>。</w:t>
      </w:r>
    </w:p>
    <w:p w14:paraId="0ED3905E">
      <w:pPr>
        <w:numPr>
          <w:ilvl w:val="0"/>
          <w:numId w:val="12"/>
        </w:numPr>
        <w:wordWrap w:val="0"/>
        <w:adjustRightInd w:val="0"/>
        <w:snapToGrid w:val="0"/>
        <w:spacing w:line="360" w:lineRule="auto"/>
        <w:ind w:left="476" w:hanging="476"/>
        <w:rPr>
          <w:lang w:val="zh-CN"/>
        </w:rPr>
      </w:pPr>
      <w:r>
        <w:rPr>
          <w:szCs w:val="24"/>
          <w:lang w:val="zh-CN"/>
        </w:rPr>
        <w:t>采购人应当按照财政部制定的《政府采购品目分类目录》确定采购项目属性</w:t>
      </w:r>
      <w:r>
        <w:rPr>
          <w:rFonts w:hint="eastAsia"/>
          <w:szCs w:val="24"/>
          <w:lang w:val="zh-CN"/>
        </w:rPr>
        <w:t>。</w:t>
      </w:r>
      <w:r>
        <w:rPr>
          <w:szCs w:val="24"/>
          <w:lang w:val="zh-CN"/>
        </w:rPr>
        <w:t>按照《政府采购品目分类目录》无法确定的，按照有利于采购项目实施的原则确定。</w:t>
      </w:r>
    </w:p>
    <w:bookmarkEnd w:id="102"/>
    <w:bookmarkEnd w:id="103"/>
    <w:bookmarkEnd w:id="104"/>
    <w:bookmarkEnd w:id="105"/>
    <w:bookmarkEnd w:id="106"/>
    <w:bookmarkEnd w:id="107"/>
    <w:p w14:paraId="30D31551">
      <w:pPr>
        <w:pStyle w:val="44"/>
        <w:numPr>
          <w:ilvl w:val="0"/>
          <w:numId w:val="9"/>
        </w:numPr>
        <w:spacing w:line="360" w:lineRule="auto"/>
        <w:ind w:left="284" w:hanging="284" w:firstLineChars="0"/>
        <w:rPr>
          <w:b/>
          <w:szCs w:val="24"/>
          <w:lang w:val="zh-CN"/>
        </w:rPr>
      </w:pPr>
      <w:bookmarkStart w:id="108" w:name="_Toc102056183"/>
      <w:bookmarkStart w:id="109" w:name="_Toc102116116"/>
      <w:bookmarkStart w:id="110" w:name="_Toc102115986"/>
      <w:bookmarkStart w:id="111" w:name="_Toc102119817"/>
      <w:bookmarkStart w:id="112" w:name="_Toc102057683"/>
      <w:bookmarkStart w:id="113" w:name="_Toc102114884"/>
      <w:r>
        <w:rPr>
          <w:rFonts w:hint="eastAsia"/>
          <w:b/>
          <w:szCs w:val="24"/>
          <w:lang w:val="zh-CN"/>
        </w:rPr>
        <w:t>供应商资格要求</w:t>
      </w:r>
    </w:p>
    <w:p w14:paraId="748A9818">
      <w:pPr>
        <w:numPr>
          <w:ilvl w:val="0"/>
          <w:numId w:val="13"/>
        </w:numPr>
        <w:wordWrap w:val="0"/>
        <w:adjustRightInd w:val="0"/>
        <w:snapToGrid w:val="0"/>
        <w:spacing w:line="360" w:lineRule="auto"/>
        <w:ind w:left="476" w:hanging="476"/>
        <w:rPr>
          <w:szCs w:val="24"/>
          <w:lang w:val="zh-CN"/>
        </w:rPr>
      </w:pPr>
      <w:r>
        <w:rPr>
          <w:rFonts w:hint="eastAsia"/>
          <w:szCs w:val="24"/>
          <w:lang w:val="zh-CN"/>
        </w:rPr>
        <w:t>应当符合“第一章 磋商邀请”中供应商资格要求的条件。</w:t>
      </w:r>
    </w:p>
    <w:p w14:paraId="463E09F1">
      <w:pPr>
        <w:numPr>
          <w:ilvl w:val="0"/>
          <w:numId w:val="13"/>
        </w:numPr>
        <w:wordWrap w:val="0"/>
        <w:adjustRightInd w:val="0"/>
        <w:snapToGrid w:val="0"/>
        <w:spacing w:line="360" w:lineRule="auto"/>
        <w:ind w:left="476" w:hanging="476"/>
        <w:rPr>
          <w:szCs w:val="24"/>
          <w:lang w:val="zh-CN"/>
        </w:rPr>
      </w:pPr>
      <w:bookmarkStart w:id="114" w:name="_Toc102116000"/>
      <w:bookmarkStart w:id="115" w:name="_Toc102116130"/>
      <w:bookmarkStart w:id="116" w:name="_Toc102119831"/>
      <w:bookmarkStart w:id="117" w:name="_Toc102114898"/>
      <w:bookmarkStart w:id="118" w:name="_Toc102056196"/>
      <w:bookmarkStart w:id="119" w:name="_Toc102057696"/>
      <w:r>
        <w:rPr>
          <w:rFonts w:hint="eastAsia"/>
          <w:szCs w:val="24"/>
          <w:lang w:val="zh-CN"/>
        </w:rPr>
        <w:t>联合体</w:t>
      </w:r>
      <w:bookmarkEnd w:id="114"/>
      <w:bookmarkEnd w:id="115"/>
      <w:bookmarkEnd w:id="116"/>
      <w:bookmarkEnd w:id="117"/>
      <w:bookmarkEnd w:id="118"/>
      <w:bookmarkEnd w:id="119"/>
    </w:p>
    <w:p w14:paraId="1022868B">
      <w:pPr>
        <w:pStyle w:val="11"/>
        <w:tabs>
          <w:tab w:val="left" w:pos="1701"/>
        </w:tabs>
        <w:wordWrap w:val="0"/>
        <w:adjustRightInd w:val="0"/>
        <w:snapToGrid w:val="0"/>
        <w:spacing w:line="360" w:lineRule="auto"/>
        <w:ind w:firstLine="480" w:firstLineChars="200"/>
        <w:rPr>
          <w:szCs w:val="24"/>
          <w:lang w:val="zh-CN"/>
        </w:rPr>
      </w:pPr>
      <w:r>
        <w:rPr>
          <w:rFonts w:hint="eastAsia"/>
          <w:szCs w:val="24"/>
          <w:lang w:val="zh-CN"/>
        </w:rPr>
        <w:t>（1）两个以上自然人、</w:t>
      </w:r>
      <w:r>
        <w:rPr>
          <w:rFonts w:hint="eastAsia"/>
          <w:lang w:val="zh-CN"/>
        </w:rPr>
        <w:t>法人</w:t>
      </w:r>
      <w:r>
        <w:rPr>
          <w:rFonts w:hint="eastAsia"/>
          <w:szCs w:val="24"/>
          <w:lang w:val="zh-CN"/>
        </w:rPr>
        <w:t>或者其它组织可以组成联合体，以一个供应商身份共同参加磋商。接受或要求联合体的，详见第一章“磋商邀请”。</w:t>
      </w:r>
    </w:p>
    <w:p w14:paraId="5C7821D5">
      <w:pPr>
        <w:pStyle w:val="11"/>
        <w:tabs>
          <w:tab w:val="left" w:pos="1701"/>
        </w:tabs>
        <w:wordWrap w:val="0"/>
        <w:adjustRightInd w:val="0"/>
        <w:snapToGrid w:val="0"/>
        <w:spacing w:line="360" w:lineRule="auto"/>
        <w:ind w:firstLine="480" w:firstLineChars="200"/>
        <w:rPr>
          <w:rFonts w:cs="宋体"/>
          <w:szCs w:val="24"/>
          <w:lang w:val="zh-CN"/>
        </w:rPr>
      </w:pPr>
      <w:r>
        <w:rPr>
          <w:rFonts w:hint="eastAsia" w:cs="宋体"/>
          <w:szCs w:val="24"/>
          <w:lang w:val="zh-CN"/>
        </w:rPr>
        <w:t>（2）以联合体形式进行</w:t>
      </w:r>
      <w:r>
        <w:rPr>
          <w:rFonts w:hint="eastAsia" w:cs="宋体"/>
          <w:bCs/>
          <w:szCs w:val="24"/>
          <w:lang w:val="zh-CN"/>
        </w:rPr>
        <w:t>磋商</w:t>
      </w:r>
      <w:r>
        <w:rPr>
          <w:rFonts w:hint="eastAsia" w:cs="宋体"/>
          <w:szCs w:val="24"/>
          <w:lang w:val="zh-CN"/>
        </w:rPr>
        <w:t>的，应由组成联合体的任意一方办理参与项目的相关手续，联合体各方之间应签订联合协议书。联合体各方均应当符合《政府采购法》第二十二条第一款规定的条件。</w:t>
      </w:r>
    </w:p>
    <w:p w14:paraId="175F184C">
      <w:pPr>
        <w:pStyle w:val="11"/>
        <w:tabs>
          <w:tab w:val="left" w:pos="1701"/>
        </w:tabs>
        <w:wordWrap w:val="0"/>
        <w:adjustRightInd w:val="0"/>
        <w:snapToGrid w:val="0"/>
        <w:spacing w:line="360" w:lineRule="auto"/>
        <w:ind w:firstLine="480" w:firstLineChars="200"/>
        <w:rPr>
          <w:rFonts w:cs="宋体"/>
          <w:szCs w:val="24"/>
          <w:lang w:val="zh-CN"/>
        </w:rPr>
      </w:pPr>
      <w:r>
        <w:rPr>
          <w:rFonts w:hint="eastAsia" w:cs="宋体"/>
          <w:szCs w:val="24"/>
          <w:lang w:val="zh-CN"/>
        </w:rPr>
        <w:t>（3）联合体中有同类资质的供应商按照联合体分工承担相同工作的，应当按照资质等级较低的供应商确定资质等级。</w:t>
      </w:r>
    </w:p>
    <w:p w14:paraId="1B884331">
      <w:pPr>
        <w:pStyle w:val="11"/>
        <w:tabs>
          <w:tab w:val="left" w:pos="1701"/>
        </w:tabs>
        <w:wordWrap w:val="0"/>
        <w:adjustRightInd w:val="0"/>
        <w:snapToGrid w:val="0"/>
        <w:spacing w:line="360" w:lineRule="auto"/>
        <w:ind w:firstLine="480" w:firstLineChars="200"/>
        <w:rPr>
          <w:rFonts w:cs="宋体"/>
          <w:szCs w:val="24"/>
          <w:lang w:val="zh-CN"/>
        </w:rPr>
      </w:pPr>
      <w:r>
        <w:rPr>
          <w:rFonts w:hint="eastAsia" w:cs="宋体"/>
          <w:szCs w:val="24"/>
          <w:lang w:val="zh-CN"/>
        </w:rPr>
        <w:t>（4）联合体成交的，联合体各方应当共同与采购人签订采购合同，</w:t>
      </w:r>
      <w:r>
        <w:rPr>
          <w:rFonts w:hint="eastAsia" w:cs="宋体"/>
          <w:szCs w:val="24"/>
        </w:rPr>
        <w:t>就采购合同约定的事项对采购人承担</w:t>
      </w:r>
      <w:r>
        <w:rPr>
          <w:rFonts w:hint="eastAsia" w:cs="宋体"/>
          <w:szCs w:val="24"/>
          <w:lang w:val="zh-CN"/>
        </w:rPr>
        <w:t>连带责任</w:t>
      </w:r>
      <w:r>
        <w:rPr>
          <w:rFonts w:hint="eastAsia" w:cs="宋体"/>
          <w:szCs w:val="24"/>
        </w:rPr>
        <w:t>，</w:t>
      </w:r>
      <w:r>
        <w:rPr>
          <w:rFonts w:hint="eastAsia" w:cs="宋体"/>
          <w:szCs w:val="24"/>
          <w:lang w:val="zh-CN"/>
        </w:rPr>
        <w:t>联合体主体负主要责任。</w:t>
      </w:r>
    </w:p>
    <w:p w14:paraId="3E0BB5AA">
      <w:pPr>
        <w:numPr>
          <w:ilvl w:val="0"/>
          <w:numId w:val="13"/>
        </w:numPr>
        <w:wordWrap w:val="0"/>
        <w:adjustRightInd w:val="0"/>
        <w:snapToGrid w:val="0"/>
        <w:spacing w:line="360" w:lineRule="auto"/>
        <w:ind w:left="476" w:hanging="476"/>
        <w:rPr>
          <w:lang w:val="zh-CN"/>
        </w:rPr>
      </w:pPr>
      <w:bookmarkStart w:id="120" w:name="_Toc102056197"/>
      <w:bookmarkStart w:id="121" w:name="_Toc102116131"/>
      <w:bookmarkStart w:id="122" w:name="_Toc102119832"/>
      <w:bookmarkStart w:id="123" w:name="_Toc102116001"/>
      <w:bookmarkStart w:id="124" w:name="_Toc102114899"/>
      <w:bookmarkStart w:id="125" w:name="_Toc102057697"/>
      <w:r>
        <w:rPr>
          <w:rFonts w:hint="eastAsia"/>
          <w:szCs w:val="24"/>
          <w:lang w:val="zh-CN"/>
        </w:rPr>
        <w:t>分支机构</w:t>
      </w:r>
      <w:bookmarkEnd w:id="120"/>
      <w:bookmarkEnd w:id="121"/>
      <w:bookmarkEnd w:id="122"/>
      <w:bookmarkEnd w:id="123"/>
      <w:bookmarkEnd w:id="124"/>
      <w:bookmarkEnd w:id="125"/>
      <w:r>
        <w:rPr>
          <w:rFonts w:hint="eastAsia"/>
          <w:szCs w:val="24"/>
          <w:lang w:val="zh-CN"/>
        </w:rPr>
        <w:t>：根据财政部《政府采购法实施条例》释义中关于供应商资格条件的解释，对于分支机构磋商详见</w:t>
      </w:r>
      <w:r>
        <w:rPr>
          <w:rFonts w:hint="eastAsia"/>
          <w:b/>
          <w:szCs w:val="24"/>
          <w:lang w:val="zh-CN"/>
        </w:rPr>
        <w:t>“磋商须知前附表”</w:t>
      </w:r>
      <w:r>
        <w:rPr>
          <w:rFonts w:hint="eastAsia"/>
          <w:szCs w:val="24"/>
          <w:lang w:val="zh-CN"/>
        </w:rPr>
        <w:t>的规定。</w:t>
      </w:r>
    </w:p>
    <w:p w14:paraId="6D79FA6B">
      <w:pPr>
        <w:pStyle w:val="44"/>
        <w:numPr>
          <w:ilvl w:val="0"/>
          <w:numId w:val="9"/>
        </w:numPr>
        <w:spacing w:line="440" w:lineRule="exact"/>
        <w:ind w:left="284" w:hanging="284" w:firstLineChars="0"/>
        <w:rPr>
          <w:rFonts w:cs="宋体"/>
          <w:kern w:val="2"/>
          <w:szCs w:val="24"/>
          <w:lang w:val="zh-CN"/>
        </w:rPr>
      </w:pPr>
      <w:r>
        <w:rPr>
          <w:rFonts w:hint="eastAsia"/>
          <w:b/>
          <w:szCs w:val="24"/>
          <w:lang w:val="zh-CN"/>
        </w:rPr>
        <w:t>磋商小组</w:t>
      </w:r>
    </w:p>
    <w:p w14:paraId="6BC35036">
      <w:pPr>
        <w:pStyle w:val="44"/>
        <w:numPr>
          <w:ilvl w:val="0"/>
          <w:numId w:val="14"/>
        </w:numPr>
        <w:spacing w:line="360" w:lineRule="auto"/>
        <w:ind w:left="567" w:hanging="567" w:firstLineChars="0"/>
        <w:rPr>
          <w:rFonts w:cs="宋体"/>
          <w:kern w:val="2"/>
          <w:szCs w:val="24"/>
          <w:lang w:val="zh-CN"/>
        </w:rPr>
      </w:pPr>
      <w:r>
        <w:rPr>
          <w:rFonts w:hint="eastAsia" w:cs="宋体"/>
          <w:kern w:val="2"/>
          <w:szCs w:val="24"/>
          <w:lang w:val="zh-CN"/>
        </w:rPr>
        <w:t>磋商小组由采购人代表和评审专家组成（评审专家对本单位的磋商项目只能作为采购人代表参与评标，本章</w:t>
      </w:r>
      <w:r>
        <w:rPr>
          <w:rFonts w:cs="宋体"/>
          <w:kern w:val="2"/>
          <w:szCs w:val="24"/>
          <w:lang w:val="zh-CN"/>
        </w:rPr>
        <w:t>6.3条规定的情形除外）</w:t>
      </w:r>
      <w:r>
        <w:rPr>
          <w:rFonts w:hint="eastAsia" w:cs="宋体"/>
          <w:kern w:val="2"/>
          <w:szCs w:val="24"/>
          <w:lang w:val="zh-CN"/>
        </w:rPr>
        <w:t>，成员人数应当为3人以上单数，其中评审专家人数不得少于磋商小组成员总数的</w:t>
      </w:r>
      <w:r>
        <w:t>2/3</w:t>
      </w:r>
      <w:r>
        <w:rPr>
          <w:rFonts w:hint="eastAsia" w:cs="宋体"/>
          <w:kern w:val="2"/>
          <w:szCs w:val="24"/>
          <w:lang w:val="zh-CN"/>
        </w:rPr>
        <w:t>；达到公开招标数额标准的货物或服务采购项目，或者达到招标规模标准的政府采购工程，磋商小组应当由5人及以上单数组成。</w:t>
      </w:r>
    </w:p>
    <w:p w14:paraId="2155574F">
      <w:pPr>
        <w:pStyle w:val="44"/>
        <w:numPr>
          <w:ilvl w:val="0"/>
          <w:numId w:val="14"/>
        </w:numPr>
        <w:spacing w:line="360" w:lineRule="auto"/>
        <w:ind w:left="567" w:hanging="567" w:firstLineChars="0"/>
        <w:rPr>
          <w:rFonts w:cs="宋体"/>
          <w:kern w:val="2"/>
          <w:lang w:val="zh-CN"/>
        </w:rPr>
      </w:pPr>
      <w:r>
        <w:rPr>
          <w:rFonts w:hint="eastAsia" w:cs="宋体"/>
          <w:kern w:val="2"/>
          <w:szCs w:val="24"/>
          <w:lang w:val="zh-CN"/>
        </w:rPr>
        <w:t>磋商小组中的评审</w:t>
      </w:r>
      <w:r>
        <w:rPr>
          <w:rFonts w:hint="eastAsia" w:cs="宋体"/>
          <w:kern w:val="2"/>
          <w:szCs w:val="24"/>
        </w:rPr>
        <w:t>专家依法</w:t>
      </w:r>
      <w:r>
        <w:rPr>
          <w:rFonts w:hint="eastAsia" w:cs="宋体"/>
          <w:kern w:val="2"/>
          <w:lang w:val="zh-CN"/>
        </w:rPr>
        <w:t>从湖北省政府采购评审专家库中随机抽取。</w:t>
      </w:r>
    </w:p>
    <w:p w14:paraId="501E90FA">
      <w:pPr>
        <w:pStyle w:val="44"/>
        <w:numPr>
          <w:ilvl w:val="0"/>
          <w:numId w:val="14"/>
        </w:numPr>
        <w:spacing w:line="360" w:lineRule="auto"/>
        <w:ind w:left="567" w:hanging="567" w:firstLineChars="0"/>
        <w:rPr>
          <w:rFonts w:cs="宋体"/>
          <w:kern w:val="2"/>
          <w:lang w:val="zh-CN"/>
        </w:rPr>
      </w:pPr>
      <w:r>
        <w:rPr>
          <w:rFonts w:hint="eastAsia" w:cs="宋体"/>
          <w:kern w:val="2"/>
          <w:lang w:val="zh-CN"/>
        </w:rPr>
        <w:t>对市场竞争不充分的科研项目、需要扶持的科技成果转化项目以及技术复杂、专业性强的采购项目，通过</w:t>
      </w:r>
      <w:r>
        <w:rPr>
          <w:rFonts w:hint="eastAsia" w:cs="宋体"/>
          <w:kern w:val="2"/>
          <w:szCs w:val="24"/>
          <w:lang w:val="zh-CN"/>
        </w:rPr>
        <w:t>随机</w:t>
      </w:r>
      <w:r>
        <w:rPr>
          <w:rFonts w:hint="eastAsia" w:cs="宋体"/>
          <w:kern w:val="2"/>
          <w:lang w:val="zh-CN"/>
        </w:rPr>
        <w:t>方式</w:t>
      </w:r>
      <w:r>
        <w:rPr>
          <w:rFonts w:hint="eastAsia" w:cs="宋体"/>
          <w:kern w:val="2"/>
          <w:szCs w:val="24"/>
          <w:lang w:val="zh-CN"/>
        </w:rPr>
        <w:t>难以确定</w:t>
      </w:r>
      <w:r>
        <w:rPr>
          <w:rFonts w:hint="eastAsia" w:cs="宋体"/>
          <w:kern w:val="2"/>
          <w:lang w:val="zh-CN"/>
        </w:rPr>
        <w:t>合适的评审专家的，经主管预算单位同意，采购人可以自行选定评审专家。技术复杂、专业性强的采购项目，评审</w:t>
      </w:r>
      <w:r>
        <w:rPr>
          <w:rFonts w:cs="宋体"/>
          <w:kern w:val="2"/>
          <w:lang w:val="zh-CN"/>
        </w:rPr>
        <w:t>专家中应当包含</w:t>
      </w:r>
      <w:r>
        <w:rPr>
          <w:rFonts w:hint="eastAsia" w:cs="宋体"/>
          <w:kern w:val="2"/>
          <w:lang w:val="zh-CN"/>
        </w:rPr>
        <w:t>1名</w:t>
      </w:r>
      <w:r>
        <w:rPr>
          <w:rFonts w:cs="宋体"/>
          <w:kern w:val="2"/>
          <w:lang w:val="zh-CN"/>
        </w:rPr>
        <w:t>法律专家。</w:t>
      </w:r>
    </w:p>
    <w:p w14:paraId="3B03E4C2">
      <w:pPr>
        <w:pStyle w:val="44"/>
        <w:numPr>
          <w:ilvl w:val="0"/>
          <w:numId w:val="14"/>
        </w:numPr>
        <w:spacing w:line="360" w:lineRule="auto"/>
        <w:ind w:left="567" w:hanging="567" w:firstLineChars="0"/>
        <w:rPr>
          <w:szCs w:val="24"/>
        </w:rPr>
      </w:pPr>
      <w:r>
        <w:rPr>
          <w:rFonts w:hint="eastAsia"/>
          <w:szCs w:val="24"/>
        </w:rPr>
        <w:t>磋商小组成员有下列情形之一的，应当回避：</w:t>
      </w:r>
    </w:p>
    <w:p w14:paraId="0A0B8157">
      <w:pPr>
        <w:pStyle w:val="11"/>
        <w:tabs>
          <w:tab w:val="left" w:pos="1701"/>
        </w:tabs>
        <w:wordWrap w:val="0"/>
        <w:adjustRightInd w:val="0"/>
        <w:snapToGrid w:val="0"/>
        <w:spacing w:line="440" w:lineRule="exact"/>
        <w:ind w:firstLine="480" w:firstLineChars="200"/>
        <w:rPr>
          <w:szCs w:val="24"/>
        </w:rPr>
      </w:pPr>
      <w:r>
        <w:rPr>
          <w:rFonts w:hint="eastAsia"/>
          <w:szCs w:val="24"/>
        </w:rPr>
        <w:t>（1）参加采购活动前3年内与供应商存在劳动关系；</w:t>
      </w:r>
    </w:p>
    <w:p w14:paraId="1D64AB8B">
      <w:pPr>
        <w:pStyle w:val="11"/>
        <w:tabs>
          <w:tab w:val="left" w:pos="1701"/>
        </w:tabs>
        <w:wordWrap w:val="0"/>
        <w:adjustRightInd w:val="0"/>
        <w:snapToGrid w:val="0"/>
        <w:spacing w:line="440" w:lineRule="exact"/>
        <w:ind w:firstLine="480" w:firstLineChars="200"/>
        <w:rPr>
          <w:szCs w:val="24"/>
        </w:rPr>
      </w:pPr>
      <w:r>
        <w:rPr>
          <w:rFonts w:hint="eastAsia"/>
          <w:szCs w:val="24"/>
        </w:rPr>
        <w:t>（2）参加采购活动前3年内担任供应商的董事、监事；</w:t>
      </w:r>
    </w:p>
    <w:p w14:paraId="4B37995D">
      <w:pPr>
        <w:pStyle w:val="11"/>
        <w:tabs>
          <w:tab w:val="left" w:pos="1701"/>
        </w:tabs>
        <w:wordWrap w:val="0"/>
        <w:adjustRightInd w:val="0"/>
        <w:snapToGrid w:val="0"/>
        <w:spacing w:line="440" w:lineRule="exact"/>
        <w:ind w:firstLine="480" w:firstLineChars="200"/>
        <w:rPr>
          <w:szCs w:val="24"/>
        </w:rPr>
      </w:pPr>
      <w:r>
        <w:rPr>
          <w:rFonts w:hint="eastAsia"/>
          <w:szCs w:val="24"/>
        </w:rPr>
        <w:t>（3）参加采购活动前3年内是供应商的控股股东或者实际控制人；</w:t>
      </w:r>
    </w:p>
    <w:p w14:paraId="01E32BF5">
      <w:pPr>
        <w:pStyle w:val="11"/>
        <w:tabs>
          <w:tab w:val="left" w:pos="1701"/>
        </w:tabs>
        <w:wordWrap w:val="0"/>
        <w:adjustRightInd w:val="0"/>
        <w:snapToGrid w:val="0"/>
        <w:spacing w:line="440" w:lineRule="exact"/>
        <w:ind w:firstLine="480" w:firstLineChars="200"/>
        <w:rPr>
          <w:szCs w:val="24"/>
        </w:rPr>
      </w:pPr>
      <w:r>
        <w:rPr>
          <w:rFonts w:hint="eastAsia"/>
          <w:szCs w:val="24"/>
        </w:rPr>
        <w:t>（4）与供应商的法定代表人或者负责人有夫妻、直系血亲、三代以内旁系血亲或者近姻亲关系；</w:t>
      </w:r>
    </w:p>
    <w:p w14:paraId="4ABBBCE4">
      <w:pPr>
        <w:pStyle w:val="11"/>
        <w:tabs>
          <w:tab w:val="left" w:pos="1701"/>
        </w:tabs>
        <w:wordWrap w:val="0"/>
        <w:adjustRightInd w:val="0"/>
        <w:snapToGrid w:val="0"/>
        <w:spacing w:line="440" w:lineRule="exact"/>
        <w:ind w:firstLine="480" w:firstLineChars="200"/>
        <w:rPr>
          <w:szCs w:val="24"/>
        </w:rPr>
      </w:pPr>
      <w:r>
        <w:rPr>
          <w:rFonts w:hint="eastAsia"/>
          <w:szCs w:val="24"/>
        </w:rPr>
        <w:t>（5）与供应商有其他可能影响政府采购活动公平、公正进行的关系。</w:t>
      </w:r>
    </w:p>
    <w:p w14:paraId="1132FE9A">
      <w:pPr>
        <w:pStyle w:val="44"/>
        <w:numPr>
          <w:ilvl w:val="0"/>
          <w:numId w:val="14"/>
        </w:numPr>
        <w:spacing w:line="360" w:lineRule="auto"/>
        <w:ind w:left="567" w:hanging="567" w:firstLineChars="0"/>
        <w:rPr>
          <w:rFonts w:cs="宋体"/>
          <w:kern w:val="2"/>
          <w:szCs w:val="24"/>
          <w:lang w:val="zh-CN" w:bidi="ar-EG"/>
        </w:rPr>
      </w:pPr>
      <w:r>
        <w:rPr>
          <w:rFonts w:hint="eastAsia" w:cs="宋体"/>
          <w:kern w:val="2"/>
          <w:szCs w:val="24"/>
          <w:lang w:val="zh-CN" w:bidi="ar-EG"/>
        </w:rPr>
        <w:t>磋商小组在采购活动过程中履行的职责</w:t>
      </w:r>
    </w:p>
    <w:p w14:paraId="254E2997">
      <w:pPr>
        <w:pStyle w:val="11"/>
        <w:tabs>
          <w:tab w:val="left" w:pos="1701"/>
        </w:tabs>
        <w:wordWrap w:val="0"/>
        <w:adjustRightInd w:val="0"/>
        <w:snapToGrid w:val="0"/>
        <w:spacing w:line="440" w:lineRule="exact"/>
        <w:ind w:firstLine="480" w:firstLineChars="200"/>
        <w:rPr>
          <w:szCs w:val="24"/>
        </w:rPr>
      </w:pPr>
      <w:r>
        <w:rPr>
          <w:rFonts w:hint="eastAsia" w:cs="宋体"/>
          <w:kern w:val="2"/>
          <w:szCs w:val="24"/>
          <w:lang w:val="zh-CN"/>
        </w:rPr>
        <w:t>（1）确认</w:t>
      </w:r>
      <w:r>
        <w:rPr>
          <w:rFonts w:hint="eastAsia"/>
          <w:szCs w:val="24"/>
        </w:rPr>
        <w:t>或者制定磋商采购文件。</w:t>
      </w:r>
    </w:p>
    <w:p w14:paraId="44761E10">
      <w:pPr>
        <w:pStyle w:val="11"/>
        <w:tabs>
          <w:tab w:val="left" w:pos="1701"/>
        </w:tabs>
        <w:wordWrap w:val="0"/>
        <w:adjustRightInd w:val="0"/>
        <w:snapToGrid w:val="0"/>
        <w:spacing w:line="440" w:lineRule="exact"/>
        <w:ind w:firstLine="480" w:firstLineChars="200"/>
        <w:rPr>
          <w:szCs w:val="24"/>
        </w:rPr>
      </w:pPr>
      <w:r>
        <w:rPr>
          <w:rFonts w:hint="eastAsia"/>
          <w:szCs w:val="24"/>
        </w:rPr>
        <w:t>（2）从符合相应资格条件的供应商名单中确定不少于3家（</w:t>
      </w:r>
      <w:r>
        <w:rPr>
          <w:rFonts w:hint="eastAsia"/>
        </w:rPr>
        <w:t>符合本章</w:t>
      </w:r>
      <w:r>
        <w:t>6.7条规定情形的</w:t>
      </w:r>
      <w:r>
        <w:rPr>
          <w:rFonts w:hint="eastAsia"/>
          <w:szCs w:val="24"/>
        </w:rPr>
        <w:t>可以</w:t>
      </w:r>
      <w:r>
        <w:rPr>
          <w:szCs w:val="24"/>
        </w:rPr>
        <w:t>为</w:t>
      </w:r>
      <w:r>
        <w:rPr>
          <w:rFonts w:hint="eastAsia"/>
          <w:szCs w:val="24"/>
        </w:rPr>
        <w:t>2家）的供应商参加磋商。</w:t>
      </w:r>
    </w:p>
    <w:p w14:paraId="38F351F3">
      <w:pPr>
        <w:pStyle w:val="11"/>
        <w:tabs>
          <w:tab w:val="left" w:pos="1701"/>
        </w:tabs>
        <w:wordWrap w:val="0"/>
        <w:adjustRightInd w:val="0"/>
        <w:snapToGrid w:val="0"/>
        <w:spacing w:line="440" w:lineRule="exact"/>
        <w:ind w:firstLine="480" w:firstLineChars="200"/>
        <w:rPr>
          <w:szCs w:val="24"/>
        </w:rPr>
      </w:pPr>
      <w:r>
        <w:rPr>
          <w:rFonts w:hint="eastAsia"/>
          <w:szCs w:val="24"/>
        </w:rPr>
        <w:t>（3）审查供应商的响应文件并作出评价。</w:t>
      </w:r>
    </w:p>
    <w:p w14:paraId="5F0CB7A5">
      <w:pPr>
        <w:pStyle w:val="11"/>
        <w:tabs>
          <w:tab w:val="left" w:pos="1701"/>
        </w:tabs>
        <w:wordWrap w:val="0"/>
        <w:adjustRightInd w:val="0"/>
        <w:snapToGrid w:val="0"/>
        <w:spacing w:line="440" w:lineRule="exact"/>
        <w:ind w:firstLine="480" w:firstLineChars="200"/>
        <w:rPr>
          <w:szCs w:val="24"/>
        </w:rPr>
      </w:pPr>
      <w:r>
        <w:rPr>
          <w:rFonts w:hint="eastAsia"/>
          <w:szCs w:val="24"/>
        </w:rPr>
        <w:t>（4）要求供应商解释或者澄清其响应文件。</w:t>
      </w:r>
    </w:p>
    <w:p w14:paraId="6058A897">
      <w:pPr>
        <w:pStyle w:val="11"/>
        <w:tabs>
          <w:tab w:val="left" w:pos="1701"/>
        </w:tabs>
        <w:wordWrap w:val="0"/>
        <w:adjustRightInd w:val="0"/>
        <w:snapToGrid w:val="0"/>
        <w:spacing w:line="440" w:lineRule="exact"/>
        <w:ind w:firstLine="480" w:firstLineChars="200"/>
        <w:rPr>
          <w:szCs w:val="24"/>
        </w:rPr>
      </w:pPr>
      <w:r>
        <w:rPr>
          <w:rFonts w:hint="eastAsia"/>
          <w:szCs w:val="24"/>
        </w:rPr>
        <w:t>（5）编写评审报告。</w:t>
      </w:r>
    </w:p>
    <w:p w14:paraId="1DE6F204">
      <w:pPr>
        <w:pStyle w:val="11"/>
        <w:tabs>
          <w:tab w:val="left" w:pos="1701"/>
        </w:tabs>
        <w:wordWrap w:val="0"/>
        <w:adjustRightInd w:val="0"/>
        <w:snapToGrid w:val="0"/>
        <w:spacing w:line="440" w:lineRule="exact"/>
        <w:ind w:firstLine="480" w:firstLineChars="200"/>
        <w:rPr>
          <w:rFonts w:cs="宋体"/>
          <w:kern w:val="2"/>
          <w:szCs w:val="24"/>
          <w:lang w:val="zh-CN"/>
        </w:rPr>
      </w:pPr>
      <w:r>
        <w:rPr>
          <w:rFonts w:hint="eastAsia"/>
          <w:szCs w:val="24"/>
        </w:rPr>
        <w:t>（6）采购人、采</w:t>
      </w:r>
      <w:r>
        <w:rPr>
          <w:rFonts w:hint="eastAsia" w:cs="宋体"/>
          <w:kern w:val="2"/>
          <w:szCs w:val="24"/>
          <w:lang w:val="zh-CN"/>
        </w:rPr>
        <w:t>购代理机构在评审过程中发现的供应商的违法违规行为。</w:t>
      </w:r>
    </w:p>
    <w:p w14:paraId="11D89EE8">
      <w:pPr>
        <w:pStyle w:val="44"/>
        <w:numPr>
          <w:ilvl w:val="0"/>
          <w:numId w:val="14"/>
        </w:numPr>
        <w:spacing w:line="360" w:lineRule="auto"/>
        <w:ind w:left="567" w:hanging="567" w:firstLineChars="0"/>
        <w:rPr>
          <w:b/>
          <w:szCs w:val="24"/>
          <w:lang w:val="zh-CN"/>
        </w:rPr>
      </w:pPr>
      <w:r>
        <w:rPr>
          <w:rFonts w:hint="eastAsia"/>
          <w:bCs/>
          <w:lang w:val="zh-CN"/>
        </w:rPr>
        <w:t>本章6.</w:t>
      </w:r>
      <w:r>
        <w:rPr>
          <w:bCs/>
          <w:lang w:val="zh-CN"/>
        </w:rPr>
        <w:t>5</w:t>
      </w:r>
      <w:r>
        <w:rPr>
          <w:rFonts w:hint="eastAsia"/>
          <w:bCs/>
          <w:lang w:val="zh-CN"/>
        </w:rPr>
        <w:t>条第二项中“符合相应资格条件的供应商”产生方式详见</w:t>
      </w:r>
      <w:r>
        <w:rPr>
          <w:rFonts w:hint="eastAsia"/>
          <w:b/>
          <w:szCs w:val="24"/>
          <w:lang w:val="zh-CN"/>
        </w:rPr>
        <w:t>“磋商须知前附表”</w:t>
      </w:r>
      <w:r>
        <w:rPr>
          <w:rFonts w:hint="eastAsia"/>
          <w:bCs/>
          <w:lang w:val="zh-CN"/>
        </w:rPr>
        <w:t>。</w:t>
      </w:r>
    </w:p>
    <w:p w14:paraId="05D927BF">
      <w:pPr>
        <w:pStyle w:val="44"/>
        <w:numPr>
          <w:ilvl w:val="0"/>
          <w:numId w:val="14"/>
        </w:numPr>
        <w:spacing w:line="360" w:lineRule="auto"/>
        <w:ind w:left="567" w:hanging="567" w:firstLineChars="0"/>
        <w:rPr>
          <w:b/>
          <w:szCs w:val="24"/>
          <w:lang w:val="zh-CN"/>
        </w:rPr>
      </w:pPr>
      <w:r>
        <w:rPr>
          <w:bCs/>
          <w:lang w:val="zh-CN"/>
        </w:rPr>
        <w:t>符合市场竞争不充分的科研项目，以及需要扶持的科技成果转化项目，提交最后报价的供应商可以为</w:t>
      </w:r>
      <w:r>
        <w:rPr>
          <w:rFonts w:hint="eastAsia"/>
          <w:bCs/>
          <w:lang w:val="zh-CN"/>
        </w:rPr>
        <w:t>2家。</w:t>
      </w:r>
    </w:p>
    <w:p w14:paraId="7873A0E2">
      <w:pPr>
        <w:pStyle w:val="44"/>
        <w:numPr>
          <w:ilvl w:val="0"/>
          <w:numId w:val="9"/>
        </w:numPr>
        <w:spacing w:line="360" w:lineRule="auto"/>
        <w:ind w:left="284" w:hanging="284" w:firstLineChars="0"/>
        <w:rPr>
          <w:b/>
          <w:szCs w:val="24"/>
          <w:lang w:val="zh-CN"/>
        </w:rPr>
      </w:pPr>
      <w:r>
        <w:rPr>
          <w:rFonts w:hint="eastAsia"/>
          <w:b/>
          <w:szCs w:val="24"/>
          <w:lang w:val="zh-CN"/>
        </w:rPr>
        <w:t>语言文字</w:t>
      </w:r>
      <w:bookmarkEnd w:id="108"/>
      <w:bookmarkEnd w:id="109"/>
      <w:bookmarkEnd w:id="110"/>
      <w:bookmarkEnd w:id="111"/>
      <w:bookmarkEnd w:id="112"/>
      <w:bookmarkEnd w:id="113"/>
    </w:p>
    <w:p w14:paraId="034EBCC6">
      <w:pPr>
        <w:wordWrap w:val="0"/>
        <w:adjustRightInd w:val="0"/>
        <w:snapToGrid w:val="0"/>
        <w:spacing w:line="360" w:lineRule="auto"/>
        <w:ind w:firstLine="480" w:firstLineChars="200"/>
        <w:rPr>
          <w:rFonts w:cs="宋体"/>
          <w:szCs w:val="24"/>
          <w:lang w:val="zh-CN"/>
        </w:rPr>
      </w:pPr>
      <w:r>
        <w:rPr>
          <w:rFonts w:hint="eastAsia" w:cs="宋体"/>
          <w:szCs w:val="24"/>
          <w:lang w:val="zh-CN"/>
        </w:rPr>
        <w:t>竞争性磋商磋商文件、与竞争性磋商磋商有关的所有来往函电、文书使用的语言文字均为简体中文。提交的相关证明文件、资料或文献可以用另一种语言，但相应内容应附有中文翻译本，在解释磋商文件的相关内容时以中文翻译本为准。</w:t>
      </w:r>
    </w:p>
    <w:p w14:paraId="15C1A344">
      <w:pPr>
        <w:pStyle w:val="44"/>
        <w:numPr>
          <w:ilvl w:val="0"/>
          <w:numId w:val="9"/>
        </w:numPr>
        <w:spacing w:line="360" w:lineRule="auto"/>
        <w:ind w:left="284" w:hanging="284" w:firstLineChars="0"/>
        <w:rPr>
          <w:b/>
          <w:szCs w:val="24"/>
          <w:lang w:val="zh-CN"/>
        </w:rPr>
      </w:pPr>
      <w:bookmarkStart w:id="126" w:name="_Toc102119818"/>
      <w:bookmarkStart w:id="127" w:name="_Toc102056184"/>
      <w:bookmarkStart w:id="128" w:name="_Toc102115987"/>
      <w:bookmarkStart w:id="129" w:name="_Toc102116117"/>
      <w:bookmarkStart w:id="130" w:name="_Toc102057684"/>
      <w:bookmarkStart w:id="131" w:name="_Toc102114885"/>
      <w:r>
        <w:rPr>
          <w:rFonts w:hint="eastAsia"/>
          <w:b/>
          <w:szCs w:val="24"/>
          <w:lang w:val="zh-CN"/>
        </w:rPr>
        <w:t>计量单位</w:t>
      </w:r>
      <w:bookmarkEnd w:id="126"/>
      <w:bookmarkEnd w:id="127"/>
      <w:bookmarkEnd w:id="128"/>
      <w:bookmarkEnd w:id="129"/>
      <w:bookmarkEnd w:id="130"/>
      <w:bookmarkEnd w:id="131"/>
    </w:p>
    <w:p w14:paraId="5D0E45DA">
      <w:pPr>
        <w:wordWrap w:val="0"/>
        <w:adjustRightInd w:val="0"/>
        <w:snapToGrid w:val="0"/>
        <w:spacing w:line="360" w:lineRule="auto"/>
        <w:ind w:firstLine="480" w:firstLineChars="200"/>
        <w:rPr>
          <w:szCs w:val="24"/>
          <w:lang w:val="zh-CN"/>
        </w:rPr>
      </w:pPr>
      <w:r>
        <w:rPr>
          <w:rFonts w:hint="eastAsia"/>
          <w:szCs w:val="24"/>
          <w:lang w:val="zh-CN"/>
        </w:rPr>
        <w:t>竞争性磋商磋商文件中所使用的计量单位，应采用中华人民共和国法定计量单位。</w:t>
      </w:r>
    </w:p>
    <w:p w14:paraId="043CDD65">
      <w:pPr>
        <w:pStyle w:val="44"/>
        <w:numPr>
          <w:ilvl w:val="0"/>
          <w:numId w:val="9"/>
        </w:numPr>
        <w:spacing w:line="360" w:lineRule="auto"/>
        <w:ind w:left="284" w:hanging="284" w:firstLineChars="0"/>
        <w:rPr>
          <w:b/>
          <w:szCs w:val="24"/>
          <w:lang w:val="zh-CN"/>
        </w:rPr>
      </w:pPr>
      <w:bookmarkStart w:id="132" w:name="_Toc102115988"/>
      <w:bookmarkStart w:id="133" w:name="_Toc102056185"/>
      <w:bookmarkStart w:id="134" w:name="_Toc102057685"/>
      <w:bookmarkStart w:id="135" w:name="_Toc102116118"/>
      <w:bookmarkStart w:id="136" w:name="_Toc102119819"/>
      <w:bookmarkStart w:id="137" w:name="_Toc102114886"/>
      <w:r>
        <w:rPr>
          <w:rFonts w:hint="eastAsia"/>
          <w:b/>
          <w:szCs w:val="24"/>
          <w:lang w:val="zh-CN"/>
        </w:rPr>
        <w:t>保密要求</w:t>
      </w:r>
    </w:p>
    <w:p w14:paraId="707C7126">
      <w:pPr>
        <w:wordWrap w:val="0"/>
        <w:adjustRightInd w:val="0"/>
        <w:snapToGrid w:val="0"/>
        <w:spacing w:line="360" w:lineRule="auto"/>
        <w:ind w:firstLine="480" w:firstLineChars="200"/>
        <w:rPr>
          <w:szCs w:val="24"/>
          <w:lang w:val="zh-CN"/>
        </w:rPr>
      </w:pPr>
      <w:r>
        <w:rPr>
          <w:rFonts w:hint="eastAsia"/>
          <w:szCs w:val="24"/>
          <w:lang w:val="zh-CN"/>
        </w:rPr>
        <w:t>参与政府采购活动的相关人员不得泄露参与政府采购过程中获悉的国家秘密、商业秘密以及可能影响公平、公正性的相关采购信息。</w:t>
      </w:r>
    </w:p>
    <w:p w14:paraId="1C4935A8">
      <w:pPr>
        <w:pStyle w:val="44"/>
        <w:numPr>
          <w:ilvl w:val="0"/>
          <w:numId w:val="9"/>
        </w:numPr>
        <w:spacing w:line="360" w:lineRule="auto"/>
        <w:ind w:left="284" w:hanging="284" w:firstLineChars="0"/>
        <w:rPr>
          <w:b/>
          <w:szCs w:val="24"/>
          <w:lang w:val="zh-CN"/>
        </w:rPr>
      </w:pPr>
      <w:r>
        <w:rPr>
          <w:rFonts w:hint="eastAsia"/>
          <w:b/>
          <w:szCs w:val="24"/>
          <w:lang w:val="zh-CN"/>
        </w:rPr>
        <w:t>费用承担</w:t>
      </w:r>
      <w:bookmarkEnd w:id="132"/>
      <w:bookmarkEnd w:id="133"/>
      <w:bookmarkEnd w:id="134"/>
      <w:bookmarkEnd w:id="135"/>
      <w:bookmarkEnd w:id="136"/>
      <w:bookmarkEnd w:id="137"/>
    </w:p>
    <w:p w14:paraId="1E23D22F">
      <w:pPr>
        <w:numPr>
          <w:ilvl w:val="0"/>
          <w:numId w:val="15"/>
        </w:numPr>
        <w:wordWrap w:val="0"/>
        <w:adjustRightInd w:val="0"/>
        <w:snapToGrid w:val="0"/>
        <w:spacing w:line="360" w:lineRule="auto"/>
        <w:ind w:left="476" w:hanging="476"/>
        <w:rPr>
          <w:szCs w:val="24"/>
          <w:lang w:val="zh-CN"/>
        </w:rPr>
      </w:pPr>
      <w:r>
        <w:rPr>
          <w:rFonts w:hint="eastAsia"/>
          <w:szCs w:val="24"/>
          <w:lang w:val="zh-CN"/>
        </w:rPr>
        <w:t>集中采购机构不向供应商收取任何费用。</w:t>
      </w:r>
    </w:p>
    <w:p w14:paraId="2B83527E">
      <w:pPr>
        <w:numPr>
          <w:ilvl w:val="0"/>
          <w:numId w:val="15"/>
        </w:numPr>
        <w:wordWrap w:val="0"/>
        <w:adjustRightInd w:val="0"/>
        <w:snapToGrid w:val="0"/>
        <w:spacing w:line="360" w:lineRule="auto"/>
        <w:ind w:left="476" w:hanging="476"/>
        <w:rPr>
          <w:szCs w:val="24"/>
          <w:lang w:val="zh-CN"/>
        </w:rPr>
      </w:pPr>
      <w:r>
        <w:rPr>
          <w:rFonts w:hint="eastAsia"/>
          <w:szCs w:val="24"/>
          <w:lang w:val="zh-CN"/>
        </w:rPr>
        <w:t>供应商应承担所有与准备和参加磋商有关的费用。不论磋商的结果如何，集中采购机构和采购人均无义务和责任承担这些费用。</w:t>
      </w:r>
    </w:p>
    <w:p w14:paraId="1510880F">
      <w:pPr>
        <w:pStyle w:val="44"/>
        <w:numPr>
          <w:ilvl w:val="0"/>
          <w:numId w:val="9"/>
        </w:numPr>
        <w:spacing w:line="360" w:lineRule="auto"/>
        <w:ind w:left="284" w:hanging="284" w:firstLineChars="0"/>
        <w:rPr>
          <w:b/>
          <w:szCs w:val="24"/>
          <w:lang w:val="zh-CN"/>
        </w:rPr>
      </w:pPr>
      <w:r>
        <w:rPr>
          <w:rFonts w:hint="eastAsia"/>
          <w:b/>
          <w:szCs w:val="24"/>
          <w:lang w:val="zh-CN"/>
        </w:rPr>
        <w:t>采购信息</w:t>
      </w:r>
    </w:p>
    <w:p w14:paraId="6C85B38B">
      <w:pPr>
        <w:numPr>
          <w:ilvl w:val="0"/>
          <w:numId w:val="16"/>
        </w:numPr>
        <w:tabs>
          <w:tab w:val="left" w:pos="567"/>
        </w:tabs>
        <w:wordWrap w:val="0"/>
        <w:adjustRightInd w:val="0"/>
        <w:snapToGrid w:val="0"/>
        <w:spacing w:line="360" w:lineRule="auto"/>
        <w:ind w:left="567" w:hanging="567"/>
        <w:rPr>
          <w:szCs w:val="24"/>
          <w:lang w:val="zh-CN"/>
        </w:rPr>
      </w:pPr>
      <w:r>
        <w:rPr>
          <w:rFonts w:hint="eastAsia"/>
          <w:szCs w:val="24"/>
          <w:lang w:val="zh-CN"/>
        </w:rPr>
        <w:t>政府采购活动中的公示、公告、澄清、更正等采购信息依法在中国湖北政府采购网上发布，同步在随县人民政府网发布。</w:t>
      </w:r>
    </w:p>
    <w:p w14:paraId="5809A60E">
      <w:pPr>
        <w:numPr>
          <w:ilvl w:val="0"/>
          <w:numId w:val="16"/>
        </w:numPr>
        <w:tabs>
          <w:tab w:val="left" w:pos="567"/>
        </w:tabs>
        <w:wordWrap w:val="0"/>
        <w:adjustRightInd w:val="0"/>
        <w:snapToGrid w:val="0"/>
        <w:spacing w:line="360" w:lineRule="auto"/>
        <w:ind w:left="567" w:hanging="567"/>
        <w:rPr>
          <w:szCs w:val="24"/>
          <w:lang w:val="zh-CN"/>
        </w:rPr>
      </w:pPr>
      <w:r>
        <w:rPr>
          <w:rFonts w:hint="eastAsia"/>
          <w:szCs w:val="24"/>
          <w:lang w:val="zh-CN"/>
        </w:rPr>
        <w:t>采购信息获取：供应商应按</w:t>
      </w:r>
      <w:r>
        <w:rPr>
          <w:rFonts w:hint="eastAsia"/>
          <w:b/>
          <w:szCs w:val="24"/>
          <w:lang w:val="zh-CN"/>
        </w:rPr>
        <w:t>“磋商须知前附表”</w:t>
      </w:r>
      <w:r>
        <w:rPr>
          <w:rFonts w:hint="eastAsia"/>
          <w:szCs w:val="24"/>
          <w:lang w:val="zh-CN"/>
        </w:rPr>
        <w:t>规定渠道获取项目采购信息，采购人、集中采购机构不再另行通知，因供应商自身原因未及时获取项目采购信息的，导致的后果由供应商自行承担。</w:t>
      </w:r>
    </w:p>
    <w:p w14:paraId="4F3C01B3">
      <w:pPr>
        <w:pStyle w:val="44"/>
        <w:numPr>
          <w:ilvl w:val="0"/>
          <w:numId w:val="9"/>
        </w:numPr>
        <w:spacing w:line="360" w:lineRule="auto"/>
        <w:ind w:left="284" w:hanging="284" w:firstLineChars="0"/>
        <w:rPr>
          <w:b/>
          <w:szCs w:val="24"/>
          <w:lang w:val="zh-CN"/>
        </w:rPr>
      </w:pPr>
      <w:r>
        <w:rPr>
          <w:rFonts w:hint="eastAsia"/>
          <w:b/>
          <w:szCs w:val="24"/>
          <w:lang w:val="zh-CN"/>
        </w:rPr>
        <w:t>电子采购平台</w:t>
      </w:r>
    </w:p>
    <w:p w14:paraId="6307A37C">
      <w:pPr>
        <w:pStyle w:val="44"/>
        <w:numPr>
          <w:ilvl w:val="0"/>
          <w:numId w:val="17"/>
        </w:numPr>
        <w:tabs>
          <w:tab w:val="left" w:pos="567"/>
        </w:tabs>
        <w:wordWrap w:val="0"/>
        <w:spacing w:line="360" w:lineRule="auto"/>
        <w:ind w:left="567" w:right="-120" w:rightChars="-50" w:hanging="567" w:firstLineChars="0"/>
        <w:rPr>
          <w:szCs w:val="24"/>
        </w:rPr>
      </w:pPr>
      <w:r>
        <w:rPr>
          <w:rFonts w:hint="eastAsia"/>
          <w:szCs w:val="24"/>
        </w:rPr>
        <w:t>电子采购平台客户端运行环境应满足以下要求，否则可能会出错，影响其磋商：</w:t>
      </w:r>
    </w:p>
    <w:p w14:paraId="40F0A472">
      <w:pPr>
        <w:pStyle w:val="11"/>
        <w:tabs>
          <w:tab w:val="left" w:pos="1701"/>
        </w:tabs>
        <w:wordWrap w:val="0"/>
        <w:adjustRightInd w:val="0"/>
        <w:snapToGrid w:val="0"/>
        <w:spacing w:line="360" w:lineRule="auto"/>
        <w:ind w:firstLine="480" w:firstLineChars="200"/>
        <w:rPr>
          <w:szCs w:val="24"/>
        </w:rPr>
      </w:pPr>
      <w:r>
        <w:rPr>
          <w:rFonts w:hint="eastAsia"/>
          <w:szCs w:val="24"/>
        </w:rPr>
        <w:t>（1）操作系统：Windows 7及以上版本；</w:t>
      </w:r>
    </w:p>
    <w:p w14:paraId="4185D2B8">
      <w:pPr>
        <w:pStyle w:val="11"/>
        <w:tabs>
          <w:tab w:val="left" w:pos="1701"/>
        </w:tabs>
        <w:wordWrap w:val="0"/>
        <w:adjustRightInd w:val="0"/>
        <w:snapToGrid w:val="0"/>
        <w:spacing w:line="360" w:lineRule="auto"/>
        <w:ind w:firstLine="480" w:firstLineChars="200"/>
        <w:rPr>
          <w:szCs w:val="24"/>
        </w:rPr>
      </w:pPr>
      <w:r>
        <w:rPr>
          <w:rFonts w:hint="eastAsia"/>
          <w:szCs w:val="24"/>
        </w:rPr>
        <w:t>（2）浏览器：360</w:t>
      </w:r>
      <w:r>
        <w:rPr>
          <w:rFonts w:hint="eastAsia"/>
          <w:szCs w:val="24"/>
          <w:lang w:val="zh-CN"/>
        </w:rPr>
        <w:t>浏览器</w:t>
      </w:r>
      <w:r>
        <w:rPr>
          <w:rFonts w:hint="eastAsia"/>
          <w:szCs w:val="24"/>
        </w:rPr>
        <w:t>、Internet Explorer 11、10；</w:t>
      </w:r>
    </w:p>
    <w:p w14:paraId="4B6A1C17">
      <w:pPr>
        <w:pStyle w:val="11"/>
        <w:tabs>
          <w:tab w:val="left" w:pos="1701"/>
        </w:tabs>
        <w:wordWrap w:val="0"/>
        <w:adjustRightInd w:val="0"/>
        <w:snapToGrid w:val="0"/>
        <w:spacing w:line="360" w:lineRule="auto"/>
        <w:ind w:firstLine="480" w:firstLineChars="200"/>
        <w:rPr>
          <w:szCs w:val="24"/>
        </w:rPr>
      </w:pPr>
      <w:r>
        <w:rPr>
          <w:rFonts w:hint="eastAsia"/>
          <w:szCs w:val="24"/>
        </w:rPr>
        <w:t>（3）办公软件：Microsoft Office 2007-2016完整版、WPS Office 2019个人版、WPS Office 企业版；</w:t>
      </w:r>
    </w:p>
    <w:p w14:paraId="6E6E0557">
      <w:pPr>
        <w:pStyle w:val="11"/>
        <w:tabs>
          <w:tab w:val="left" w:pos="1701"/>
        </w:tabs>
        <w:wordWrap w:val="0"/>
        <w:adjustRightInd w:val="0"/>
        <w:snapToGrid w:val="0"/>
        <w:spacing w:line="360" w:lineRule="auto"/>
        <w:ind w:firstLine="480" w:firstLineChars="200"/>
        <w:rPr>
          <w:szCs w:val="24"/>
        </w:rPr>
      </w:pPr>
      <w:r>
        <w:rPr>
          <w:rFonts w:hint="eastAsia"/>
          <w:szCs w:val="24"/>
        </w:rPr>
        <w:t>（4）PDF软件</w:t>
      </w:r>
      <w:r>
        <w:rPr>
          <w:rFonts w:hint="eastAsia"/>
          <w:szCs w:val="24"/>
          <w:lang w:val="zh-CN"/>
        </w:rPr>
        <w:t>推荐</w:t>
      </w:r>
      <w:r>
        <w:rPr>
          <w:rFonts w:hint="eastAsia"/>
          <w:szCs w:val="24"/>
        </w:rPr>
        <w:t>： 平台自带PDF软件（软件路径：C:\Windows\winaip）；</w:t>
      </w:r>
    </w:p>
    <w:p w14:paraId="4DAED84E">
      <w:pPr>
        <w:pStyle w:val="11"/>
        <w:tabs>
          <w:tab w:val="left" w:pos="1701"/>
        </w:tabs>
        <w:wordWrap w:val="0"/>
        <w:adjustRightInd w:val="0"/>
        <w:snapToGrid w:val="0"/>
        <w:spacing w:line="360" w:lineRule="auto"/>
        <w:ind w:firstLine="480" w:firstLineChars="200"/>
        <w:rPr>
          <w:szCs w:val="24"/>
        </w:rPr>
      </w:pPr>
      <w:r>
        <w:rPr>
          <w:rFonts w:hint="eastAsia"/>
          <w:szCs w:val="24"/>
        </w:rPr>
        <w:t>（5）电子采购平台所有插件应为最新版。</w:t>
      </w:r>
    </w:p>
    <w:p w14:paraId="52BB760D">
      <w:pPr>
        <w:pStyle w:val="44"/>
        <w:numPr>
          <w:ilvl w:val="0"/>
          <w:numId w:val="17"/>
        </w:numPr>
        <w:tabs>
          <w:tab w:val="left" w:pos="567"/>
        </w:tabs>
        <w:wordWrap w:val="0"/>
        <w:spacing w:line="360" w:lineRule="auto"/>
        <w:ind w:left="567" w:right="-120" w:rightChars="-50" w:hanging="567" w:firstLineChars="0"/>
        <w:rPr>
          <w:szCs w:val="24"/>
        </w:rPr>
      </w:pPr>
      <w:r>
        <w:rPr>
          <w:rFonts w:hint="eastAsia"/>
          <w:szCs w:val="24"/>
        </w:rPr>
        <w:t>电子采购平台操作手册：电子采购平台的注册、CA数字证书办理、平台操作等事项详见电子采购平台《供应商操作手册》，其下载网址详见</w:t>
      </w:r>
      <w:r>
        <w:rPr>
          <w:rFonts w:hint="eastAsia"/>
          <w:b/>
          <w:szCs w:val="24"/>
        </w:rPr>
        <w:t>“磋商须知前附表”</w:t>
      </w:r>
    </w:p>
    <w:p w14:paraId="2799857E">
      <w:pPr>
        <w:pStyle w:val="44"/>
        <w:numPr>
          <w:ilvl w:val="0"/>
          <w:numId w:val="17"/>
        </w:numPr>
        <w:tabs>
          <w:tab w:val="left" w:pos="567"/>
        </w:tabs>
        <w:wordWrap w:val="0"/>
        <w:spacing w:line="360" w:lineRule="auto"/>
        <w:ind w:left="567" w:right="-120" w:rightChars="-50" w:hanging="567" w:firstLineChars="0"/>
        <w:rPr>
          <w:lang w:val="zh-CN"/>
        </w:rPr>
      </w:pPr>
      <w:r>
        <w:rPr>
          <w:rFonts w:hint="eastAsia"/>
          <w:szCs w:val="24"/>
        </w:rPr>
        <w:t>电子采购平台咨询：供应商应充分考虑到网上电子磋商可能会发生的各种问题和风险，特别是磋商文件签署、提交等问题，无特殊情况，应在</w:t>
      </w:r>
      <w:r>
        <w:rPr>
          <w:rFonts w:hint="eastAsia"/>
          <w:b/>
          <w:szCs w:val="24"/>
        </w:rPr>
        <w:t>“磋商须知前附表”</w:t>
      </w:r>
      <w:r>
        <w:rPr>
          <w:rFonts w:hint="eastAsia"/>
          <w:szCs w:val="24"/>
        </w:rPr>
        <w:t>规定的时间前咨询集中采购机构或电子采购平台。任何问题和风险导致供应商磋商内容不一致或利益受损或磋商失败的，</w:t>
      </w:r>
      <w:r>
        <w:rPr>
          <w:rFonts w:hint="eastAsia"/>
          <w:szCs w:val="24"/>
          <w:lang w:val="zh-CN"/>
        </w:rPr>
        <w:t>其</w:t>
      </w:r>
      <w:r>
        <w:rPr>
          <w:rFonts w:hint="eastAsia"/>
          <w:szCs w:val="24"/>
        </w:rPr>
        <w:t>后果由供应商自行承担。</w:t>
      </w:r>
    </w:p>
    <w:p w14:paraId="014DA3F5">
      <w:pPr>
        <w:pStyle w:val="44"/>
        <w:numPr>
          <w:ilvl w:val="0"/>
          <w:numId w:val="17"/>
        </w:numPr>
        <w:tabs>
          <w:tab w:val="left" w:pos="567"/>
        </w:tabs>
        <w:wordWrap w:val="0"/>
        <w:spacing w:line="360" w:lineRule="auto"/>
        <w:ind w:left="567" w:right="-120" w:rightChars="-50" w:hanging="567" w:firstLineChars="0"/>
        <w:rPr>
          <w:szCs w:val="24"/>
        </w:rPr>
      </w:pPr>
      <w:r>
        <w:rPr>
          <w:rFonts w:hint="eastAsia"/>
          <w:szCs w:val="24"/>
        </w:rPr>
        <w:t>电子采购平台联系方式详见</w:t>
      </w:r>
      <w:r>
        <w:rPr>
          <w:rFonts w:hint="eastAsia"/>
          <w:b/>
          <w:szCs w:val="24"/>
        </w:rPr>
        <w:t>“磋商须知前附表”</w:t>
      </w:r>
      <w:r>
        <w:rPr>
          <w:rFonts w:hint="eastAsia"/>
          <w:szCs w:val="24"/>
        </w:rPr>
        <w:t>。</w:t>
      </w:r>
    </w:p>
    <w:p w14:paraId="6463F94B">
      <w:pPr>
        <w:pStyle w:val="4"/>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138" w:name="_Toc117244351"/>
      <w:bookmarkStart w:id="139" w:name="_Toc117244466"/>
      <w:bookmarkStart w:id="140" w:name="_Toc122527527"/>
      <w:bookmarkStart w:id="141" w:name="_Toc511889418"/>
      <w:bookmarkStart w:id="142" w:name="_Toc511894496"/>
      <w:r>
        <w:rPr>
          <w:rFonts w:hint="eastAsia" w:ascii="宋体" w:hAnsi="宋体" w:eastAsia="宋体" w:cs="Times New Roman"/>
          <w:bCs w:val="0"/>
          <w:sz w:val="28"/>
          <w:szCs w:val="28"/>
          <w:lang w:val="zh-CN"/>
        </w:rPr>
        <w:t>竞争性磋商文件</w:t>
      </w:r>
      <w:bookmarkEnd w:id="138"/>
      <w:bookmarkEnd w:id="139"/>
      <w:bookmarkEnd w:id="140"/>
    </w:p>
    <w:p w14:paraId="0B50C55D">
      <w:pPr>
        <w:pStyle w:val="44"/>
        <w:numPr>
          <w:ilvl w:val="0"/>
          <w:numId w:val="9"/>
        </w:numPr>
        <w:spacing w:line="360" w:lineRule="auto"/>
        <w:ind w:left="284" w:hanging="284" w:firstLineChars="0"/>
        <w:rPr>
          <w:b/>
          <w:szCs w:val="24"/>
          <w:lang w:val="zh-CN"/>
        </w:rPr>
      </w:pPr>
      <w:bookmarkStart w:id="143" w:name="_Toc102116123"/>
      <w:bookmarkStart w:id="144" w:name="_Toc102057689"/>
      <w:bookmarkStart w:id="145" w:name="_Toc102114891"/>
      <w:bookmarkStart w:id="146" w:name="_Toc102119824"/>
      <w:bookmarkStart w:id="147" w:name="_Toc102115993"/>
      <w:bookmarkStart w:id="148" w:name="_Toc102056189"/>
      <w:r>
        <w:rPr>
          <w:rFonts w:hint="eastAsia"/>
          <w:b/>
          <w:szCs w:val="24"/>
          <w:lang w:val="zh-CN"/>
        </w:rPr>
        <w:t>竞争性磋商文件</w:t>
      </w:r>
      <w:bookmarkEnd w:id="143"/>
      <w:bookmarkEnd w:id="144"/>
      <w:bookmarkEnd w:id="145"/>
      <w:bookmarkEnd w:id="146"/>
      <w:bookmarkEnd w:id="147"/>
      <w:bookmarkEnd w:id="148"/>
      <w:r>
        <w:rPr>
          <w:rFonts w:hint="eastAsia"/>
          <w:b/>
          <w:szCs w:val="24"/>
          <w:lang w:val="zh-CN"/>
        </w:rPr>
        <w:t>组成</w:t>
      </w:r>
    </w:p>
    <w:p w14:paraId="0BDF0E76">
      <w:pPr>
        <w:numPr>
          <w:ilvl w:val="0"/>
          <w:numId w:val="18"/>
        </w:numPr>
        <w:wordWrap w:val="0"/>
        <w:adjustRightInd w:val="0"/>
        <w:snapToGrid w:val="0"/>
        <w:spacing w:line="360" w:lineRule="auto"/>
        <w:ind w:left="567" w:hanging="567"/>
        <w:rPr>
          <w:rFonts w:cs="宋体"/>
          <w:lang w:val="zh-CN"/>
        </w:rPr>
      </w:pPr>
      <w:r>
        <w:rPr>
          <w:rFonts w:hint="eastAsia" w:cs="宋体"/>
          <w:lang w:val="zh-CN"/>
        </w:rPr>
        <w:t>竞争性磋商文件由竞争性磋商文件</w:t>
      </w:r>
      <w:r>
        <w:rPr>
          <w:rFonts w:hint="eastAsia" w:cs="宋体"/>
        </w:rPr>
        <w:t>（Word格式）和竞争性磋商数据文件（Excel格式）两部分共同构成。（采用电子版文件压缩包格式提供）</w:t>
      </w:r>
    </w:p>
    <w:p w14:paraId="397945AA">
      <w:pPr>
        <w:numPr>
          <w:ilvl w:val="0"/>
          <w:numId w:val="18"/>
        </w:numPr>
        <w:wordWrap w:val="0"/>
        <w:adjustRightInd w:val="0"/>
        <w:snapToGrid w:val="0"/>
        <w:spacing w:line="360" w:lineRule="auto"/>
        <w:ind w:left="567" w:hanging="567"/>
        <w:rPr>
          <w:rFonts w:cs="宋体"/>
          <w:lang w:val="zh-CN"/>
        </w:rPr>
      </w:pPr>
      <w:r>
        <w:rPr>
          <w:rFonts w:hint="eastAsia" w:cs="宋体"/>
          <w:lang w:val="zh-CN"/>
        </w:rPr>
        <w:t>竞争性磋商文件</w:t>
      </w:r>
      <w:r>
        <w:rPr>
          <w:rFonts w:hint="eastAsia" w:cs="宋体"/>
        </w:rPr>
        <w:t>（Word格式）包括以下内容：</w:t>
      </w:r>
    </w:p>
    <w:p w14:paraId="5626A54B">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第一章 磋商邀请</w:t>
      </w:r>
    </w:p>
    <w:p w14:paraId="38D1BE00">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第二章 磋商须知</w:t>
      </w:r>
    </w:p>
    <w:p w14:paraId="496A6690">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第三章 采购需求</w:t>
      </w:r>
    </w:p>
    <w:p w14:paraId="37740423">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第四章 评审办法</w:t>
      </w:r>
    </w:p>
    <w:p w14:paraId="5E4357FC">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第五章 合同文本格式（参考）</w:t>
      </w:r>
    </w:p>
    <w:p w14:paraId="1D8542CF">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第六章 磋商文件格式（参考）</w:t>
      </w:r>
    </w:p>
    <w:p w14:paraId="10952466">
      <w:pPr>
        <w:numPr>
          <w:ilvl w:val="0"/>
          <w:numId w:val="18"/>
        </w:numPr>
        <w:wordWrap w:val="0"/>
        <w:adjustRightInd w:val="0"/>
        <w:snapToGrid w:val="0"/>
        <w:spacing w:line="360" w:lineRule="auto"/>
        <w:ind w:left="567" w:hanging="567"/>
        <w:rPr>
          <w:rFonts w:cs="宋体"/>
          <w:lang w:val="zh-CN"/>
        </w:rPr>
      </w:pPr>
      <w:r>
        <w:rPr>
          <w:rFonts w:hint="eastAsia" w:cs="宋体"/>
          <w:lang w:val="zh-CN"/>
        </w:rPr>
        <w:t>竞争性磋商</w:t>
      </w:r>
      <w:r>
        <w:rPr>
          <w:rFonts w:hint="eastAsia" w:cs="宋体"/>
        </w:rPr>
        <w:t>数据文件（Excel格式）包括以下内容：</w:t>
      </w:r>
    </w:p>
    <w:p w14:paraId="38DDF5FA">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第一部分  封面</w:t>
      </w:r>
    </w:p>
    <w:p w14:paraId="2DA87536">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第二部分  响应报价表（含明细）</w:t>
      </w:r>
    </w:p>
    <w:p w14:paraId="01AC8F73">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第三部分  评审对照表</w:t>
      </w:r>
    </w:p>
    <w:p w14:paraId="7ACDA421">
      <w:pPr>
        <w:pStyle w:val="44"/>
        <w:numPr>
          <w:ilvl w:val="0"/>
          <w:numId w:val="9"/>
        </w:numPr>
        <w:spacing w:line="360" w:lineRule="auto"/>
        <w:ind w:left="284" w:hanging="284" w:firstLineChars="0"/>
        <w:rPr>
          <w:b/>
          <w:szCs w:val="24"/>
          <w:lang w:val="zh-CN"/>
        </w:rPr>
      </w:pPr>
      <w:bookmarkStart w:id="149" w:name="_Toc102056190"/>
      <w:bookmarkStart w:id="150" w:name="_Toc102116124"/>
      <w:bookmarkStart w:id="151" w:name="_Toc102115994"/>
      <w:bookmarkStart w:id="152" w:name="_Toc102057690"/>
      <w:bookmarkStart w:id="153" w:name="_Toc102119825"/>
      <w:bookmarkStart w:id="154" w:name="_Toc102114892"/>
      <w:r>
        <w:rPr>
          <w:rFonts w:hint="eastAsia"/>
          <w:b/>
          <w:szCs w:val="24"/>
          <w:lang w:val="zh-CN"/>
        </w:rPr>
        <w:t>实物样品</w:t>
      </w:r>
    </w:p>
    <w:p w14:paraId="3B28D715">
      <w:pPr>
        <w:numPr>
          <w:ilvl w:val="0"/>
          <w:numId w:val="19"/>
        </w:numPr>
        <w:wordWrap w:val="0"/>
        <w:adjustRightInd w:val="0"/>
        <w:snapToGrid w:val="0"/>
        <w:spacing w:line="360" w:lineRule="auto"/>
        <w:ind w:left="567" w:hanging="567"/>
        <w:rPr>
          <w:szCs w:val="24"/>
          <w:lang w:val="zh-CN"/>
        </w:rPr>
      </w:pPr>
      <w:r>
        <w:rPr>
          <w:rFonts w:hint="eastAsia"/>
          <w:szCs w:val="24"/>
          <w:lang w:val="zh-CN"/>
        </w:rPr>
        <w:t>一般不得要求供应商提供样品，仅凭书面方式不能准确描述采购需求或者需要对样品进行主观判断以确认是否满足采购需求等特殊情况除外。是否提供样品</w:t>
      </w:r>
      <w:r>
        <w:rPr>
          <w:rFonts w:hint="eastAsia" w:cs="宋体"/>
          <w:bCs/>
          <w:szCs w:val="24"/>
          <w:lang w:val="zh-CN"/>
        </w:rPr>
        <w:t>详见</w:t>
      </w:r>
      <w:r>
        <w:rPr>
          <w:rFonts w:hint="eastAsia" w:cs="宋体"/>
          <w:b/>
          <w:bCs/>
          <w:szCs w:val="24"/>
          <w:lang w:val="zh-CN"/>
        </w:rPr>
        <w:t>“磋商须知前附表”</w:t>
      </w:r>
      <w:r>
        <w:rPr>
          <w:rFonts w:hint="eastAsia" w:cs="宋体"/>
          <w:bCs/>
          <w:szCs w:val="24"/>
          <w:lang w:val="zh-CN"/>
        </w:rPr>
        <w:t>的规定。</w:t>
      </w:r>
    </w:p>
    <w:p w14:paraId="486261BD">
      <w:pPr>
        <w:numPr>
          <w:ilvl w:val="0"/>
          <w:numId w:val="19"/>
        </w:numPr>
        <w:wordWrap w:val="0"/>
        <w:adjustRightInd w:val="0"/>
        <w:snapToGrid w:val="0"/>
        <w:spacing w:line="360" w:lineRule="auto"/>
        <w:ind w:left="567" w:hanging="567"/>
        <w:rPr>
          <w:szCs w:val="24"/>
          <w:lang w:val="zh-CN"/>
        </w:rPr>
      </w:pPr>
      <w:r>
        <w:rPr>
          <w:rFonts w:hint="eastAsia" w:cs="宋体"/>
          <w:bCs/>
          <w:szCs w:val="24"/>
          <w:lang w:val="zh-CN"/>
        </w:rPr>
        <w:t>要求提供样品的，</w:t>
      </w:r>
      <w:r>
        <w:rPr>
          <w:rFonts w:hint="eastAsia"/>
          <w:szCs w:val="24"/>
          <w:lang w:val="zh-CN"/>
        </w:rPr>
        <w:t>样品的具体要求及评审详见“第三章 采购需求”和“第四章 评审办法”。</w:t>
      </w:r>
    </w:p>
    <w:p w14:paraId="161871DE">
      <w:pPr>
        <w:numPr>
          <w:ilvl w:val="0"/>
          <w:numId w:val="19"/>
        </w:numPr>
        <w:wordWrap w:val="0"/>
        <w:adjustRightInd w:val="0"/>
        <w:snapToGrid w:val="0"/>
        <w:spacing w:line="360" w:lineRule="auto"/>
        <w:ind w:left="567" w:hanging="567"/>
        <w:rPr>
          <w:szCs w:val="24"/>
          <w:lang w:val="zh-CN"/>
        </w:rPr>
      </w:pPr>
      <w:r>
        <w:rPr>
          <w:rFonts w:hint="eastAsia" w:cs="宋体"/>
          <w:bCs/>
          <w:szCs w:val="24"/>
          <w:lang w:val="zh-CN"/>
        </w:rPr>
        <w:t>样品</w:t>
      </w:r>
      <w:r>
        <w:rPr>
          <w:rFonts w:hint="eastAsia"/>
          <w:szCs w:val="24"/>
          <w:lang w:val="zh-CN"/>
        </w:rPr>
        <w:t>退还：未成交的供应商应于成交结果公告发布之日起10日内自行联系采购人取回磋商样品；对于成交供应商提供的样品，采购人将按规定进行保管、封存，并作为履约验收的参考(竞争性磋商</w:t>
      </w:r>
      <w:r>
        <w:rPr>
          <w:szCs w:val="24"/>
          <w:lang w:val="zh-CN"/>
        </w:rPr>
        <w:t>文件另有规定的丛其规定</w:t>
      </w:r>
      <w:r>
        <w:rPr>
          <w:rFonts w:hint="eastAsia"/>
          <w:szCs w:val="24"/>
          <w:lang w:val="zh-CN"/>
        </w:rPr>
        <w:t>)。磋商样品制作、提交及退还所产生的一切费用由供应商自行承担。</w:t>
      </w:r>
    </w:p>
    <w:p w14:paraId="43CDE840">
      <w:pPr>
        <w:pStyle w:val="44"/>
        <w:numPr>
          <w:ilvl w:val="0"/>
          <w:numId w:val="9"/>
        </w:numPr>
        <w:spacing w:line="360" w:lineRule="auto"/>
        <w:ind w:left="284" w:hanging="284" w:firstLineChars="0"/>
        <w:rPr>
          <w:b/>
          <w:szCs w:val="24"/>
          <w:lang w:val="zh-CN"/>
        </w:rPr>
      </w:pPr>
      <w:r>
        <w:rPr>
          <w:rFonts w:hint="eastAsia"/>
          <w:b/>
          <w:szCs w:val="24"/>
          <w:lang w:val="zh-CN"/>
        </w:rPr>
        <w:t>项目演示</w:t>
      </w:r>
    </w:p>
    <w:p w14:paraId="42155DCE">
      <w:pPr>
        <w:numPr>
          <w:ilvl w:val="0"/>
          <w:numId w:val="20"/>
        </w:numPr>
        <w:wordWrap w:val="0"/>
        <w:adjustRightInd w:val="0"/>
        <w:snapToGrid w:val="0"/>
        <w:spacing w:line="360" w:lineRule="auto"/>
        <w:ind w:left="616" w:hanging="616"/>
        <w:rPr>
          <w:szCs w:val="24"/>
          <w:lang w:val="zh-CN"/>
        </w:rPr>
      </w:pPr>
      <w:r>
        <w:rPr>
          <w:rFonts w:hint="eastAsia"/>
          <w:szCs w:val="24"/>
          <w:lang w:val="zh-CN"/>
        </w:rPr>
        <w:t>一般不得要求供应商进行项目演示，仅凭书面方式不能准确描述采购需求或者需要进行项目演示主观判断以确认是否满足采购需求等特殊情况除外。是否进行项目演示及演示时间</w:t>
      </w:r>
      <w:r>
        <w:rPr>
          <w:rFonts w:hint="eastAsia" w:cs="宋体"/>
          <w:bCs/>
          <w:szCs w:val="24"/>
          <w:lang w:val="zh-CN"/>
        </w:rPr>
        <w:t>详见</w:t>
      </w:r>
      <w:r>
        <w:rPr>
          <w:rFonts w:hint="eastAsia" w:cs="宋体"/>
          <w:b/>
          <w:bCs/>
          <w:szCs w:val="24"/>
          <w:lang w:val="zh-CN"/>
        </w:rPr>
        <w:t>“磋商须知前附表”</w:t>
      </w:r>
      <w:r>
        <w:rPr>
          <w:rFonts w:hint="eastAsia" w:cs="宋体"/>
          <w:bCs/>
          <w:szCs w:val="24"/>
          <w:lang w:val="zh-CN"/>
        </w:rPr>
        <w:t>的规定。</w:t>
      </w:r>
    </w:p>
    <w:p w14:paraId="33C274D5">
      <w:pPr>
        <w:numPr>
          <w:ilvl w:val="0"/>
          <w:numId w:val="20"/>
        </w:numPr>
        <w:wordWrap w:val="0"/>
        <w:adjustRightInd w:val="0"/>
        <w:snapToGrid w:val="0"/>
        <w:spacing w:line="360" w:lineRule="auto"/>
        <w:ind w:left="616" w:hanging="616"/>
        <w:rPr>
          <w:szCs w:val="24"/>
          <w:lang w:val="zh-CN"/>
        </w:rPr>
      </w:pPr>
      <w:r>
        <w:rPr>
          <w:rFonts w:hint="eastAsia"/>
          <w:szCs w:val="24"/>
          <w:lang w:val="zh-CN"/>
        </w:rPr>
        <w:t>进行线上演示的，供应商应提前自行准备好演示的软硬配置环境和网络环境，做好演示的各项准备工作。因供应商自身原因无法演示或者演示效果不理想的，导致的后果由供应商自行承担。</w:t>
      </w:r>
    </w:p>
    <w:p w14:paraId="168F07FD">
      <w:pPr>
        <w:numPr>
          <w:ilvl w:val="0"/>
          <w:numId w:val="20"/>
        </w:numPr>
        <w:wordWrap w:val="0"/>
        <w:adjustRightInd w:val="0"/>
        <w:snapToGrid w:val="0"/>
        <w:spacing w:line="360" w:lineRule="auto"/>
        <w:ind w:left="616" w:hanging="616"/>
        <w:rPr>
          <w:szCs w:val="24"/>
          <w:lang w:val="zh-CN"/>
        </w:rPr>
      </w:pPr>
      <w:r>
        <w:rPr>
          <w:rFonts w:hint="eastAsia" w:cs="宋体"/>
          <w:bCs/>
          <w:szCs w:val="24"/>
          <w:lang w:val="zh-CN"/>
        </w:rPr>
        <w:t>进行</w:t>
      </w:r>
      <w:r>
        <w:rPr>
          <w:rFonts w:hint="eastAsia"/>
          <w:szCs w:val="24"/>
          <w:lang w:val="zh-CN"/>
        </w:rPr>
        <w:t>现场演示的，演示人员不得超过</w:t>
      </w:r>
      <w:r>
        <w:rPr>
          <w:rFonts w:hint="eastAsia"/>
          <w:b/>
          <w:szCs w:val="24"/>
          <w:lang w:val="zh-CN"/>
        </w:rPr>
        <w:t>3人</w:t>
      </w:r>
      <w:r>
        <w:rPr>
          <w:rFonts w:hint="eastAsia"/>
          <w:szCs w:val="24"/>
          <w:lang w:val="zh-CN"/>
        </w:rPr>
        <w:t>，演示现场只提供HDMI接口电视一台，其它设备和网络环境自备。</w:t>
      </w:r>
    </w:p>
    <w:p w14:paraId="64EF596C">
      <w:pPr>
        <w:numPr>
          <w:ilvl w:val="0"/>
          <w:numId w:val="20"/>
        </w:numPr>
        <w:wordWrap w:val="0"/>
        <w:adjustRightInd w:val="0"/>
        <w:snapToGrid w:val="0"/>
        <w:spacing w:line="360" w:lineRule="auto"/>
        <w:ind w:left="616" w:hanging="616"/>
        <w:rPr>
          <w:b/>
          <w:szCs w:val="24"/>
          <w:lang w:val="zh-CN"/>
        </w:rPr>
      </w:pPr>
      <w:r>
        <w:rPr>
          <w:rFonts w:hint="eastAsia"/>
          <w:szCs w:val="24"/>
          <w:lang w:val="zh-CN"/>
        </w:rPr>
        <w:t>项目演示顺序按磋商文件解密时间先后次序依次演示，演示的评审详见“第四章 评审办法”和“第三章 采购需求”。</w:t>
      </w:r>
    </w:p>
    <w:p w14:paraId="69502AA5">
      <w:pPr>
        <w:pStyle w:val="44"/>
        <w:numPr>
          <w:ilvl w:val="0"/>
          <w:numId w:val="9"/>
        </w:numPr>
        <w:spacing w:line="360" w:lineRule="auto"/>
        <w:ind w:left="284" w:hanging="284" w:firstLineChars="0"/>
        <w:rPr>
          <w:b/>
          <w:szCs w:val="24"/>
          <w:lang w:val="zh-CN"/>
        </w:rPr>
      </w:pPr>
      <w:bookmarkStart w:id="155" w:name="_Toc102119833"/>
      <w:bookmarkStart w:id="156" w:name="_Toc102057698"/>
      <w:bookmarkStart w:id="157" w:name="_Toc102116132"/>
      <w:bookmarkStart w:id="158" w:name="_Toc102056198"/>
      <w:bookmarkStart w:id="159" w:name="_Toc102114900"/>
      <w:bookmarkStart w:id="160" w:name="_Toc102116002"/>
      <w:r>
        <w:rPr>
          <w:rFonts w:hint="eastAsia"/>
          <w:b/>
          <w:szCs w:val="24"/>
          <w:lang w:val="zh-CN"/>
        </w:rPr>
        <w:t>合同分包</w:t>
      </w:r>
      <w:bookmarkEnd w:id="155"/>
      <w:bookmarkEnd w:id="156"/>
      <w:bookmarkEnd w:id="157"/>
      <w:bookmarkEnd w:id="158"/>
      <w:bookmarkEnd w:id="159"/>
      <w:bookmarkEnd w:id="160"/>
    </w:p>
    <w:p w14:paraId="33DBFCCF">
      <w:pPr>
        <w:pStyle w:val="44"/>
        <w:numPr>
          <w:ilvl w:val="0"/>
          <w:numId w:val="21"/>
        </w:numPr>
        <w:wordWrap w:val="0"/>
        <w:adjustRightInd w:val="0"/>
        <w:snapToGrid w:val="0"/>
        <w:spacing w:line="360" w:lineRule="auto"/>
        <w:ind w:hanging="660" w:firstLineChars="0"/>
        <w:rPr>
          <w:rFonts w:cs="宋体"/>
          <w:szCs w:val="24"/>
          <w:lang w:val="zh-CN"/>
        </w:rPr>
      </w:pPr>
      <w:r>
        <w:rPr>
          <w:rFonts w:hint="eastAsia" w:cs="宋体"/>
          <w:bCs/>
          <w:szCs w:val="24"/>
          <w:lang w:val="zh-CN"/>
        </w:rPr>
        <w:t>允许或要求成交后合同分包的，详见“第一章 磋商邀请”，</w:t>
      </w:r>
      <w:r>
        <w:rPr>
          <w:rFonts w:cs="宋体"/>
          <w:bCs/>
          <w:szCs w:val="24"/>
          <w:lang w:val="zh-CN"/>
        </w:rPr>
        <w:t>分包承担主体不得再次分包</w:t>
      </w:r>
      <w:r>
        <w:rPr>
          <w:rFonts w:hint="eastAsia" w:cs="宋体"/>
          <w:bCs/>
          <w:szCs w:val="24"/>
          <w:lang w:val="zh-CN"/>
        </w:rPr>
        <w:t>。</w:t>
      </w:r>
    </w:p>
    <w:p w14:paraId="7F23FD60">
      <w:pPr>
        <w:pStyle w:val="44"/>
        <w:numPr>
          <w:ilvl w:val="0"/>
          <w:numId w:val="21"/>
        </w:numPr>
        <w:wordWrap w:val="0"/>
        <w:adjustRightInd w:val="0"/>
        <w:snapToGrid w:val="0"/>
        <w:spacing w:line="360" w:lineRule="auto"/>
        <w:ind w:hanging="660" w:firstLineChars="0"/>
        <w:rPr>
          <w:rFonts w:cs="宋体"/>
          <w:szCs w:val="24"/>
          <w:lang w:val="zh-CN"/>
        </w:rPr>
      </w:pPr>
      <w:r>
        <w:rPr>
          <w:rFonts w:hint="eastAsia" w:cs="宋体"/>
          <w:bCs/>
          <w:szCs w:val="24"/>
          <w:lang w:val="zh-CN"/>
        </w:rPr>
        <w:t>拟成交后合同分包的，应提供分包意向协议书。</w:t>
      </w:r>
    </w:p>
    <w:p w14:paraId="7F5DB0F8">
      <w:pPr>
        <w:pStyle w:val="44"/>
        <w:numPr>
          <w:ilvl w:val="0"/>
          <w:numId w:val="21"/>
        </w:numPr>
        <w:wordWrap w:val="0"/>
        <w:adjustRightInd w:val="0"/>
        <w:snapToGrid w:val="0"/>
        <w:spacing w:line="360" w:lineRule="auto"/>
        <w:ind w:hanging="660" w:firstLineChars="0"/>
        <w:rPr>
          <w:rFonts w:cs="宋体"/>
          <w:szCs w:val="24"/>
          <w:lang w:val="zh-CN"/>
        </w:rPr>
      </w:pPr>
      <w:r>
        <w:rPr>
          <w:rFonts w:hint="eastAsia" w:cs="宋体"/>
          <w:szCs w:val="24"/>
          <w:lang w:val="zh-CN"/>
        </w:rPr>
        <w:t>享受中小企业扶持政策获得政府采购合同的，小微企业不得将合同分包给大中型企业，中型企业不得将合同分包给大型企业。</w:t>
      </w:r>
    </w:p>
    <w:p w14:paraId="1DD1BA62">
      <w:pPr>
        <w:pStyle w:val="44"/>
        <w:numPr>
          <w:ilvl w:val="0"/>
          <w:numId w:val="21"/>
        </w:numPr>
        <w:wordWrap w:val="0"/>
        <w:adjustRightInd w:val="0"/>
        <w:snapToGrid w:val="0"/>
        <w:spacing w:line="360" w:lineRule="auto"/>
        <w:ind w:hanging="660" w:firstLineChars="0"/>
        <w:rPr>
          <w:rFonts w:cs="宋体"/>
          <w:szCs w:val="24"/>
          <w:lang w:val="zh-CN"/>
        </w:rPr>
      </w:pPr>
      <w:r>
        <w:rPr>
          <w:rFonts w:hint="eastAsia" w:cs="宋体"/>
          <w:bCs/>
          <w:szCs w:val="24"/>
          <w:lang w:val="zh-CN"/>
        </w:rPr>
        <w:t>竞争性磋商文件</w:t>
      </w:r>
      <w:r>
        <w:rPr>
          <w:rFonts w:hint="eastAsia" w:cs="宋体"/>
          <w:b/>
          <w:bCs/>
          <w:szCs w:val="24"/>
          <w:lang w:val="zh-CN"/>
        </w:rPr>
        <w:t>未载明</w:t>
      </w:r>
      <w:r>
        <w:rPr>
          <w:rFonts w:hint="eastAsia" w:cs="宋体"/>
          <w:bCs/>
          <w:szCs w:val="24"/>
          <w:lang w:val="zh-CN"/>
        </w:rPr>
        <w:t>合同分包的，不得进行合同分包，否则应承担相应的法律责任。</w:t>
      </w:r>
    </w:p>
    <w:p w14:paraId="580667AC">
      <w:pPr>
        <w:pStyle w:val="44"/>
        <w:numPr>
          <w:ilvl w:val="0"/>
          <w:numId w:val="9"/>
        </w:numPr>
        <w:spacing w:line="360" w:lineRule="auto"/>
        <w:ind w:left="284" w:hanging="284" w:firstLineChars="0"/>
        <w:rPr>
          <w:b/>
          <w:szCs w:val="24"/>
          <w:lang w:val="zh-CN"/>
        </w:rPr>
      </w:pPr>
      <w:r>
        <w:rPr>
          <w:rFonts w:hint="eastAsia"/>
          <w:b/>
          <w:szCs w:val="24"/>
          <w:lang w:val="zh-CN"/>
        </w:rPr>
        <w:t>竞争性磋商文件的澄清或修改</w:t>
      </w:r>
      <w:bookmarkEnd w:id="149"/>
      <w:bookmarkEnd w:id="150"/>
      <w:bookmarkEnd w:id="151"/>
      <w:bookmarkEnd w:id="152"/>
      <w:bookmarkEnd w:id="153"/>
      <w:bookmarkEnd w:id="154"/>
    </w:p>
    <w:p w14:paraId="7CF114BF">
      <w:pPr>
        <w:numPr>
          <w:ilvl w:val="0"/>
          <w:numId w:val="22"/>
        </w:numPr>
        <w:wordWrap w:val="0"/>
        <w:adjustRightInd w:val="0"/>
        <w:snapToGrid w:val="0"/>
        <w:spacing w:line="360" w:lineRule="auto"/>
        <w:ind w:left="567" w:hanging="567"/>
        <w:rPr>
          <w:szCs w:val="24"/>
          <w:lang w:val="zh-CN"/>
        </w:rPr>
      </w:pPr>
      <w:r>
        <w:rPr>
          <w:rFonts w:hint="eastAsia"/>
          <w:szCs w:val="24"/>
          <w:lang w:val="zh-CN"/>
        </w:rPr>
        <w:t>澄清或修改：集中采购机构和采购人可以对已发出的竞争性磋商文件进行必要的澄清或者修改，澄清或者修改内容将在原公告发布媒体上发布更正公告。澄清或者修改的内容是竞争性磋商文件的组成部分，潜在供应商应按</w:t>
      </w:r>
      <w:r>
        <w:rPr>
          <w:rFonts w:hint="eastAsia"/>
          <w:b/>
          <w:szCs w:val="24"/>
          <w:lang w:val="zh-CN"/>
        </w:rPr>
        <w:t xml:space="preserve"> “磋商须知前附表”</w:t>
      </w:r>
      <w:r>
        <w:rPr>
          <w:rFonts w:hint="eastAsia"/>
          <w:szCs w:val="24"/>
          <w:lang w:val="zh-CN"/>
        </w:rPr>
        <w:t>的要求及时关注更正公告的内容。</w:t>
      </w:r>
    </w:p>
    <w:p w14:paraId="2153A2DA">
      <w:pPr>
        <w:numPr>
          <w:ilvl w:val="0"/>
          <w:numId w:val="22"/>
        </w:numPr>
        <w:wordWrap w:val="0"/>
        <w:adjustRightInd w:val="0"/>
        <w:snapToGrid w:val="0"/>
        <w:spacing w:line="360" w:lineRule="auto"/>
        <w:ind w:left="567" w:hanging="567"/>
        <w:rPr>
          <w:szCs w:val="24"/>
          <w:lang w:val="zh-CN"/>
        </w:rPr>
      </w:pPr>
      <w:r>
        <w:rPr>
          <w:rFonts w:hint="eastAsia"/>
          <w:szCs w:val="24"/>
          <w:lang w:val="zh-CN"/>
        </w:rPr>
        <w:t>澄清或者修改的内容可能影响磋商文件编制且距磋商截止时间不足</w:t>
      </w:r>
      <w:r>
        <w:rPr>
          <w:szCs w:val="24"/>
          <w:lang w:val="zh-CN"/>
        </w:rPr>
        <w:t>3</w:t>
      </w:r>
      <w:r>
        <w:rPr>
          <w:rFonts w:hint="eastAsia"/>
          <w:szCs w:val="24"/>
          <w:lang w:val="zh-CN"/>
        </w:rPr>
        <w:t>日的，应当延长提交磋商文件的截止时间。</w:t>
      </w:r>
    </w:p>
    <w:p w14:paraId="64B639E1">
      <w:pPr>
        <w:pStyle w:val="44"/>
        <w:numPr>
          <w:ilvl w:val="0"/>
          <w:numId w:val="9"/>
        </w:numPr>
        <w:spacing w:line="360" w:lineRule="auto"/>
        <w:ind w:left="284" w:hanging="284" w:firstLineChars="0"/>
        <w:rPr>
          <w:b/>
          <w:szCs w:val="24"/>
          <w:lang w:val="zh-CN"/>
        </w:rPr>
      </w:pPr>
      <w:bookmarkStart w:id="161" w:name="_Toc102056191"/>
      <w:bookmarkStart w:id="162" w:name="_Toc102116125"/>
      <w:bookmarkStart w:id="163" w:name="_Toc102057691"/>
      <w:bookmarkStart w:id="164" w:name="_Toc102119826"/>
      <w:bookmarkStart w:id="165" w:name="_Toc102114893"/>
      <w:bookmarkStart w:id="166" w:name="_Toc102115995"/>
      <w:r>
        <w:rPr>
          <w:rFonts w:hint="eastAsia"/>
          <w:b/>
          <w:szCs w:val="24"/>
          <w:lang w:val="zh-CN"/>
        </w:rPr>
        <w:t>现场考察或磋商前答疑</w:t>
      </w:r>
      <w:bookmarkEnd w:id="161"/>
      <w:bookmarkEnd w:id="162"/>
      <w:bookmarkEnd w:id="163"/>
      <w:bookmarkEnd w:id="164"/>
      <w:bookmarkEnd w:id="165"/>
      <w:bookmarkEnd w:id="166"/>
    </w:p>
    <w:p w14:paraId="12EA4A16">
      <w:pPr>
        <w:numPr>
          <w:ilvl w:val="0"/>
          <w:numId w:val="23"/>
        </w:numPr>
        <w:wordWrap w:val="0"/>
        <w:adjustRightInd w:val="0"/>
        <w:snapToGrid w:val="0"/>
        <w:spacing w:line="360" w:lineRule="auto"/>
        <w:ind w:left="616" w:hanging="616"/>
        <w:rPr>
          <w:lang w:val="zh-CN"/>
        </w:rPr>
      </w:pPr>
      <w:r>
        <w:rPr>
          <w:rFonts w:hint="eastAsia"/>
          <w:lang w:val="zh-CN"/>
        </w:rPr>
        <w:t>现场考察或磋商前答疑：详见</w:t>
      </w:r>
      <w:r>
        <w:rPr>
          <w:rFonts w:hint="eastAsia"/>
          <w:b/>
          <w:szCs w:val="24"/>
          <w:lang w:val="zh-CN"/>
        </w:rPr>
        <w:t>“磋商须知前附表”</w:t>
      </w:r>
      <w:r>
        <w:rPr>
          <w:rFonts w:hint="eastAsia"/>
          <w:lang w:val="zh-CN"/>
        </w:rPr>
        <w:t>规定。组织现场考察或召开磋商前答疑会的，潜在供应商按要求及时参加。</w:t>
      </w:r>
      <w:r>
        <w:rPr>
          <w:lang w:val="zh-CN"/>
        </w:rPr>
        <w:t xml:space="preserve"> </w:t>
      </w:r>
    </w:p>
    <w:p w14:paraId="70522DDA">
      <w:pPr>
        <w:numPr>
          <w:ilvl w:val="0"/>
          <w:numId w:val="23"/>
        </w:numPr>
        <w:wordWrap w:val="0"/>
        <w:adjustRightInd w:val="0"/>
        <w:snapToGrid w:val="0"/>
        <w:spacing w:line="360" w:lineRule="auto"/>
        <w:ind w:left="616" w:hanging="616"/>
        <w:rPr>
          <w:lang w:val="zh-CN"/>
        </w:rPr>
      </w:pPr>
      <w:r>
        <w:rPr>
          <w:rFonts w:hint="eastAsia"/>
          <w:lang w:val="zh-CN"/>
        </w:rPr>
        <w:t>现场考察获取的有关编制磋商文件和签署合同所涉及现场的数据和资料，是采购人现有的能被潜在供应商利用的客观资料，采购人对潜在供应商依此作出的任何推论、理解和结论均不负责任。</w:t>
      </w:r>
    </w:p>
    <w:p w14:paraId="68265CC3">
      <w:pPr>
        <w:numPr>
          <w:ilvl w:val="0"/>
          <w:numId w:val="23"/>
        </w:numPr>
        <w:wordWrap w:val="0"/>
        <w:adjustRightInd w:val="0"/>
        <w:snapToGrid w:val="0"/>
        <w:spacing w:line="360" w:lineRule="auto"/>
        <w:ind w:left="616" w:hanging="616"/>
        <w:rPr>
          <w:lang w:val="zh-CN"/>
        </w:rPr>
      </w:pPr>
      <w:r>
        <w:rPr>
          <w:rFonts w:hint="eastAsia"/>
          <w:lang w:val="zh-CN"/>
        </w:rPr>
        <w:t>磋商前答疑会涉及竞争性磋商文件内容有澄清、修改的，以发布的更正公告内容为准。</w:t>
      </w:r>
    </w:p>
    <w:p w14:paraId="32E8FF4D">
      <w:pPr>
        <w:numPr>
          <w:ilvl w:val="0"/>
          <w:numId w:val="23"/>
        </w:numPr>
        <w:wordWrap w:val="0"/>
        <w:adjustRightInd w:val="0"/>
        <w:snapToGrid w:val="0"/>
        <w:spacing w:line="360" w:lineRule="auto"/>
        <w:ind w:left="616" w:hanging="616"/>
        <w:rPr>
          <w:lang w:val="zh-CN"/>
        </w:rPr>
      </w:pPr>
      <w:r>
        <w:rPr>
          <w:rFonts w:hint="eastAsia"/>
          <w:lang w:val="zh-CN"/>
        </w:rPr>
        <w:t>潜在供应商参加现场考察或磋商前答疑会的，不得因此使采购人承担有关责任和蒙受损失。潜在供应商应自行承担参加现场考察或磋商前答疑会的全部费用、责任和风险。</w:t>
      </w:r>
    </w:p>
    <w:p w14:paraId="38ED53BB">
      <w:pPr>
        <w:pStyle w:val="4"/>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167" w:name="_Toc122527528"/>
      <w:bookmarkStart w:id="168" w:name="_Toc117244352"/>
      <w:bookmarkStart w:id="169" w:name="_Toc117244467"/>
      <w:r>
        <w:rPr>
          <w:rFonts w:hint="eastAsia" w:ascii="宋体" w:hAnsi="宋体" w:eastAsia="宋体" w:cs="Times New Roman"/>
          <w:bCs w:val="0"/>
          <w:sz w:val="28"/>
          <w:szCs w:val="28"/>
          <w:lang w:val="zh-CN"/>
        </w:rPr>
        <w:t>响应文件</w:t>
      </w:r>
      <w:bookmarkEnd w:id="167"/>
      <w:bookmarkEnd w:id="168"/>
      <w:bookmarkEnd w:id="169"/>
    </w:p>
    <w:p w14:paraId="532C456A">
      <w:pPr>
        <w:pStyle w:val="44"/>
        <w:numPr>
          <w:ilvl w:val="0"/>
          <w:numId w:val="9"/>
        </w:numPr>
        <w:spacing w:line="360" w:lineRule="auto"/>
        <w:ind w:left="284" w:hanging="284" w:firstLineChars="0"/>
        <w:rPr>
          <w:b/>
          <w:szCs w:val="24"/>
          <w:lang w:val="zh-CN"/>
        </w:rPr>
      </w:pPr>
      <w:bookmarkStart w:id="170" w:name="_Toc102116127"/>
      <w:bookmarkStart w:id="171" w:name="_Toc102119828"/>
      <w:bookmarkStart w:id="172" w:name="_Toc102115997"/>
      <w:bookmarkStart w:id="173" w:name="_Toc102056193"/>
      <w:bookmarkStart w:id="174" w:name="_Toc102114895"/>
      <w:bookmarkStart w:id="175" w:name="_Toc102057693"/>
      <w:r>
        <w:rPr>
          <w:rFonts w:hint="eastAsia"/>
          <w:b/>
          <w:szCs w:val="24"/>
          <w:lang w:val="zh-CN"/>
        </w:rPr>
        <w:t>响应文件</w:t>
      </w:r>
      <w:bookmarkEnd w:id="170"/>
      <w:bookmarkEnd w:id="171"/>
      <w:bookmarkEnd w:id="172"/>
      <w:bookmarkEnd w:id="173"/>
      <w:bookmarkEnd w:id="174"/>
      <w:bookmarkEnd w:id="175"/>
      <w:r>
        <w:rPr>
          <w:rFonts w:hint="eastAsia"/>
          <w:b/>
          <w:szCs w:val="24"/>
          <w:lang w:val="zh-CN"/>
        </w:rPr>
        <w:t>组成</w:t>
      </w:r>
    </w:p>
    <w:p w14:paraId="736B73FF">
      <w:pPr>
        <w:pStyle w:val="44"/>
        <w:numPr>
          <w:ilvl w:val="0"/>
          <w:numId w:val="24"/>
        </w:numPr>
        <w:tabs>
          <w:tab w:val="left" w:pos="567"/>
        </w:tabs>
        <w:wordWrap w:val="0"/>
        <w:adjustRightInd w:val="0"/>
        <w:snapToGrid w:val="0"/>
        <w:spacing w:line="360" w:lineRule="auto"/>
        <w:ind w:firstLineChars="0"/>
        <w:rPr>
          <w:rFonts w:cs="宋体"/>
          <w:szCs w:val="24"/>
          <w:lang w:val="zh-CN"/>
        </w:rPr>
      </w:pPr>
      <w:r>
        <w:rPr>
          <w:rFonts w:hint="eastAsia" w:cs="宋体"/>
          <w:szCs w:val="24"/>
          <w:lang w:val="zh-CN"/>
        </w:rPr>
        <w:t>响应文件由响应文件（PDF格式）和响应数据文件（</w:t>
      </w:r>
      <w:r>
        <w:rPr>
          <w:rFonts w:cs="宋体"/>
          <w:szCs w:val="24"/>
          <w:lang w:val="zh-CN"/>
        </w:rPr>
        <w:t>PDF</w:t>
      </w:r>
      <w:r>
        <w:rPr>
          <w:rFonts w:hint="eastAsia" w:cs="宋体"/>
          <w:szCs w:val="24"/>
          <w:lang w:val="zh-CN"/>
        </w:rPr>
        <w:t>格式）组成。</w:t>
      </w:r>
    </w:p>
    <w:p w14:paraId="4E304B3D">
      <w:pPr>
        <w:pStyle w:val="44"/>
        <w:numPr>
          <w:ilvl w:val="0"/>
          <w:numId w:val="24"/>
        </w:numPr>
        <w:tabs>
          <w:tab w:val="left" w:pos="567"/>
        </w:tabs>
        <w:wordWrap w:val="0"/>
        <w:adjustRightInd w:val="0"/>
        <w:snapToGrid w:val="0"/>
        <w:spacing w:line="360" w:lineRule="auto"/>
        <w:ind w:firstLineChars="0"/>
        <w:rPr>
          <w:rFonts w:cs="宋体"/>
          <w:szCs w:val="24"/>
          <w:lang w:val="zh-CN"/>
        </w:rPr>
      </w:pPr>
      <w:r>
        <w:rPr>
          <w:rFonts w:hint="eastAsia" w:cs="宋体"/>
          <w:szCs w:val="24"/>
          <w:lang w:val="zh-CN"/>
        </w:rPr>
        <w:t>响应文件（PDF格式）详见“第六章</w:t>
      </w:r>
      <w:r>
        <w:rPr>
          <w:rFonts w:cs="宋体"/>
          <w:szCs w:val="24"/>
          <w:lang w:val="zh-CN"/>
        </w:rPr>
        <w:t xml:space="preserve"> 响应文件格式”</w:t>
      </w:r>
    </w:p>
    <w:p w14:paraId="14934EB0">
      <w:pPr>
        <w:pStyle w:val="44"/>
        <w:numPr>
          <w:ilvl w:val="0"/>
          <w:numId w:val="24"/>
        </w:numPr>
        <w:tabs>
          <w:tab w:val="left" w:pos="567"/>
        </w:tabs>
        <w:wordWrap w:val="0"/>
        <w:adjustRightInd w:val="0"/>
        <w:snapToGrid w:val="0"/>
        <w:spacing w:line="360" w:lineRule="auto"/>
        <w:ind w:firstLineChars="0"/>
        <w:rPr>
          <w:rFonts w:cs="宋体"/>
          <w:szCs w:val="24"/>
          <w:lang w:val="zh-CN"/>
        </w:rPr>
      </w:pPr>
      <w:r>
        <w:rPr>
          <w:rFonts w:hint="eastAsia" w:cs="宋体"/>
          <w:szCs w:val="24"/>
          <w:lang w:val="zh-CN"/>
        </w:rPr>
        <w:t>响应数据文件（</w:t>
      </w:r>
      <w:r>
        <w:rPr>
          <w:rFonts w:cs="宋体"/>
          <w:szCs w:val="24"/>
          <w:lang w:val="zh-CN"/>
        </w:rPr>
        <w:t>PDF</w:t>
      </w:r>
      <w:r>
        <w:rPr>
          <w:rFonts w:hint="eastAsia" w:cs="宋体"/>
          <w:szCs w:val="24"/>
          <w:lang w:val="zh-CN"/>
        </w:rPr>
        <w:t>格式）包括以下内容：</w:t>
      </w:r>
    </w:p>
    <w:p w14:paraId="5CE5D86F">
      <w:pPr>
        <w:wordWrap w:val="0"/>
        <w:adjustRightInd w:val="0"/>
        <w:snapToGrid w:val="0"/>
        <w:spacing w:line="360" w:lineRule="auto"/>
        <w:ind w:left="1742" w:leftChars="279" w:hanging="1072" w:hangingChars="447"/>
        <w:rPr>
          <w:rFonts w:cs="宋体"/>
          <w:szCs w:val="24"/>
          <w:lang w:val="zh-CN"/>
        </w:rPr>
      </w:pPr>
      <w:r>
        <w:rPr>
          <w:rFonts w:hint="eastAsia" w:cs="宋体"/>
          <w:szCs w:val="24"/>
          <w:lang w:val="zh-CN"/>
        </w:rPr>
        <w:t>第一部分  封面</w:t>
      </w:r>
    </w:p>
    <w:p w14:paraId="00CFB628">
      <w:pPr>
        <w:wordWrap w:val="0"/>
        <w:adjustRightInd w:val="0"/>
        <w:snapToGrid w:val="0"/>
        <w:spacing w:line="360" w:lineRule="auto"/>
        <w:ind w:left="1742" w:leftChars="279" w:hanging="1072" w:hangingChars="447"/>
        <w:rPr>
          <w:rFonts w:cs="宋体"/>
          <w:szCs w:val="24"/>
          <w:lang w:val="zh-CN"/>
        </w:rPr>
      </w:pPr>
      <w:r>
        <w:rPr>
          <w:rFonts w:hint="eastAsia" w:cs="宋体"/>
          <w:szCs w:val="24"/>
          <w:lang w:val="zh-CN"/>
        </w:rPr>
        <w:t>第二部分  响应报价表（含明细）</w:t>
      </w:r>
    </w:p>
    <w:p w14:paraId="5321EFBF">
      <w:pPr>
        <w:wordWrap w:val="0"/>
        <w:adjustRightInd w:val="0"/>
        <w:snapToGrid w:val="0"/>
        <w:spacing w:line="360" w:lineRule="auto"/>
        <w:ind w:left="1742" w:leftChars="279" w:hanging="1072" w:hangingChars="447"/>
        <w:rPr>
          <w:rFonts w:cs="宋体"/>
          <w:szCs w:val="24"/>
          <w:lang w:val="zh-CN"/>
        </w:rPr>
      </w:pPr>
      <w:r>
        <w:rPr>
          <w:rFonts w:hint="eastAsia" w:cs="宋体"/>
          <w:szCs w:val="24"/>
          <w:lang w:val="zh-CN"/>
        </w:rPr>
        <w:t>第三部分  评审对照表</w:t>
      </w:r>
    </w:p>
    <w:p w14:paraId="04B51BA0">
      <w:pPr>
        <w:pStyle w:val="44"/>
        <w:numPr>
          <w:ilvl w:val="0"/>
          <w:numId w:val="9"/>
        </w:numPr>
        <w:spacing w:line="360" w:lineRule="auto"/>
        <w:ind w:left="284" w:hanging="284" w:firstLineChars="0"/>
        <w:rPr>
          <w:b/>
          <w:szCs w:val="24"/>
          <w:lang w:val="zh-CN"/>
        </w:rPr>
      </w:pPr>
      <w:bookmarkStart w:id="176" w:name="_Toc102057694"/>
      <w:bookmarkStart w:id="177" w:name="_Toc102119829"/>
      <w:bookmarkStart w:id="178" w:name="_Toc102114896"/>
      <w:bookmarkStart w:id="179" w:name="_Toc102115998"/>
      <w:bookmarkStart w:id="180" w:name="_Toc102056194"/>
      <w:bookmarkStart w:id="181" w:name="_Toc102116128"/>
      <w:r>
        <w:rPr>
          <w:rFonts w:hint="eastAsia"/>
          <w:b/>
          <w:szCs w:val="24"/>
          <w:lang w:val="zh-CN"/>
        </w:rPr>
        <w:t>响应文件编制</w:t>
      </w:r>
      <w:bookmarkEnd w:id="176"/>
      <w:bookmarkEnd w:id="177"/>
      <w:bookmarkEnd w:id="178"/>
      <w:bookmarkEnd w:id="179"/>
      <w:bookmarkEnd w:id="180"/>
      <w:bookmarkEnd w:id="181"/>
    </w:p>
    <w:p w14:paraId="6052F6AB">
      <w:pPr>
        <w:numPr>
          <w:ilvl w:val="0"/>
          <w:numId w:val="25"/>
        </w:numPr>
        <w:wordWrap w:val="0"/>
        <w:adjustRightInd w:val="0"/>
        <w:snapToGrid w:val="0"/>
        <w:spacing w:line="360" w:lineRule="auto"/>
        <w:ind w:left="616" w:hanging="616"/>
        <w:rPr>
          <w:rFonts w:cs="宋体"/>
          <w:szCs w:val="24"/>
          <w:lang w:val="zh-CN"/>
        </w:rPr>
      </w:pPr>
      <w:r>
        <w:rPr>
          <w:rFonts w:hint="eastAsia" w:cs="宋体"/>
          <w:szCs w:val="24"/>
          <w:lang w:val="zh-CN"/>
        </w:rPr>
        <w:t>竞争性磋商项目划分采购包的，供应商应对应所投包段分别编制各包段的响应文件。</w:t>
      </w:r>
    </w:p>
    <w:p w14:paraId="3C50AB4E">
      <w:pPr>
        <w:numPr>
          <w:ilvl w:val="0"/>
          <w:numId w:val="25"/>
        </w:numPr>
        <w:wordWrap w:val="0"/>
        <w:adjustRightInd w:val="0"/>
        <w:snapToGrid w:val="0"/>
        <w:spacing w:line="360" w:lineRule="auto"/>
        <w:ind w:left="616" w:hanging="616"/>
        <w:rPr>
          <w:rFonts w:cs="宋体"/>
          <w:szCs w:val="24"/>
          <w:lang w:val="zh-CN"/>
        </w:rPr>
      </w:pPr>
      <w:r>
        <w:rPr>
          <w:rFonts w:hint="eastAsia" w:cs="宋体"/>
          <w:szCs w:val="24"/>
          <w:lang w:val="zh-CN"/>
        </w:rPr>
        <w:t>响应文件（PDF格式）应按“第六章 响应文件格式”的要求，先编写成Word格式，再通过电子采购平台转换成PDF格式。具体要求如下：</w:t>
      </w:r>
    </w:p>
    <w:p w14:paraId="7F209EE1">
      <w:pPr>
        <w:pStyle w:val="11"/>
        <w:tabs>
          <w:tab w:val="left" w:pos="1701"/>
        </w:tabs>
        <w:wordWrap w:val="0"/>
        <w:adjustRightInd w:val="0"/>
        <w:snapToGrid w:val="0"/>
        <w:spacing w:line="360" w:lineRule="auto"/>
        <w:ind w:firstLine="480" w:firstLineChars="200"/>
        <w:rPr>
          <w:lang w:val="zh-CN"/>
        </w:rPr>
      </w:pPr>
      <w:r>
        <w:rPr>
          <w:rFonts w:hint="eastAsia"/>
          <w:lang w:val="zh-CN"/>
        </w:rPr>
        <w:t>（1）响应文件页面纸张大小使用A4规格，所提供的资料应为清晰影印件；</w:t>
      </w:r>
    </w:p>
    <w:p w14:paraId="083B5116">
      <w:pPr>
        <w:pStyle w:val="11"/>
        <w:tabs>
          <w:tab w:val="left" w:pos="1701"/>
        </w:tabs>
        <w:wordWrap w:val="0"/>
        <w:adjustRightInd w:val="0"/>
        <w:snapToGrid w:val="0"/>
        <w:spacing w:line="360" w:lineRule="auto"/>
        <w:ind w:firstLine="480" w:firstLineChars="200"/>
        <w:rPr>
          <w:lang w:val="zh-CN"/>
        </w:rPr>
      </w:pPr>
      <w:r>
        <w:rPr>
          <w:rFonts w:hint="eastAsia"/>
          <w:lang w:val="zh-CN"/>
        </w:rPr>
        <w:t>（2）响应文件应编写详细目录，目录能链接到响应文件对应章节内容，且具有文档结构图；</w:t>
      </w:r>
    </w:p>
    <w:p w14:paraId="14A5BC5F">
      <w:pPr>
        <w:pStyle w:val="11"/>
        <w:tabs>
          <w:tab w:val="left" w:pos="1701"/>
        </w:tabs>
        <w:wordWrap w:val="0"/>
        <w:adjustRightInd w:val="0"/>
        <w:snapToGrid w:val="0"/>
        <w:spacing w:line="360" w:lineRule="auto"/>
        <w:ind w:firstLine="480" w:firstLineChars="200"/>
        <w:rPr>
          <w:lang w:val="zh-CN"/>
        </w:rPr>
      </w:pPr>
      <w:r>
        <w:rPr>
          <w:rFonts w:hint="eastAsia"/>
          <w:lang w:val="zh-CN"/>
        </w:rPr>
        <w:t>（3）响应文件页码必须连续，内容详尽、易于理解和审查；</w:t>
      </w:r>
    </w:p>
    <w:p w14:paraId="7879B91D">
      <w:pPr>
        <w:pStyle w:val="11"/>
        <w:tabs>
          <w:tab w:val="left" w:pos="1701"/>
        </w:tabs>
        <w:wordWrap w:val="0"/>
        <w:adjustRightInd w:val="0"/>
        <w:snapToGrid w:val="0"/>
        <w:spacing w:line="360" w:lineRule="auto"/>
        <w:ind w:firstLine="480" w:firstLineChars="200"/>
        <w:rPr>
          <w:lang w:val="zh-CN"/>
        </w:rPr>
      </w:pPr>
      <w:r>
        <w:rPr>
          <w:rFonts w:hint="eastAsia"/>
          <w:lang w:val="zh-CN"/>
        </w:rPr>
        <w:t>（4）</w:t>
      </w:r>
      <w:r>
        <w:rPr>
          <w:rFonts w:hint="eastAsia"/>
          <w:szCs w:val="24"/>
          <w:lang w:val="zh-CN"/>
        </w:rPr>
        <w:t>响应文件转换成PDF格式后也应满足上述要求，若未按上述要求编制响应文件的，导致的不利后果由供应商自行承担。</w:t>
      </w:r>
    </w:p>
    <w:p w14:paraId="7A9BFE90">
      <w:pPr>
        <w:numPr>
          <w:ilvl w:val="0"/>
          <w:numId w:val="25"/>
        </w:numPr>
        <w:wordWrap w:val="0"/>
        <w:adjustRightInd w:val="0"/>
        <w:snapToGrid w:val="0"/>
        <w:spacing w:line="360" w:lineRule="auto"/>
        <w:ind w:left="616" w:hanging="616"/>
        <w:rPr>
          <w:rFonts w:cs="宋体"/>
          <w:szCs w:val="24"/>
          <w:lang w:val="zh-CN"/>
        </w:rPr>
      </w:pPr>
      <w:r>
        <w:rPr>
          <w:rFonts w:hint="eastAsia" w:cs="宋体"/>
          <w:szCs w:val="24"/>
          <w:lang w:val="zh-CN"/>
        </w:rPr>
        <w:t>响应数据文件（</w:t>
      </w:r>
      <w:r>
        <w:rPr>
          <w:rFonts w:cs="宋体"/>
          <w:szCs w:val="24"/>
        </w:rPr>
        <w:t>PDF</w:t>
      </w:r>
      <w:r>
        <w:rPr>
          <w:rFonts w:hint="eastAsia" w:cs="宋体"/>
          <w:szCs w:val="24"/>
        </w:rPr>
        <w:t>格式</w:t>
      </w:r>
      <w:r>
        <w:rPr>
          <w:rFonts w:hint="eastAsia" w:cs="宋体"/>
          <w:szCs w:val="24"/>
          <w:lang w:val="zh-CN"/>
        </w:rPr>
        <w:t>）应先按竞争性磋商数据文件（Excel格式）的格式、内容及填写要求进行</w:t>
      </w:r>
      <w:r>
        <w:rPr>
          <w:rFonts w:hint="eastAsia" w:cs="宋体"/>
          <w:szCs w:val="24"/>
        </w:rPr>
        <w:t>编写</w:t>
      </w:r>
      <w:r>
        <w:rPr>
          <w:rFonts w:hint="eastAsia" w:cs="宋体"/>
          <w:szCs w:val="24"/>
          <w:lang w:val="zh-CN"/>
        </w:rPr>
        <w:t>，</w:t>
      </w:r>
      <w:r>
        <w:rPr>
          <w:rFonts w:hint="eastAsia" w:cs="宋体"/>
          <w:szCs w:val="24"/>
        </w:rPr>
        <w:t>并确保已充分覆盖了竞争性磋商文件《</w:t>
      </w:r>
      <w:r>
        <w:rPr>
          <w:rFonts w:hint="eastAsia" w:cs="宋体"/>
          <w:szCs w:val="24"/>
          <w:lang w:val="zh-CN"/>
        </w:rPr>
        <w:t>磋商一览表（含明细）</w:t>
      </w:r>
      <w:r>
        <w:rPr>
          <w:rFonts w:hint="eastAsia" w:cs="宋体"/>
          <w:szCs w:val="24"/>
        </w:rPr>
        <w:t>》</w:t>
      </w:r>
      <w:r>
        <w:rPr>
          <w:rFonts w:hint="eastAsia" w:cs="宋体"/>
          <w:szCs w:val="24"/>
          <w:lang w:val="zh-CN"/>
        </w:rPr>
        <w:t>、</w:t>
      </w:r>
      <w:r>
        <w:rPr>
          <w:rFonts w:hint="eastAsia" w:cs="宋体"/>
          <w:szCs w:val="24"/>
        </w:rPr>
        <w:t>《评审对照表》的内容，再通过电子采购平台转换成PDF格式</w:t>
      </w:r>
      <w:r>
        <w:rPr>
          <w:rFonts w:hint="eastAsia" w:cs="宋体"/>
          <w:szCs w:val="24"/>
          <w:lang w:val="zh-CN"/>
        </w:rPr>
        <w:t>。</w:t>
      </w:r>
    </w:p>
    <w:p w14:paraId="6B04B73E">
      <w:pPr>
        <w:numPr>
          <w:ilvl w:val="0"/>
          <w:numId w:val="25"/>
        </w:numPr>
        <w:wordWrap w:val="0"/>
        <w:adjustRightInd w:val="0"/>
        <w:snapToGrid w:val="0"/>
        <w:spacing w:line="360" w:lineRule="auto"/>
        <w:ind w:left="616" w:hanging="616"/>
        <w:rPr>
          <w:rFonts w:cs="宋体"/>
          <w:szCs w:val="24"/>
        </w:rPr>
      </w:pPr>
      <w:r>
        <w:rPr>
          <w:rFonts w:hint="eastAsia" w:cs="宋体"/>
          <w:szCs w:val="24"/>
          <w:lang w:val="zh-CN"/>
        </w:rPr>
        <w:t>为了</w:t>
      </w:r>
      <w:r>
        <w:rPr>
          <w:rFonts w:hint="eastAsia" w:cs="宋体"/>
          <w:szCs w:val="24"/>
        </w:rPr>
        <w:t>保证采购平台电子化处理效率，供应商在保证扫描件清晰可辨认（若无法辨认影响评审的，导致</w:t>
      </w:r>
      <w:r>
        <w:rPr>
          <w:rFonts w:cs="宋体"/>
          <w:szCs w:val="24"/>
        </w:rPr>
        <w:t>的后果</w:t>
      </w:r>
      <w:r>
        <w:rPr>
          <w:rFonts w:hint="eastAsia" w:cs="宋体"/>
          <w:szCs w:val="24"/>
        </w:rPr>
        <w:t>由供应商自行承担）的情况下，应尽量降低扫描分辨率，输出为JPG文件格式（以文字为主的文件扫描，建议最高200DPI；以图片为主且颜色丰富的文件，建议最高300DPI）。同时应尽可能降低响应文件的大小，小容量响应文件提交上传更快捷、差错发生几率少。</w:t>
      </w:r>
    </w:p>
    <w:p w14:paraId="4EEAFBCB">
      <w:pPr>
        <w:pStyle w:val="44"/>
        <w:numPr>
          <w:ilvl w:val="0"/>
          <w:numId w:val="25"/>
        </w:numPr>
        <w:wordWrap w:val="0"/>
        <w:adjustRightInd w:val="0"/>
        <w:snapToGrid w:val="0"/>
        <w:spacing w:line="360" w:lineRule="auto"/>
        <w:ind w:left="616" w:hanging="616" w:firstLineChars="0"/>
        <w:rPr>
          <w:rFonts w:cs="宋体"/>
          <w:szCs w:val="24"/>
        </w:rPr>
      </w:pPr>
      <w:r>
        <w:rPr>
          <w:rFonts w:hint="eastAsia" w:cs="宋体"/>
          <w:szCs w:val="24"/>
        </w:rPr>
        <w:t>供应商应对响应文件全部内容的真实性负责，若有虚假，将依法承担相应责任。</w:t>
      </w:r>
    </w:p>
    <w:p w14:paraId="6414E3A8">
      <w:pPr>
        <w:pStyle w:val="44"/>
        <w:numPr>
          <w:ilvl w:val="0"/>
          <w:numId w:val="9"/>
        </w:numPr>
        <w:spacing w:line="360" w:lineRule="auto"/>
        <w:ind w:left="284" w:hanging="284" w:firstLineChars="0"/>
        <w:rPr>
          <w:b/>
          <w:szCs w:val="24"/>
          <w:lang w:val="zh-CN"/>
        </w:rPr>
      </w:pPr>
      <w:bookmarkStart w:id="182" w:name="_Toc102057695"/>
      <w:bookmarkStart w:id="183" w:name="_Toc102056195"/>
      <w:bookmarkStart w:id="184" w:name="_Toc102115999"/>
      <w:bookmarkStart w:id="185" w:name="_Toc102119830"/>
      <w:bookmarkStart w:id="186" w:name="_Toc102116129"/>
      <w:bookmarkStart w:id="187" w:name="_Toc102114897"/>
      <w:r>
        <w:rPr>
          <w:rFonts w:hint="eastAsia"/>
          <w:b/>
          <w:szCs w:val="24"/>
          <w:lang w:val="zh-CN"/>
        </w:rPr>
        <w:t>响应文件的数量</w:t>
      </w:r>
    </w:p>
    <w:p w14:paraId="683E2428">
      <w:pPr>
        <w:wordWrap w:val="0"/>
        <w:adjustRightInd w:val="0"/>
        <w:snapToGrid w:val="0"/>
        <w:spacing w:line="360" w:lineRule="auto"/>
        <w:ind w:firstLine="480" w:firstLineChars="200"/>
        <w:rPr>
          <w:lang w:val="zh-CN"/>
        </w:rPr>
      </w:pPr>
      <w:r>
        <w:rPr>
          <w:rFonts w:hint="eastAsia" w:cs="宋体"/>
          <w:szCs w:val="24"/>
          <w:lang w:val="zh-CN"/>
        </w:rPr>
        <w:t>应按</w:t>
      </w:r>
      <w:r>
        <w:rPr>
          <w:rFonts w:hint="eastAsia" w:cs="宋体"/>
          <w:b/>
          <w:szCs w:val="24"/>
          <w:lang w:val="zh-CN"/>
        </w:rPr>
        <w:t xml:space="preserve"> “磋商须知前附表”</w:t>
      </w:r>
      <w:r>
        <w:rPr>
          <w:rFonts w:hint="eastAsia" w:cs="宋体"/>
          <w:szCs w:val="24"/>
          <w:lang w:val="zh-CN"/>
        </w:rPr>
        <w:t>中规定的份数编制响应文件。</w:t>
      </w:r>
    </w:p>
    <w:p w14:paraId="0BF334FA">
      <w:pPr>
        <w:pStyle w:val="44"/>
        <w:numPr>
          <w:ilvl w:val="0"/>
          <w:numId w:val="9"/>
        </w:numPr>
        <w:spacing w:line="360" w:lineRule="auto"/>
        <w:ind w:left="284" w:hanging="284" w:firstLineChars="0"/>
        <w:rPr>
          <w:b/>
          <w:szCs w:val="24"/>
          <w:lang w:val="zh-CN"/>
        </w:rPr>
      </w:pPr>
      <w:r>
        <w:rPr>
          <w:rFonts w:hint="eastAsia"/>
          <w:b/>
          <w:szCs w:val="24"/>
          <w:lang w:val="zh-CN"/>
        </w:rPr>
        <w:t>磋商报价</w:t>
      </w:r>
      <w:bookmarkEnd w:id="182"/>
      <w:bookmarkEnd w:id="183"/>
      <w:bookmarkEnd w:id="184"/>
      <w:bookmarkEnd w:id="185"/>
      <w:bookmarkEnd w:id="186"/>
      <w:bookmarkEnd w:id="187"/>
    </w:p>
    <w:p w14:paraId="571C2FAE">
      <w:pPr>
        <w:numPr>
          <w:ilvl w:val="0"/>
          <w:numId w:val="26"/>
        </w:numPr>
        <w:wordWrap w:val="0"/>
        <w:adjustRightInd w:val="0"/>
        <w:snapToGrid w:val="0"/>
        <w:spacing w:line="360" w:lineRule="auto"/>
        <w:ind w:left="616" w:hanging="616"/>
        <w:rPr>
          <w:rFonts w:cs="宋体"/>
          <w:szCs w:val="24"/>
          <w:lang w:val="zh-CN"/>
        </w:rPr>
      </w:pPr>
      <w:r>
        <w:rPr>
          <w:rFonts w:hint="eastAsia" w:cs="宋体"/>
          <w:szCs w:val="24"/>
          <w:lang w:val="zh-CN"/>
        </w:rPr>
        <w:t>应按照“第三章 采购需求”规定的货物（或服务）内容、责任范围以及合同条款进行报价。供应商的报价应包括完成本项目全部内容可能发生的全部费用（含税费、保险等），并在合同执行过程中是固定不变的，不得以任何理由予以变更。</w:t>
      </w:r>
    </w:p>
    <w:p w14:paraId="0495686A">
      <w:pPr>
        <w:numPr>
          <w:ilvl w:val="0"/>
          <w:numId w:val="26"/>
        </w:numPr>
        <w:wordWrap w:val="0"/>
        <w:adjustRightInd w:val="0"/>
        <w:snapToGrid w:val="0"/>
        <w:spacing w:line="360" w:lineRule="auto"/>
        <w:ind w:left="616" w:hanging="616"/>
        <w:rPr>
          <w:rFonts w:cs="宋体"/>
          <w:szCs w:val="24"/>
          <w:lang w:val="zh-CN"/>
        </w:rPr>
      </w:pPr>
      <w:r>
        <w:rPr>
          <w:rFonts w:hint="eastAsia" w:cs="宋体"/>
          <w:szCs w:val="24"/>
          <w:lang w:val="zh-CN"/>
        </w:rPr>
        <w:t>应对项目竞争性磋商范围内的全部内容进行报价，不得缺、漏项或只投其中部分内容，否则按照</w:t>
      </w:r>
      <w:r>
        <w:rPr>
          <w:rFonts w:hint="eastAsia" w:cs="宋体"/>
          <w:b/>
          <w:szCs w:val="24"/>
          <w:lang w:val="zh-CN"/>
        </w:rPr>
        <w:t>无效响应处理</w:t>
      </w:r>
      <w:r>
        <w:rPr>
          <w:rFonts w:hint="eastAsia" w:cs="宋体"/>
          <w:szCs w:val="24"/>
          <w:lang w:val="zh-CN"/>
        </w:rPr>
        <w:t>。</w:t>
      </w:r>
    </w:p>
    <w:p w14:paraId="1C789A0D">
      <w:pPr>
        <w:numPr>
          <w:ilvl w:val="0"/>
          <w:numId w:val="26"/>
        </w:numPr>
        <w:wordWrap w:val="0"/>
        <w:adjustRightInd w:val="0"/>
        <w:snapToGrid w:val="0"/>
        <w:spacing w:line="360" w:lineRule="auto"/>
        <w:ind w:left="616" w:hanging="616"/>
        <w:rPr>
          <w:rFonts w:cs="宋体"/>
          <w:szCs w:val="24"/>
          <w:lang w:val="zh-CN"/>
        </w:rPr>
      </w:pPr>
      <w:r>
        <w:rPr>
          <w:rFonts w:hint="eastAsia" w:cs="宋体"/>
          <w:szCs w:val="24"/>
          <w:lang w:val="zh-CN"/>
        </w:rPr>
        <w:t>磋商报价不得超过采购预算和最高限价，否则按照</w:t>
      </w:r>
      <w:r>
        <w:rPr>
          <w:rFonts w:hint="eastAsia" w:cs="宋体"/>
          <w:b/>
          <w:szCs w:val="24"/>
          <w:lang w:val="zh-CN"/>
        </w:rPr>
        <w:t>无效响应处理</w:t>
      </w:r>
      <w:r>
        <w:rPr>
          <w:rFonts w:hint="eastAsia" w:cs="宋体"/>
          <w:szCs w:val="24"/>
          <w:lang w:val="zh-CN"/>
        </w:rPr>
        <w:t>。</w:t>
      </w:r>
    </w:p>
    <w:p w14:paraId="11EBAB3B">
      <w:pPr>
        <w:pStyle w:val="44"/>
        <w:numPr>
          <w:ilvl w:val="0"/>
          <w:numId w:val="9"/>
        </w:numPr>
        <w:spacing w:line="360" w:lineRule="auto"/>
        <w:ind w:left="284" w:hanging="284" w:firstLineChars="0"/>
        <w:rPr>
          <w:b/>
          <w:szCs w:val="24"/>
          <w:lang w:val="zh-CN"/>
        </w:rPr>
      </w:pPr>
      <w:bookmarkStart w:id="188" w:name="_Toc102056199"/>
      <w:bookmarkStart w:id="189" w:name="_Toc102057699"/>
      <w:bookmarkStart w:id="190" w:name="_Toc102114901"/>
      <w:bookmarkStart w:id="191" w:name="_Toc102116003"/>
      <w:bookmarkStart w:id="192" w:name="_Toc102119834"/>
      <w:bookmarkStart w:id="193" w:name="_Toc102116133"/>
      <w:r>
        <w:rPr>
          <w:rFonts w:hint="eastAsia"/>
          <w:b/>
          <w:szCs w:val="24"/>
          <w:lang w:val="zh-CN"/>
        </w:rPr>
        <w:t>备选方案</w:t>
      </w:r>
      <w:bookmarkEnd w:id="188"/>
      <w:bookmarkEnd w:id="189"/>
      <w:bookmarkEnd w:id="190"/>
      <w:bookmarkEnd w:id="191"/>
      <w:bookmarkEnd w:id="192"/>
      <w:bookmarkEnd w:id="193"/>
    </w:p>
    <w:p w14:paraId="0FCB5ECC">
      <w:pPr>
        <w:wordWrap w:val="0"/>
        <w:adjustRightInd w:val="0"/>
        <w:snapToGrid w:val="0"/>
        <w:spacing w:line="360" w:lineRule="auto"/>
        <w:ind w:firstLine="480" w:firstLineChars="200"/>
        <w:rPr>
          <w:rFonts w:cs="宋体"/>
          <w:szCs w:val="24"/>
          <w:lang w:val="zh-CN"/>
        </w:rPr>
      </w:pPr>
      <w:r>
        <w:rPr>
          <w:rFonts w:hint="eastAsia" w:cs="宋体"/>
          <w:szCs w:val="24"/>
          <w:lang w:val="zh-CN"/>
        </w:rPr>
        <w:t>详见</w:t>
      </w:r>
      <w:r>
        <w:rPr>
          <w:rFonts w:hint="eastAsia"/>
          <w:b/>
          <w:szCs w:val="24"/>
          <w:lang w:val="zh-CN"/>
        </w:rPr>
        <w:t>“磋商须知前附表”</w:t>
      </w:r>
      <w:r>
        <w:rPr>
          <w:rFonts w:hint="eastAsia" w:cs="宋体"/>
          <w:szCs w:val="24"/>
          <w:lang w:val="zh-CN"/>
        </w:rPr>
        <w:t>的规定。未按要求提供的，按照</w:t>
      </w:r>
      <w:r>
        <w:rPr>
          <w:rFonts w:hint="eastAsia" w:cs="宋体"/>
          <w:b/>
          <w:szCs w:val="24"/>
          <w:lang w:val="zh-CN"/>
        </w:rPr>
        <w:t>无效响应处理</w:t>
      </w:r>
      <w:r>
        <w:rPr>
          <w:rFonts w:hint="eastAsia" w:cs="宋体"/>
          <w:szCs w:val="24"/>
          <w:lang w:val="zh-CN"/>
        </w:rPr>
        <w:t>。</w:t>
      </w:r>
    </w:p>
    <w:p w14:paraId="5E411C4C">
      <w:pPr>
        <w:pStyle w:val="44"/>
        <w:numPr>
          <w:ilvl w:val="0"/>
          <w:numId w:val="9"/>
        </w:numPr>
        <w:spacing w:line="360" w:lineRule="auto"/>
        <w:ind w:left="284" w:hanging="284" w:firstLineChars="0"/>
        <w:rPr>
          <w:b/>
          <w:szCs w:val="24"/>
          <w:lang w:val="zh-CN"/>
        </w:rPr>
      </w:pPr>
      <w:bookmarkStart w:id="194" w:name="_Toc102116005"/>
      <w:bookmarkStart w:id="195" w:name="_Toc102116135"/>
      <w:bookmarkStart w:id="196" w:name="_Toc102114903"/>
      <w:bookmarkStart w:id="197" w:name="_Toc102056201"/>
      <w:bookmarkStart w:id="198" w:name="_Toc102119836"/>
      <w:bookmarkStart w:id="199" w:name="_Toc102057701"/>
      <w:r>
        <w:rPr>
          <w:rFonts w:hint="eastAsia"/>
          <w:b/>
          <w:szCs w:val="24"/>
          <w:lang w:val="zh-CN"/>
        </w:rPr>
        <w:t>磋商有效期</w:t>
      </w:r>
      <w:bookmarkEnd w:id="194"/>
      <w:bookmarkEnd w:id="195"/>
      <w:bookmarkEnd w:id="196"/>
      <w:bookmarkEnd w:id="197"/>
      <w:bookmarkEnd w:id="198"/>
      <w:bookmarkEnd w:id="199"/>
    </w:p>
    <w:p w14:paraId="56C0B4E1">
      <w:pPr>
        <w:numPr>
          <w:ilvl w:val="0"/>
          <w:numId w:val="27"/>
        </w:numPr>
        <w:wordWrap w:val="0"/>
        <w:adjustRightInd w:val="0"/>
        <w:snapToGrid w:val="0"/>
        <w:spacing w:line="360" w:lineRule="auto"/>
        <w:ind w:left="616" w:hanging="616"/>
        <w:rPr>
          <w:rFonts w:cs="宋体"/>
          <w:szCs w:val="24"/>
          <w:lang w:val="zh-CN"/>
        </w:rPr>
      </w:pPr>
      <w:r>
        <w:rPr>
          <w:rFonts w:hint="eastAsia" w:cs="宋体"/>
          <w:szCs w:val="24"/>
          <w:lang w:val="zh-CN"/>
        </w:rPr>
        <w:t>磋商有效期：详见</w:t>
      </w:r>
      <w:r>
        <w:rPr>
          <w:rFonts w:hint="eastAsia" w:cs="宋体"/>
          <w:b/>
          <w:szCs w:val="24"/>
          <w:lang w:val="zh-CN"/>
        </w:rPr>
        <w:t xml:space="preserve"> “磋商须知前附表”</w:t>
      </w:r>
      <w:r>
        <w:rPr>
          <w:rFonts w:hint="eastAsia" w:cs="宋体"/>
          <w:szCs w:val="24"/>
          <w:lang w:val="zh-CN"/>
        </w:rPr>
        <w:t>的规定。磋商有效期不足的，按照</w:t>
      </w:r>
      <w:r>
        <w:rPr>
          <w:rFonts w:hint="eastAsia" w:cs="宋体"/>
          <w:b/>
          <w:szCs w:val="24"/>
          <w:lang w:val="zh-CN"/>
        </w:rPr>
        <w:t>无效响应处理。</w:t>
      </w:r>
    </w:p>
    <w:p w14:paraId="459C9122">
      <w:pPr>
        <w:numPr>
          <w:ilvl w:val="0"/>
          <w:numId w:val="27"/>
        </w:numPr>
        <w:wordWrap w:val="0"/>
        <w:adjustRightInd w:val="0"/>
        <w:snapToGrid w:val="0"/>
        <w:spacing w:line="360" w:lineRule="auto"/>
        <w:ind w:left="616" w:hanging="616"/>
        <w:rPr>
          <w:rFonts w:cs="宋体"/>
          <w:szCs w:val="24"/>
          <w:lang w:val="zh-CN"/>
        </w:rPr>
      </w:pPr>
      <w:r>
        <w:rPr>
          <w:rFonts w:hint="eastAsia" w:cs="宋体"/>
          <w:szCs w:val="24"/>
          <w:lang w:val="zh-CN"/>
        </w:rPr>
        <w:t>特殊情况下，在磋商有效期截止前，集中采购机构或采购人可以要求供应商延长磋商有效期。供应商可同意或拒绝这种要求，同意延长磋商有效期的，延长期限协调确定但不得修改其它磋商内容；拒绝延长磋商有效期的，其磋商文件在有效期满后将失效。</w:t>
      </w:r>
    </w:p>
    <w:p w14:paraId="27F0208C">
      <w:pPr>
        <w:pStyle w:val="44"/>
        <w:numPr>
          <w:ilvl w:val="0"/>
          <w:numId w:val="9"/>
        </w:numPr>
        <w:spacing w:line="360" w:lineRule="auto"/>
        <w:ind w:left="284" w:hanging="284" w:firstLineChars="0"/>
        <w:rPr>
          <w:b/>
          <w:szCs w:val="24"/>
          <w:lang w:val="zh-CN"/>
        </w:rPr>
      </w:pPr>
      <w:bookmarkStart w:id="200" w:name="_Toc102116136"/>
      <w:bookmarkStart w:id="201" w:name="_Toc102056202"/>
      <w:bookmarkStart w:id="202" w:name="_Toc102114904"/>
      <w:bookmarkStart w:id="203" w:name="_Toc102119837"/>
      <w:bookmarkStart w:id="204" w:name="_Toc102116006"/>
      <w:bookmarkStart w:id="205" w:name="_Toc102057702"/>
      <w:r>
        <w:rPr>
          <w:rFonts w:hint="eastAsia"/>
          <w:b/>
          <w:szCs w:val="24"/>
          <w:lang w:val="zh-CN"/>
        </w:rPr>
        <w:t>响应文件签署</w:t>
      </w:r>
      <w:bookmarkEnd w:id="200"/>
      <w:bookmarkEnd w:id="201"/>
      <w:bookmarkEnd w:id="202"/>
      <w:bookmarkEnd w:id="203"/>
      <w:bookmarkEnd w:id="204"/>
      <w:bookmarkEnd w:id="205"/>
    </w:p>
    <w:p w14:paraId="6CC568B3">
      <w:pPr>
        <w:numPr>
          <w:ilvl w:val="0"/>
          <w:numId w:val="28"/>
        </w:numPr>
        <w:wordWrap w:val="0"/>
        <w:adjustRightInd w:val="0"/>
        <w:snapToGrid w:val="0"/>
        <w:spacing w:line="360" w:lineRule="auto"/>
        <w:ind w:left="616" w:hanging="616"/>
        <w:rPr>
          <w:rFonts w:cs="宋体"/>
          <w:szCs w:val="24"/>
          <w:lang w:val="zh-CN"/>
        </w:rPr>
      </w:pPr>
      <w:r>
        <w:rPr>
          <w:rFonts w:hint="eastAsia" w:cs="宋体"/>
          <w:szCs w:val="24"/>
        </w:rPr>
        <w:t>供应商</w:t>
      </w:r>
      <w:r>
        <w:rPr>
          <w:rFonts w:hint="eastAsia" w:cs="宋体"/>
          <w:szCs w:val="24"/>
          <w:lang w:val="zh-CN"/>
        </w:rPr>
        <w:t>应按要求对响应文件（含响应文件PDF格式、响应数据文件（</w:t>
      </w:r>
      <w:r>
        <w:rPr>
          <w:rFonts w:cs="宋体"/>
          <w:szCs w:val="24"/>
          <w:lang w:val="zh-CN"/>
        </w:rPr>
        <w:t>PDF</w:t>
      </w:r>
      <w:r>
        <w:rPr>
          <w:rFonts w:hint="eastAsia" w:cs="宋体"/>
          <w:szCs w:val="24"/>
          <w:lang w:val="zh-CN"/>
        </w:rPr>
        <w:t>格式）需要加盖公章的</w:t>
      </w:r>
      <w:r>
        <w:rPr>
          <w:rFonts w:hint="eastAsia" w:cs="宋体"/>
          <w:szCs w:val="24"/>
        </w:rPr>
        <w:t>部位</w:t>
      </w:r>
      <w:r>
        <w:rPr>
          <w:rFonts w:hint="eastAsia" w:cs="宋体"/>
          <w:szCs w:val="24"/>
          <w:lang w:val="zh-CN"/>
        </w:rPr>
        <w:t>加盖公章（或电子公章），需要法定代表人签名的部位加盖法定代表人电子人名章（或签名）；电子章与相应的实物章、签名具有同等法律效力。</w:t>
      </w:r>
    </w:p>
    <w:p w14:paraId="3B1DF2E2">
      <w:pPr>
        <w:numPr>
          <w:ilvl w:val="0"/>
          <w:numId w:val="28"/>
        </w:numPr>
        <w:wordWrap w:val="0"/>
        <w:adjustRightInd w:val="0"/>
        <w:snapToGrid w:val="0"/>
        <w:spacing w:line="360" w:lineRule="auto"/>
        <w:ind w:left="616" w:hanging="616"/>
        <w:rPr>
          <w:rFonts w:cs="宋体"/>
          <w:szCs w:val="24"/>
          <w:lang w:val="zh-CN"/>
        </w:rPr>
      </w:pPr>
      <w:r>
        <w:rPr>
          <w:rFonts w:hint="eastAsia" w:cs="宋体"/>
          <w:szCs w:val="24"/>
        </w:rPr>
        <w:t>响应文件（PDF格式）：供应商</w:t>
      </w:r>
      <w:r>
        <w:rPr>
          <w:rFonts w:hint="eastAsia" w:cs="宋体"/>
          <w:szCs w:val="24"/>
          <w:lang w:val="zh-CN"/>
        </w:rPr>
        <w:t>应用带电子签章功能的CA数字证书登陆电子采购平台，使用文件签章菜单的标书签章功能将编制好的响应文件（Word格式）转换为PDF格式加盖电子印章。</w:t>
      </w:r>
    </w:p>
    <w:p w14:paraId="28D1971D">
      <w:pPr>
        <w:numPr>
          <w:ilvl w:val="0"/>
          <w:numId w:val="28"/>
        </w:numPr>
        <w:wordWrap w:val="0"/>
        <w:adjustRightInd w:val="0"/>
        <w:snapToGrid w:val="0"/>
        <w:spacing w:line="360" w:lineRule="auto"/>
        <w:ind w:left="616" w:hanging="616"/>
        <w:rPr>
          <w:rFonts w:cs="宋体"/>
          <w:szCs w:val="24"/>
          <w:lang w:val="zh-CN"/>
        </w:rPr>
      </w:pPr>
      <w:r>
        <w:rPr>
          <w:rFonts w:hint="eastAsia" w:cs="宋体"/>
          <w:szCs w:val="24"/>
        </w:rPr>
        <w:t>响应数据</w:t>
      </w:r>
      <w:r>
        <w:rPr>
          <w:rFonts w:hint="eastAsia" w:cs="宋体"/>
          <w:szCs w:val="24"/>
          <w:lang w:val="zh-CN"/>
        </w:rPr>
        <w:t>文件</w:t>
      </w:r>
      <w:r>
        <w:rPr>
          <w:rFonts w:hint="eastAsia" w:cs="宋体"/>
          <w:szCs w:val="24"/>
        </w:rPr>
        <w:t>（</w:t>
      </w:r>
      <w:r>
        <w:rPr>
          <w:rFonts w:cs="宋体"/>
          <w:szCs w:val="24"/>
          <w:lang w:val="zh-CN"/>
        </w:rPr>
        <w:t>PDF</w:t>
      </w:r>
      <w:r>
        <w:rPr>
          <w:rFonts w:hint="eastAsia" w:cs="宋体"/>
          <w:szCs w:val="24"/>
        </w:rPr>
        <w:t>格式）：</w:t>
      </w:r>
      <w:r>
        <w:rPr>
          <w:rFonts w:hint="eastAsia" w:cs="宋体"/>
          <w:szCs w:val="24"/>
          <w:lang w:val="zh-CN"/>
        </w:rPr>
        <w:t>应通过电子采购平台的文件签章菜单的数据签章</w:t>
      </w:r>
      <w:r>
        <w:rPr>
          <w:rFonts w:hint="eastAsia" w:cs="宋体"/>
          <w:szCs w:val="24"/>
        </w:rPr>
        <w:t>功</w:t>
      </w:r>
      <w:r>
        <w:rPr>
          <w:rFonts w:hint="eastAsia" w:cs="宋体"/>
          <w:szCs w:val="24"/>
          <w:lang w:val="zh-CN"/>
        </w:rPr>
        <w:t>能将填写完毕的响应数据文件（Excel格式）转换为PDF格式加盖电子印章。</w:t>
      </w:r>
    </w:p>
    <w:p w14:paraId="3B2717DE">
      <w:pPr>
        <w:numPr>
          <w:ilvl w:val="0"/>
          <w:numId w:val="28"/>
        </w:numPr>
        <w:wordWrap w:val="0"/>
        <w:adjustRightInd w:val="0"/>
        <w:snapToGrid w:val="0"/>
        <w:spacing w:line="360" w:lineRule="auto"/>
        <w:ind w:left="616" w:hanging="616"/>
        <w:rPr>
          <w:lang w:val="zh-CN"/>
        </w:rPr>
      </w:pPr>
      <w:r>
        <w:rPr>
          <w:rFonts w:hint="eastAsia" w:cs="宋体"/>
          <w:szCs w:val="24"/>
          <w:lang w:val="zh-CN"/>
        </w:rPr>
        <w:t>以</w:t>
      </w:r>
      <w:r>
        <w:rPr>
          <w:rFonts w:hint="eastAsia" w:cs="宋体"/>
          <w:szCs w:val="24"/>
        </w:rPr>
        <w:t>联合</w:t>
      </w:r>
      <w:r>
        <w:rPr>
          <w:rFonts w:hint="eastAsia" w:cs="宋体"/>
          <w:szCs w:val="24"/>
          <w:lang w:val="zh-CN"/>
        </w:rPr>
        <w:t>体形式的，联合体成员都应在响应文件上加盖公章或电子公章。</w:t>
      </w:r>
    </w:p>
    <w:p w14:paraId="63E99485">
      <w:pPr>
        <w:numPr>
          <w:ilvl w:val="0"/>
          <w:numId w:val="28"/>
        </w:numPr>
        <w:wordWrap w:val="0"/>
        <w:adjustRightInd w:val="0"/>
        <w:snapToGrid w:val="0"/>
        <w:spacing w:line="360" w:lineRule="auto"/>
        <w:ind w:left="616" w:hanging="616"/>
        <w:rPr>
          <w:lang w:val="zh-CN"/>
        </w:rPr>
      </w:pPr>
      <w:r>
        <w:rPr>
          <w:rFonts w:hint="eastAsia" w:cs="宋体"/>
          <w:szCs w:val="24"/>
          <w:lang w:val="zh-CN"/>
        </w:rPr>
        <w:t>未按竞争性磋商文件</w:t>
      </w:r>
      <w:r>
        <w:rPr>
          <w:rFonts w:hint="eastAsia" w:cs="宋体"/>
          <w:szCs w:val="24"/>
        </w:rPr>
        <w:t>要求签署、盖章及签字（签章）的</w:t>
      </w:r>
      <w:r>
        <w:rPr>
          <w:rFonts w:hint="eastAsia" w:cs="宋体"/>
          <w:szCs w:val="24"/>
          <w:lang w:val="zh-CN"/>
        </w:rPr>
        <w:t>，按照</w:t>
      </w:r>
      <w:r>
        <w:rPr>
          <w:rFonts w:hint="eastAsia" w:cs="宋体"/>
          <w:b/>
          <w:szCs w:val="24"/>
          <w:lang w:val="zh-CN"/>
        </w:rPr>
        <w:t>无效响应处理</w:t>
      </w:r>
      <w:r>
        <w:rPr>
          <w:rFonts w:hint="eastAsia" w:cs="宋体"/>
          <w:szCs w:val="24"/>
          <w:lang w:val="zh-CN"/>
        </w:rPr>
        <w:t>。</w:t>
      </w:r>
    </w:p>
    <w:p w14:paraId="6BE118CB">
      <w:pPr>
        <w:pStyle w:val="44"/>
        <w:numPr>
          <w:ilvl w:val="0"/>
          <w:numId w:val="9"/>
        </w:numPr>
        <w:spacing w:line="360" w:lineRule="auto"/>
        <w:ind w:left="284" w:hanging="284" w:firstLineChars="0"/>
        <w:rPr>
          <w:b/>
          <w:szCs w:val="24"/>
          <w:lang w:val="zh-CN"/>
        </w:rPr>
      </w:pPr>
      <w:bookmarkStart w:id="206" w:name="_Toc102119838"/>
      <w:bookmarkStart w:id="207" w:name="_Toc102056203"/>
      <w:bookmarkStart w:id="208" w:name="_Toc102114905"/>
      <w:bookmarkStart w:id="209" w:name="_Toc102116007"/>
      <w:bookmarkStart w:id="210" w:name="_Toc102057703"/>
      <w:bookmarkStart w:id="211" w:name="_Toc102116137"/>
      <w:r>
        <w:rPr>
          <w:rFonts w:hint="eastAsia"/>
          <w:b/>
          <w:szCs w:val="24"/>
          <w:lang w:val="zh-CN"/>
        </w:rPr>
        <w:t>响应文件加密与提交</w:t>
      </w:r>
      <w:bookmarkEnd w:id="206"/>
      <w:bookmarkEnd w:id="207"/>
      <w:bookmarkEnd w:id="208"/>
      <w:bookmarkEnd w:id="209"/>
      <w:bookmarkEnd w:id="210"/>
      <w:bookmarkEnd w:id="211"/>
    </w:p>
    <w:p w14:paraId="537231F9">
      <w:pPr>
        <w:numPr>
          <w:ilvl w:val="0"/>
          <w:numId w:val="29"/>
        </w:numPr>
        <w:wordWrap w:val="0"/>
        <w:adjustRightInd w:val="0"/>
        <w:snapToGrid w:val="0"/>
        <w:spacing w:line="360" w:lineRule="auto"/>
        <w:ind w:left="616" w:hanging="616"/>
        <w:rPr>
          <w:rFonts w:cs="宋体"/>
          <w:szCs w:val="24"/>
          <w:lang w:val="zh-CN"/>
        </w:rPr>
      </w:pPr>
      <w:r>
        <w:rPr>
          <w:rFonts w:hint="eastAsia" w:cs="宋体"/>
          <w:szCs w:val="24"/>
        </w:rPr>
        <w:t>供应商应按第一</w:t>
      </w:r>
      <w:r>
        <w:rPr>
          <w:rFonts w:hint="eastAsia" w:cs="宋体"/>
          <w:szCs w:val="24"/>
          <w:lang w:val="zh-CN"/>
        </w:rPr>
        <w:t>章“磋商邀请”中规定</w:t>
      </w:r>
      <w:r>
        <w:rPr>
          <w:rFonts w:hint="eastAsia" w:cs="宋体"/>
          <w:szCs w:val="24"/>
        </w:rPr>
        <w:t>的时间前在电子采购平台上提交响应文件，并按电子采购平台提示，设置响应文件加密密码。供应商应牢记上传的电子响应文件加密密码并严格保密，该密码将用于解密其电子响应文件。因忘记密码无法解密响应文件，</w:t>
      </w:r>
      <w:r>
        <w:rPr>
          <w:rFonts w:hint="eastAsia"/>
          <w:szCs w:val="24"/>
          <w:lang w:val="zh-CN"/>
        </w:rPr>
        <w:t>导致的</w:t>
      </w:r>
      <w:r>
        <w:rPr>
          <w:rFonts w:hint="eastAsia" w:cs="宋体"/>
          <w:szCs w:val="24"/>
        </w:rPr>
        <w:t>后果由供应商自行承担。</w:t>
      </w:r>
    </w:p>
    <w:p w14:paraId="06B32C9D">
      <w:pPr>
        <w:numPr>
          <w:ilvl w:val="0"/>
          <w:numId w:val="29"/>
        </w:numPr>
        <w:wordWrap w:val="0"/>
        <w:adjustRightInd w:val="0"/>
        <w:snapToGrid w:val="0"/>
        <w:spacing w:line="360" w:lineRule="auto"/>
        <w:ind w:left="616" w:hanging="616"/>
        <w:rPr>
          <w:rFonts w:cs="宋体"/>
          <w:szCs w:val="24"/>
          <w:lang w:val="zh-CN"/>
        </w:rPr>
      </w:pPr>
      <w:r>
        <w:rPr>
          <w:rFonts w:hint="eastAsia" w:cs="宋体"/>
          <w:szCs w:val="24"/>
        </w:rPr>
        <w:t>供应商应充分评估集中提交带来的网络影响，尽量避开网络使用高峰时间，错峰进行上传。</w:t>
      </w:r>
    </w:p>
    <w:p w14:paraId="05D348E1">
      <w:pPr>
        <w:numPr>
          <w:ilvl w:val="0"/>
          <w:numId w:val="29"/>
        </w:numPr>
        <w:wordWrap w:val="0"/>
        <w:adjustRightInd w:val="0"/>
        <w:snapToGrid w:val="0"/>
        <w:spacing w:line="360" w:lineRule="auto"/>
        <w:ind w:left="616" w:hanging="616"/>
        <w:rPr>
          <w:rFonts w:cs="宋体"/>
          <w:szCs w:val="24"/>
          <w:lang w:val="zh-CN"/>
        </w:rPr>
      </w:pPr>
      <w:r>
        <w:rPr>
          <w:rFonts w:hint="eastAsia" w:cs="宋体"/>
          <w:szCs w:val="24"/>
        </w:rPr>
        <w:t>响应文件提交时间以电子采购平台显示为准</w:t>
      </w:r>
      <w:r>
        <w:rPr>
          <w:rFonts w:hint="eastAsia" w:cs="宋体"/>
          <w:b/>
          <w:szCs w:val="24"/>
        </w:rPr>
        <w:t>，</w:t>
      </w:r>
      <w:r>
        <w:rPr>
          <w:rFonts w:hint="eastAsia" w:cs="宋体"/>
          <w:szCs w:val="24"/>
        </w:rPr>
        <w:t>系统以收到供应商发出的提交指令时间作为其磋商时间。超过磋商截止时间的，</w:t>
      </w:r>
      <w:r>
        <w:rPr>
          <w:rFonts w:hint="eastAsia" w:cs="宋体"/>
          <w:b/>
          <w:szCs w:val="24"/>
          <w:lang w:val="zh-CN"/>
        </w:rPr>
        <w:t>集中采购机构拒收逾期提交的响应文件</w:t>
      </w:r>
      <w:r>
        <w:rPr>
          <w:rFonts w:hint="eastAsia" w:cs="宋体"/>
          <w:szCs w:val="24"/>
        </w:rPr>
        <w:t>。</w:t>
      </w:r>
    </w:p>
    <w:p w14:paraId="2AE9D171">
      <w:pPr>
        <w:numPr>
          <w:ilvl w:val="0"/>
          <w:numId w:val="29"/>
        </w:numPr>
        <w:wordWrap w:val="0"/>
        <w:adjustRightInd w:val="0"/>
        <w:snapToGrid w:val="0"/>
        <w:spacing w:line="360" w:lineRule="auto"/>
        <w:ind w:left="616" w:hanging="616"/>
        <w:rPr>
          <w:rFonts w:cs="宋体"/>
          <w:szCs w:val="24"/>
          <w:lang w:val="zh-CN"/>
        </w:rPr>
      </w:pPr>
      <w:r>
        <w:rPr>
          <w:rFonts w:hint="eastAsia" w:cs="宋体"/>
          <w:szCs w:val="24"/>
        </w:rPr>
        <w:t>供应商应将电子采购平台上未加密且盖章的响应文件下载谨慎保存，以便启动应急磋商程序时使用。</w:t>
      </w:r>
    </w:p>
    <w:p w14:paraId="63B2C7FF">
      <w:pPr>
        <w:pStyle w:val="44"/>
        <w:numPr>
          <w:ilvl w:val="0"/>
          <w:numId w:val="9"/>
        </w:numPr>
        <w:spacing w:line="360" w:lineRule="auto"/>
        <w:ind w:left="284" w:hanging="284" w:firstLineChars="0"/>
        <w:rPr>
          <w:b/>
          <w:szCs w:val="24"/>
          <w:lang w:val="zh-CN"/>
        </w:rPr>
      </w:pPr>
      <w:bookmarkStart w:id="212" w:name="_Toc102056204"/>
      <w:bookmarkStart w:id="213" w:name="_Toc102057704"/>
      <w:bookmarkStart w:id="214" w:name="_Toc102116008"/>
      <w:bookmarkStart w:id="215" w:name="_Toc102116138"/>
      <w:bookmarkStart w:id="216" w:name="_Toc102119839"/>
      <w:bookmarkStart w:id="217" w:name="_Toc102114906"/>
      <w:r>
        <w:rPr>
          <w:rFonts w:hint="eastAsia"/>
          <w:b/>
          <w:szCs w:val="24"/>
          <w:lang w:val="zh-CN"/>
        </w:rPr>
        <w:t>响应文件的修改和撤回</w:t>
      </w:r>
      <w:bookmarkEnd w:id="212"/>
      <w:bookmarkEnd w:id="213"/>
      <w:bookmarkEnd w:id="214"/>
      <w:bookmarkEnd w:id="215"/>
      <w:bookmarkEnd w:id="216"/>
      <w:bookmarkEnd w:id="217"/>
    </w:p>
    <w:p w14:paraId="2C832ACF">
      <w:pPr>
        <w:numPr>
          <w:ilvl w:val="0"/>
          <w:numId w:val="30"/>
        </w:numPr>
        <w:wordWrap w:val="0"/>
        <w:adjustRightInd w:val="0"/>
        <w:snapToGrid w:val="0"/>
        <w:spacing w:line="360" w:lineRule="auto"/>
        <w:ind w:left="616" w:hanging="616"/>
        <w:rPr>
          <w:rFonts w:cs="宋体"/>
          <w:strike/>
          <w:szCs w:val="24"/>
          <w:lang w:val="zh-CN"/>
        </w:rPr>
      </w:pPr>
      <w:r>
        <w:rPr>
          <w:rFonts w:hint="eastAsia" w:cs="宋体"/>
          <w:szCs w:val="24"/>
          <w:lang w:val="zh-CN"/>
        </w:rPr>
        <w:t>供应商在磋商截止时间前，可以对所提交的响应文件进行补充、修改或者撤回。补充、修改的内容应当按照竞争性磋商文件要求签署、盖章后，作为响应文件的组成部分。</w:t>
      </w:r>
    </w:p>
    <w:p w14:paraId="07A96591">
      <w:pPr>
        <w:numPr>
          <w:ilvl w:val="0"/>
          <w:numId w:val="30"/>
        </w:numPr>
        <w:wordWrap w:val="0"/>
        <w:adjustRightInd w:val="0"/>
        <w:snapToGrid w:val="0"/>
        <w:spacing w:line="360" w:lineRule="auto"/>
        <w:ind w:left="616" w:hanging="616"/>
        <w:rPr>
          <w:rFonts w:cs="宋体"/>
          <w:szCs w:val="24"/>
          <w:lang w:val="zh-CN"/>
        </w:rPr>
      </w:pPr>
      <w:r>
        <w:rPr>
          <w:rFonts w:hint="eastAsia" w:cs="宋体"/>
          <w:szCs w:val="24"/>
          <w:lang w:val="zh-CN"/>
        </w:rPr>
        <w:t>磋商截止后，磋商有效期内供应商不得撤销其响应文件。</w:t>
      </w:r>
    </w:p>
    <w:p w14:paraId="6FADF4FF">
      <w:pPr>
        <w:pStyle w:val="44"/>
        <w:numPr>
          <w:ilvl w:val="0"/>
          <w:numId w:val="9"/>
        </w:numPr>
        <w:spacing w:line="360" w:lineRule="auto"/>
        <w:ind w:left="284" w:hanging="284" w:firstLineChars="0"/>
        <w:rPr>
          <w:b/>
          <w:szCs w:val="24"/>
          <w:lang w:val="zh-CN"/>
        </w:rPr>
      </w:pPr>
      <w:bookmarkStart w:id="218" w:name="_Toc102119840"/>
      <w:bookmarkStart w:id="219" w:name="_Toc102057705"/>
      <w:bookmarkStart w:id="220" w:name="_Toc102116139"/>
      <w:bookmarkStart w:id="221" w:name="_Toc102116009"/>
      <w:bookmarkStart w:id="222" w:name="_Toc102056205"/>
      <w:bookmarkStart w:id="223" w:name="_Toc102114907"/>
      <w:r>
        <w:rPr>
          <w:rFonts w:hint="eastAsia"/>
          <w:b/>
          <w:szCs w:val="24"/>
          <w:lang w:val="zh-CN"/>
        </w:rPr>
        <w:t>磋商无效情形</w:t>
      </w:r>
      <w:bookmarkEnd w:id="218"/>
      <w:bookmarkEnd w:id="219"/>
      <w:bookmarkEnd w:id="220"/>
      <w:bookmarkEnd w:id="221"/>
      <w:bookmarkEnd w:id="222"/>
      <w:bookmarkEnd w:id="223"/>
    </w:p>
    <w:p w14:paraId="3ADAFDF2">
      <w:pPr>
        <w:numPr>
          <w:ilvl w:val="0"/>
          <w:numId w:val="31"/>
        </w:numPr>
        <w:wordWrap w:val="0"/>
        <w:adjustRightInd w:val="0"/>
        <w:snapToGrid w:val="0"/>
        <w:spacing w:line="360" w:lineRule="auto"/>
        <w:ind w:left="616" w:hanging="616"/>
        <w:rPr>
          <w:rFonts w:cs="宋体"/>
          <w:szCs w:val="24"/>
          <w:lang w:val="zh-CN"/>
        </w:rPr>
      </w:pPr>
      <w:r>
        <w:rPr>
          <w:rFonts w:hint="eastAsia" w:cs="宋体"/>
          <w:szCs w:val="24"/>
          <w:lang w:val="zh-CN"/>
        </w:rPr>
        <w:t>有下列情形之一的，视为供应商串通磋商，其磋商无效：</w:t>
      </w:r>
    </w:p>
    <w:p w14:paraId="3E01778E">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（1）不同的供应商的响应文件由同一单位或者个人编制；</w:t>
      </w:r>
    </w:p>
    <w:p w14:paraId="4132AE11">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（2）不同供应商委托同一单位或者个人办理磋商事宜；</w:t>
      </w:r>
    </w:p>
    <w:p w14:paraId="20A95C2A">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（3）不同供应商的响应文件载明的项目管理成员或者联系人员为同一人；</w:t>
      </w:r>
    </w:p>
    <w:p w14:paraId="2B7B5440">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（4）不同供应商的响应文件异常一致或者磋商报价呈规律性差异；</w:t>
      </w:r>
    </w:p>
    <w:p w14:paraId="3A18836D">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（5）不同供应商的响应文件相互混装；</w:t>
      </w:r>
    </w:p>
    <w:p w14:paraId="1DCBC39B">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（6）不同供应商使用同一电脑（机器特征值一致：如MAC地址等）或使用同一电子密钥，编制或上传电子响应文件。</w:t>
      </w:r>
    </w:p>
    <w:bookmarkEnd w:id="141"/>
    <w:bookmarkEnd w:id="142"/>
    <w:p w14:paraId="2F9D9F40">
      <w:pPr>
        <w:pStyle w:val="4"/>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24" w:name="_Toc117244353"/>
      <w:bookmarkStart w:id="225" w:name="_Toc122527529"/>
      <w:bookmarkStart w:id="226" w:name="_Toc117244468"/>
      <w:r>
        <w:rPr>
          <w:rFonts w:hint="eastAsia" w:ascii="宋体" w:hAnsi="宋体" w:eastAsia="宋体" w:cs="Times New Roman"/>
          <w:bCs w:val="0"/>
          <w:sz w:val="28"/>
          <w:szCs w:val="28"/>
          <w:lang w:val="zh-CN"/>
        </w:rPr>
        <w:t>磋商与评审</w:t>
      </w:r>
      <w:bookmarkEnd w:id="224"/>
      <w:bookmarkEnd w:id="225"/>
      <w:bookmarkEnd w:id="226"/>
    </w:p>
    <w:p w14:paraId="0B6444E3">
      <w:pPr>
        <w:pStyle w:val="44"/>
        <w:numPr>
          <w:ilvl w:val="0"/>
          <w:numId w:val="9"/>
        </w:numPr>
        <w:spacing w:line="360" w:lineRule="auto"/>
        <w:ind w:left="284" w:hanging="284" w:firstLineChars="0"/>
        <w:rPr>
          <w:b/>
          <w:szCs w:val="24"/>
          <w:lang w:val="zh-CN"/>
        </w:rPr>
      </w:pPr>
      <w:r>
        <w:rPr>
          <w:rFonts w:hint="eastAsia"/>
          <w:b/>
          <w:szCs w:val="24"/>
          <w:lang w:val="zh-CN"/>
        </w:rPr>
        <w:t>磋商程序</w:t>
      </w:r>
    </w:p>
    <w:p w14:paraId="4BC2BDC3">
      <w:pPr>
        <w:numPr>
          <w:ilvl w:val="0"/>
          <w:numId w:val="32"/>
        </w:numPr>
        <w:wordWrap w:val="0"/>
        <w:adjustRightInd w:val="0"/>
        <w:snapToGrid w:val="0"/>
        <w:spacing w:line="360" w:lineRule="auto"/>
        <w:ind w:left="616" w:hanging="616"/>
        <w:rPr>
          <w:szCs w:val="24"/>
        </w:rPr>
      </w:pPr>
      <w:bookmarkStart w:id="227" w:name="_Toc144974528"/>
      <w:bookmarkStart w:id="228" w:name="_Toc152042336"/>
      <w:bookmarkStart w:id="229" w:name="_Toc152045560"/>
      <w:bookmarkStart w:id="230" w:name="_Toc179632578"/>
      <w:bookmarkStart w:id="231" w:name="_Toc107387533"/>
      <w:r>
        <w:rPr>
          <w:rFonts w:hint="eastAsia"/>
          <w:szCs w:val="24"/>
        </w:rPr>
        <w:t>磋商时间和地点</w:t>
      </w:r>
      <w:bookmarkEnd w:id="227"/>
      <w:bookmarkEnd w:id="228"/>
      <w:bookmarkEnd w:id="229"/>
      <w:bookmarkEnd w:id="230"/>
      <w:bookmarkEnd w:id="231"/>
    </w:p>
    <w:p w14:paraId="3A14D742">
      <w:pPr>
        <w:tabs>
          <w:tab w:val="left" w:pos="993"/>
        </w:tabs>
        <w:wordWrap w:val="0"/>
        <w:adjustRightInd w:val="0"/>
        <w:snapToGrid w:val="0"/>
        <w:spacing w:line="360" w:lineRule="auto"/>
        <w:ind w:firstLine="480" w:firstLineChars="200"/>
        <w:rPr>
          <w:szCs w:val="24"/>
        </w:rPr>
      </w:pPr>
      <w:r>
        <w:rPr>
          <w:rFonts w:hint="eastAsia"/>
          <w:szCs w:val="24"/>
        </w:rPr>
        <w:t>（1）磋商截止时间前，供应商应</w:t>
      </w:r>
      <w:r>
        <w:rPr>
          <w:szCs w:val="24"/>
        </w:rPr>
        <w:t>使用</w:t>
      </w:r>
      <w:r>
        <w:rPr>
          <w:rFonts w:hint="eastAsia"/>
          <w:b/>
          <w:szCs w:val="24"/>
        </w:rPr>
        <w:t>加密其响应文件的CA数字证书</w:t>
      </w:r>
      <w:r>
        <w:rPr>
          <w:rFonts w:hint="eastAsia"/>
          <w:szCs w:val="24"/>
        </w:rPr>
        <w:t>登录电子采购平台，进入“磋商大厅”选择所投项目</w:t>
      </w:r>
      <w:r>
        <w:rPr>
          <w:szCs w:val="24"/>
        </w:rPr>
        <w:t>（或</w:t>
      </w:r>
      <w:r>
        <w:rPr>
          <w:rFonts w:hint="eastAsia"/>
          <w:szCs w:val="24"/>
        </w:rPr>
        <w:t>标段）完成项目签到工作。</w:t>
      </w:r>
    </w:p>
    <w:p w14:paraId="285AB1FC">
      <w:pPr>
        <w:tabs>
          <w:tab w:val="left" w:pos="993"/>
        </w:tabs>
        <w:wordWrap w:val="0"/>
        <w:adjustRightInd w:val="0"/>
        <w:snapToGrid w:val="0"/>
        <w:spacing w:line="360" w:lineRule="auto"/>
        <w:ind w:firstLine="480" w:firstLineChars="200"/>
        <w:rPr>
          <w:strike/>
          <w:szCs w:val="24"/>
          <w:u w:val="single"/>
        </w:rPr>
      </w:pPr>
      <w:r>
        <w:rPr>
          <w:rFonts w:hint="eastAsia"/>
          <w:szCs w:val="24"/>
        </w:rPr>
        <w:t>（</w:t>
      </w:r>
      <w:r>
        <w:rPr>
          <w:szCs w:val="24"/>
        </w:rPr>
        <w:t>2</w:t>
      </w:r>
      <w:r>
        <w:rPr>
          <w:rFonts w:hint="eastAsia"/>
          <w:szCs w:val="24"/>
        </w:rPr>
        <w:t>）</w:t>
      </w:r>
      <w:r>
        <w:rPr>
          <w:rFonts w:hint="eastAsia"/>
          <w:szCs w:val="24"/>
          <w:lang w:val="zh-CN"/>
        </w:rPr>
        <w:t>在第一章“磋商邀请”约定的磋商截止时间、磋商时间及地点，集中采购</w:t>
      </w:r>
      <w:r>
        <w:rPr>
          <w:rFonts w:hint="eastAsia" w:cs="宋体"/>
          <w:szCs w:val="24"/>
          <w:lang w:val="zh-CN"/>
        </w:rPr>
        <w:t>机构通过互联网</w:t>
      </w:r>
      <w:r>
        <w:rPr>
          <w:rFonts w:hint="eastAsia"/>
          <w:szCs w:val="24"/>
          <w:lang w:val="zh-CN"/>
        </w:rPr>
        <w:t>在电子采购平台“磋商大厅”公开组织磋商工作。</w:t>
      </w:r>
    </w:p>
    <w:p w14:paraId="6938BD58">
      <w:pPr>
        <w:tabs>
          <w:tab w:val="left" w:pos="993"/>
        </w:tabs>
        <w:wordWrap w:val="0"/>
        <w:adjustRightInd w:val="0"/>
        <w:snapToGrid w:val="0"/>
        <w:spacing w:line="360" w:lineRule="auto"/>
        <w:ind w:firstLine="480" w:firstLineChars="200"/>
        <w:rPr>
          <w:szCs w:val="24"/>
        </w:rPr>
      </w:pPr>
      <w:r>
        <w:rPr>
          <w:rFonts w:hint="eastAsia"/>
          <w:szCs w:val="24"/>
          <w:lang w:val="zh-CN"/>
        </w:rPr>
        <w:t>（3）供应商</w:t>
      </w:r>
      <w:r>
        <w:rPr>
          <w:rFonts w:hint="eastAsia"/>
          <w:szCs w:val="24"/>
        </w:rPr>
        <w:t>应当在能够保证设施设备可靠、互联网畅通的任意地点，使用</w:t>
      </w:r>
      <w:r>
        <w:rPr>
          <w:rFonts w:hint="eastAsia"/>
          <w:b/>
          <w:szCs w:val="24"/>
        </w:rPr>
        <w:t>加密其响应文件的CA数字证书</w:t>
      </w:r>
      <w:r>
        <w:rPr>
          <w:rFonts w:hint="eastAsia"/>
          <w:szCs w:val="24"/>
        </w:rPr>
        <w:t>登录电子采购平台，进入“</w:t>
      </w:r>
      <w:r>
        <w:rPr>
          <w:rFonts w:hint="eastAsia"/>
          <w:szCs w:val="24"/>
          <w:lang w:eastAsia="zh-CN"/>
        </w:rPr>
        <w:t>开标</w:t>
      </w:r>
      <w:r>
        <w:rPr>
          <w:rFonts w:hint="eastAsia"/>
          <w:szCs w:val="24"/>
        </w:rPr>
        <w:t>大厅”，通过互联网</w:t>
      </w:r>
      <w:r>
        <w:rPr>
          <w:rFonts w:hint="eastAsia"/>
          <w:szCs w:val="24"/>
          <w:lang w:val="zh-CN"/>
        </w:rPr>
        <w:t>准时</w:t>
      </w:r>
      <w:r>
        <w:rPr>
          <w:rFonts w:hint="eastAsia"/>
          <w:szCs w:val="24"/>
        </w:rPr>
        <w:t>参加在线磋商，并实时在线通过直播关注工作</w:t>
      </w:r>
      <w:r>
        <w:rPr>
          <w:szCs w:val="24"/>
        </w:rPr>
        <w:t>人员</w:t>
      </w:r>
      <w:r>
        <w:rPr>
          <w:rFonts w:hint="eastAsia"/>
          <w:szCs w:val="24"/>
        </w:rPr>
        <w:t>的操作情况。</w:t>
      </w:r>
    </w:p>
    <w:p w14:paraId="623DEB8B">
      <w:pPr>
        <w:numPr>
          <w:ilvl w:val="0"/>
          <w:numId w:val="32"/>
        </w:numPr>
        <w:wordWrap w:val="0"/>
        <w:adjustRightInd w:val="0"/>
        <w:snapToGrid w:val="0"/>
        <w:spacing w:line="360" w:lineRule="auto"/>
        <w:ind w:left="616" w:hanging="616"/>
        <w:rPr>
          <w:lang w:val="zh-CN"/>
        </w:rPr>
      </w:pPr>
      <w:r>
        <w:rPr>
          <w:rFonts w:hint="eastAsia"/>
          <w:lang w:val="zh-CN"/>
        </w:rPr>
        <w:t>响应文件解密：提交响应文件截止时间到后，工作人员启动开始解密指令，</w:t>
      </w:r>
      <w:r>
        <w:rPr>
          <w:rFonts w:hint="eastAsia"/>
        </w:rPr>
        <w:t>供应商</w:t>
      </w:r>
      <w:r>
        <w:rPr>
          <w:rFonts w:hint="eastAsia"/>
          <w:lang w:val="zh-CN"/>
        </w:rPr>
        <w:t>应按</w:t>
      </w:r>
      <w:r>
        <w:rPr>
          <w:rFonts w:hint="eastAsia"/>
          <w:b/>
          <w:lang w:val="zh-CN"/>
        </w:rPr>
        <w:t>“磋商须知前附表”</w:t>
      </w:r>
      <w:r>
        <w:rPr>
          <w:rFonts w:hint="eastAsia"/>
          <w:lang w:val="zh-CN"/>
        </w:rPr>
        <w:t>规定及时进行响应文件解密。</w:t>
      </w:r>
    </w:p>
    <w:p w14:paraId="66CF0C0C">
      <w:pPr>
        <w:numPr>
          <w:ilvl w:val="0"/>
          <w:numId w:val="32"/>
        </w:numPr>
        <w:wordWrap w:val="0"/>
        <w:adjustRightInd w:val="0"/>
        <w:snapToGrid w:val="0"/>
        <w:spacing w:line="360" w:lineRule="auto"/>
        <w:ind w:left="616" w:hanging="616"/>
        <w:rPr>
          <w:lang w:val="zh-CN"/>
        </w:rPr>
      </w:pPr>
      <w:r>
        <w:rPr>
          <w:rFonts w:hint="eastAsia"/>
          <w:lang w:val="zh-CN"/>
        </w:rPr>
        <w:t>在本章“磋商须知前附表28.2”规定的时间内，非因电子采购平台原因造成响应文件未解密的，视为供应商撤回响应文件。停止解密后，在部分响应文件未解密的情况下，已解密的响应文件不足3</w:t>
      </w:r>
      <w:r>
        <w:rPr>
          <w:lang w:val="zh-CN"/>
        </w:rPr>
        <w:t>家</w:t>
      </w:r>
      <w:r>
        <w:rPr>
          <w:rFonts w:hint="eastAsia"/>
          <w:lang w:val="zh-CN"/>
        </w:rPr>
        <w:t>的，应予以</w:t>
      </w:r>
      <w:r>
        <w:rPr>
          <w:lang w:val="zh-CN"/>
        </w:rPr>
        <w:t>废标</w:t>
      </w:r>
      <w:r>
        <w:rPr>
          <w:rFonts w:hint="eastAsia"/>
          <w:lang w:val="zh-CN"/>
        </w:rPr>
        <w:t>；已解密的响应文件不少于3家</w:t>
      </w:r>
      <w:r>
        <w:rPr>
          <w:lang w:val="zh-CN"/>
        </w:rPr>
        <w:t>的</w:t>
      </w:r>
      <w:r>
        <w:rPr>
          <w:rFonts w:hint="eastAsia"/>
          <w:lang w:val="zh-CN"/>
        </w:rPr>
        <w:t>，磋商继续进行。</w:t>
      </w:r>
    </w:p>
    <w:p w14:paraId="6512BB3C">
      <w:pPr>
        <w:numPr>
          <w:ilvl w:val="0"/>
          <w:numId w:val="32"/>
        </w:numPr>
        <w:wordWrap w:val="0"/>
        <w:adjustRightInd w:val="0"/>
        <w:snapToGrid w:val="0"/>
        <w:spacing w:line="360" w:lineRule="auto"/>
        <w:ind w:left="616" w:hanging="616"/>
        <w:rPr>
          <w:lang w:val="zh-CN"/>
        </w:rPr>
      </w:pPr>
      <w:r>
        <w:rPr>
          <w:rFonts w:hint="eastAsia"/>
          <w:lang w:val="zh-CN"/>
        </w:rPr>
        <w:t>工作人员在电子采购平台上组织磋商。</w:t>
      </w:r>
    </w:p>
    <w:p w14:paraId="2D1C5F81">
      <w:pPr>
        <w:numPr>
          <w:ilvl w:val="0"/>
          <w:numId w:val="32"/>
        </w:numPr>
        <w:wordWrap w:val="0"/>
        <w:adjustRightInd w:val="0"/>
        <w:snapToGrid w:val="0"/>
        <w:spacing w:line="360" w:lineRule="auto"/>
        <w:ind w:left="616" w:hanging="616"/>
        <w:rPr>
          <w:lang w:val="zh-CN"/>
        </w:rPr>
      </w:pPr>
      <w:bookmarkStart w:id="232" w:name="_Toc102114911"/>
      <w:bookmarkStart w:id="233" w:name="_Toc102057709"/>
      <w:bookmarkStart w:id="234" w:name="_Toc102116013"/>
      <w:bookmarkStart w:id="235" w:name="_Toc102119844"/>
      <w:bookmarkStart w:id="236" w:name="_Toc102056209"/>
      <w:bookmarkStart w:id="237" w:name="_Toc102116143"/>
      <w:r>
        <w:rPr>
          <w:lang w:val="zh-CN"/>
        </w:rPr>
        <w:t>供应商</w:t>
      </w:r>
      <w:r>
        <w:rPr>
          <w:rFonts w:hint="eastAsia"/>
          <w:lang w:val="zh-CN"/>
        </w:rPr>
        <w:t>或其</w:t>
      </w:r>
      <w:r>
        <w:rPr>
          <w:rFonts w:hint="eastAsia"/>
        </w:rPr>
        <w:t>授权</w:t>
      </w:r>
      <w:r>
        <w:rPr>
          <w:lang w:val="zh-CN"/>
        </w:rPr>
        <w:t>代表对磋商过程和磋商记录有疑义</w:t>
      </w:r>
      <w:r>
        <w:rPr>
          <w:rFonts w:hint="eastAsia"/>
          <w:lang w:val="zh-CN"/>
        </w:rPr>
        <w:t>的</w:t>
      </w:r>
      <w:r>
        <w:rPr>
          <w:lang w:val="zh-CN"/>
        </w:rPr>
        <w:t>，</w:t>
      </w:r>
      <w:r>
        <w:rPr>
          <w:rFonts w:hint="eastAsia"/>
          <w:lang w:val="zh-CN"/>
        </w:rPr>
        <w:t>以及</w:t>
      </w:r>
      <w:r>
        <w:rPr>
          <w:rFonts w:hint="eastAsia"/>
          <w:szCs w:val="24"/>
        </w:rPr>
        <w:t>认为采购人、集中采购机构相关工作人员有需要回避的情形的，</w:t>
      </w:r>
      <w:r>
        <w:rPr>
          <w:rFonts w:hint="eastAsia"/>
          <w:lang w:val="zh-CN"/>
        </w:rPr>
        <w:t>应当在磋商过程中提出；工作人员当场对疑义作出答复。疑义与答复应通过 “开标大厅”互动窗口中在</w:t>
      </w:r>
      <w:r>
        <w:rPr>
          <w:lang w:val="zh-CN"/>
        </w:rPr>
        <w:t>线</w:t>
      </w:r>
      <w:r>
        <w:rPr>
          <w:rFonts w:hint="eastAsia"/>
          <w:lang w:val="zh-CN"/>
        </w:rPr>
        <w:t>进行。</w:t>
      </w:r>
    </w:p>
    <w:p w14:paraId="53EF2A37">
      <w:pPr>
        <w:numPr>
          <w:ilvl w:val="0"/>
          <w:numId w:val="32"/>
        </w:numPr>
        <w:wordWrap w:val="0"/>
        <w:adjustRightInd w:val="0"/>
        <w:snapToGrid w:val="0"/>
        <w:spacing w:line="360" w:lineRule="auto"/>
        <w:ind w:left="616" w:hanging="616"/>
        <w:rPr>
          <w:lang w:val="zh-CN"/>
        </w:rPr>
      </w:pPr>
      <w:bookmarkStart w:id="238" w:name="_Toc107387536"/>
      <w:r>
        <w:rPr>
          <w:lang w:val="zh-CN"/>
        </w:rPr>
        <w:t>特殊情况的处置</w:t>
      </w:r>
      <w:bookmarkEnd w:id="238"/>
    </w:p>
    <w:p w14:paraId="65BB68E4">
      <w:pPr>
        <w:tabs>
          <w:tab w:val="left" w:pos="993"/>
        </w:tabs>
        <w:wordWrap w:val="0"/>
        <w:adjustRightInd w:val="0"/>
        <w:snapToGrid w:val="0"/>
        <w:spacing w:line="360" w:lineRule="auto"/>
        <w:ind w:firstLine="480" w:firstLineChars="200"/>
        <w:rPr>
          <w:szCs w:val="24"/>
        </w:rPr>
      </w:pPr>
      <w:r>
        <w:rPr>
          <w:rFonts w:hint="eastAsia"/>
          <w:szCs w:val="24"/>
        </w:rPr>
        <w:t>（</w:t>
      </w:r>
      <w:r>
        <w:rPr>
          <w:szCs w:val="24"/>
        </w:rPr>
        <w:t>1</w:t>
      </w:r>
      <w:r>
        <w:rPr>
          <w:rFonts w:hint="eastAsia"/>
          <w:szCs w:val="24"/>
        </w:rPr>
        <w:t>）</w:t>
      </w:r>
      <w:r>
        <w:rPr>
          <w:szCs w:val="24"/>
        </w:rPr>
        <w:t>因</w:t>
      </w:r>
      <w:r>
        <w:rPr>
          <w:rFonts w:hint="eastAsia"/>
          <w:szCs w:val="24"/>
        </w:rPr>
        <w:t>电子采购平台</w:t>
      </w:r>
      <w:r>
        <w:rPr>
          <w:szCs w:val="24"/>
        </w:rPr>
        <w:t>系统</w:t>
      </w:r>
      <w:r>
        <w:rPr>
          <w:rFonts w:hint="eastAsia"/>
          <w:szCs w:val="24"/>
        </w:rPr>
        <w:t>故障</w:t>
      </w:r>
      <w:r>
        <w:rPr>
          <w:szCs w:val="24"/>
        </w:rPr>
        <w:t>导致</w:t>
      </w:r>
      <w:r>
        <w:rPr>
          <w:rFonts w:hint="eastAsia"/>
          <w:szCs w:val="24"/>
        </w:rPr>
        <w:t>无法正常磋商的，采购人将</w:t>
      </w:r>
      <w:r>
        <w:rPr>
          <w:szCs w:val="24"/>
        </w:rPr>
        <w:t>暂停磋商</w:t>
      </w:r>
      <w:r>
        <w:rPr>
          <w:rFonts w:hint="eastAsia"/>
          <w:szCs w:val="24"/>
        </w:rPr>
        <w:t>，待系统恢复</w:t>
      </w:r>
      <w:r>
        <w:rPr>
          <w:szCs w:val="24"/>
        </w:rPr>
        <w:t>正常</w:t>
      </w:r>
      <w:r>
        <w:rPr>
          <w:rFonts w:hint="eastAsia"/>
          <w:szCs w:val="24"/>
        </w:rPr>
        <w:t>后继续磋商，也可按照本章“29</w:t>
      </w:r>
      <w:r>
        <w:rPr>
          <w:szCs w:val="24"/>
        </w:rPr>
        <w:t>.应急磋商程序</w:t>
      </w:r>
      <w:r>
        <w:rPr>
          <w:rFonts w:hint="eastAsia"/>
          <w:szCs w:val="24"/>
        </w:rPr>
        <w:t>”规定启动</w:t>
      </w:r>
      <w:r>
        <w:rPr>
          <w:szCs w:val="24"/>
        </w:rPr>
        <w:t>应急磋商程序</w:t>
      </w:r>
      <w:r>
        <w:rPr>
          <w:rFonts w:hint="eastAsia"/>
          <w:szCs w:val="24"/>
        </w:rPr>
        <w:t>；</w:t>
      </w:r>
    </w:p>
    <w:p w14:paraId="1B9E8729">
      <w:pPr>
        <w:tabs>
          <w:tab w:val="left" w:pos="993"/>
        </w:tabs>
        <w:wordWrap w:val="0"/>
        <w:adjustRightInd w:val="0"/>
        <w:snapToGrid w:val="0"/>
        <w:spacing w:line="360" w:lineRule="auto"/>
        <w:ind w:firstLine="480" w:firstLineChars="200"/>
      </w:pPr>
      <w:r>
        <w:rPr>
          <w:rFonts w:hint="eastAsia"/>
          <w:szCs w:val="24"/>
        </w:rPr>
        <w:t>（</w:t>
      </w:r>
      <w:r>
        <w:rPr>
          <w:szCs w:val="24"/>
        </w:rPr>
        <w:t>2</w:t>
      </w:r>
      <w:r>
        <w:rPr>
          <w:rFonts w:hint="eastAsia"/>
          <w:szCs w:val="24"/>
        </w:rPr>
        <w:t>）“电子采购平台</w:t>
      </w:r>
      <w:r>
        <w:rPr>
          <w:szCs w:val="24"/>
        </w:rPr>
        <w:t>系统</w:t>
      </w:r>
      <w:r>
        <w:rPr>
          <w:rFonts w:hint="eastAsia"/>
          <w:szCs w:val="24"/>
        </w:rPr>
        <w:t>故障”是指：</w:t>
      </w:r>
      <w:r>
        <w:rPr>
          <w:szCs w:val="24"/>
        </w:rPr>
        <w:t>系统服务器发生故障，无法访问或无法使用系统；系统的软件或数据库出现错误，不能进行正常操作；系统发现有安全漏洞，有潜在的泄密危险；</w:t>
      </w:r>
      <w:r>
        <w:rPr>
          <w:rFonts w:hint="eastAsia"/>
          <w:szCs w:val="24"/>
        </w:rPr>
        <w:t>出现断电、断网事故；</w:t>
      </w:r>
      <w:r>
        <w:rPr>
          <w:szCs w:val="24"/>
        </w:rPr>
        <w:t>其他无法保证磋商过程</w:t>
      </w:r>
      <w:r>
        <w:rPr>
          <w:rFonts w:hint="eastAsia"/>
          <w:szCs w:val="24"/>
        </w:rPr>
        <w:t>正常进行</w:t>
      </w:r>
      <w:r>
        <w:rPr>
          <w:szCs w:val="24"/>
        </w:rPr>
        <w:t>的情形。</w:t>
      </w:r>
    </w:p>
    <w:p w14:paraId="6916FEE5">
      <w:pPr>
        <w:pStyle w:val="44"/>
        <w:numPr>
          <w:ilvl w:val="0"/>
          <w:numId w:val="9"/>
        </w:numPr>
        <w:spacing w:line="360" w:lineRule="auto"/>
        <w:ind w:left="284" w:hanging="284" w:firstLineChars="0"/>
        <w:rPr>
          <w:b/>
          <w:szCs w:val="24"/>
          <w:lang w:val="zh-CN"/>
        </w:rPr>
      </w:pPr>
      <w:r>
        <w:rPr>
          <w:rFonts w:hint="eastAsia"/>
          <w:b/>
          <w:szCs w:val="24"/>
          <w:lang w:val="zh-CN"/>
        </w:rPr>
        <w:t>应急磋商程序</w:t>
      </w:r>
      <w:bookmarkEnd w:id="232"/>
      <w:bookmarkEnd w:id="233"/>
      <w:bookmarkEnd w:id="234"/>
      <w:bookmarkEnd w:id="235"/>
      <w:bookmarkEnd w:id="236"/>
      <w:bookmarkEnd w:id="237"/>
    </w:p>
    <w:p w14:paraId="0D5615B8">
      <w:pPr>
        <w:numPr>
          <w:ilvl w:val="0"/>
          <w:numId w:val="33"/>
        </w:numPr>
        <w:wordWrap w:val="0"/>
        <w:adjustRightInd w:val="0"/>
        <w:snapToGrid w:val="0"/>
        <w:spacing w:line="360" w:lineRule="auto"/>
        <w:ind w:left="618" w:hanging="618"/>
        <w:rPr>
          <w:lang w:val="zh-CN"/>
        </w:rPr>
      </w:pPr>
      <w:r>
        <w:rPr>
          <w:rFonts w:hint="eastAsia"/>
          <w:bCs/>
        </w:rPr>
        <w:t>磋商</w:t>
      </w:r>
      <w:r>
        <w:rPr>
          <w:rFonts w:hint="eastAsia"/>
          <w:lang w:val="zh-CN"/>
        </w:rPr>
        <w:t>过程</w:t>
      </w:r>
      <w:r>
        <w:rPr>
          <w:rFonts w:hint="eastAsia"/>
          <w:bCs/>
        </w:rPr>
        <w:t>中若出现“电子采购平台系统故障”</w:t>
      </w:r>
      <w:r>
        <w:rPr>
          <w:rFonts w:hint="eastAsia"/>
          <w:lang w:val="zh-CN"/>
        </w:rPr>
        <w:t>时</w:t>
      </w:r>
      <w:r>
        <w:rPr>
          <w:bCs/>
        </w:rPr>
        <w:t>，</w:t>
      </w:r>
      <w:r>
        <w:rPr>
          <w:rFonts w:hint="eastAsia"/>
          <w:bCs/>
        </w:rPr>
        <w:t>可以在采购人代表的监督下，启动应急磋商程序。</w:t>
      </w:r>
    </w:p>
    <w:p w14:paraId="3A85606B">
      <w:pPr>
        <w:numPr>
          <w:ilvl w:val="0"/>
          <w:numId w:val="33"/>
        </w:numPr>
        <w:wordWrap w:val="0"/>
        <w:adjustRightInd w:val="0"/>
        <w:snapToGrid w:val="0"/>
        <w:spacing w:line="360" w:lineRule="auto"/>
        <w:ind w:left="618" w:hanging="618"/>
      </w:pPr>
      <w:r>
        <w:rPr>
          <w:rFonts w:hint="eastAsia"/>
        </w:rPr>
        <w:t>应急</w:t>
      </w:r>
      <w:r>
        <w:rPr>
          <w:rFonts w:hint="eastAsia"/>
          <w:bCs/>
        </w:rPr>
        <w:t>磋商程序</w:t>
      </w:r>
      <w:r>
        <w:rPr>
          <w:rFonts w:hint="eastAsia"/>
        </w:rPr>
        <w:t>如下：</w:t>
      </w:r>
    </w:p>
    <w:p w14:paraId="726DC2DF">
      <w:pPr>
        <w:tabs>
          <w:tab w:val="left" w:pos="709"/>
        </w:tabs>
        <w:wordWrap w:val="0"/>
        <w:adjustRightInd w:val="0"/>
        <w:snapToGrid w:val="0"/>
        <w:spacing w:line="360" w:lineRule="auto"/>
        <w:ind w:firstLine="480" w:firstLineChars="200"/>
      </w:pPr>
      <w:r>
        <w:rPr>
          <w:rFonts w:hint="eastAsia"/>
        </w:rPr>
        <w:t>（1）工作人员电话通知所有供应商，启动应急磋商程序；</w:t>
      </w:r>
      <w:r>
        <w:t xml:space="preserve"> </w:t>
      </w:r>
    </w:p>
    <w:p w14:paraId="4D1EE595">
      <w:pPr>
        <w:tabs>
          <w:tab w:val="left" w:pos="709"/>
        </w:tabs>
        <w:wordWrap w:val="0"/>
        <w:adjustRightInd w:val="0"/>
        <w:snapToGrid w:val="0"/>
        <w:spacing w:line="360" w:lineRule="auto"/>
        <w:ind w:firstLine="480" w:firstLineChars="200"/>
      </w:pPr>
      <w:r>
        <w:rPr>
          <w:rFonts w:hint="eastAsia"/>
        </w:rPr>
        <w:t>（2）供应商接到通知后，应在40分钟内通过电子邮件（接收响应文件邮箱：</w:t>
      </w:r>
      <w:r>
        <w:rPr>
          <w:rFonts w:hint="eastAsia"/>
          <w:b/>
        </w:rPr>
        <w:t>（</w:t>
      </w:r>
      <w:r>
        <w:rPr>
          <w:rFonts w:hint="eastAsia"/>
          <w:lang w:val="en-US" w:eastAsia="zh-CN"/>
        </w:rPr>
        <w:t>1215848566@qq.com</w:t>
      </w:r>
      <w:r>
        <w:rPr>
          <w:rFonts w:hint="eastAsia"/>
          <w:b/>
        </w:rPr>
        <w:t>）</w:t>
      </w:r>
      <w:r>
        <w:rPr>
          <w:rFonts w:hint="eastAsia"/>
        </w:rPr>
        <w:t>提交响应文件（电子采购平台上下载的盖章且未加密的文件），响应文件应与电子采购平台上提交的文件内容一致（在非应急磋商期间集中采购机构将不接受、不处理任何通过电子邮件提交的响应文件）；未按规定时间提交或提交的文件未按要求进行编制、签署的，按照</w:t>
      </w:r>
      <w:r>
        <w:rPr>
          <w:rFonts w:hint="eastAsia"/>
          <w:b/>
        </w:rPr>
        <w:t>无效响应处理；</w:t>
      </w:r>
    </w:p>
    <w:p w14:paraId="24D71D38">
      <w:pPr>
        <w:tabs>
          <w:tab w:val="left" w:pos="709"/>
        </w:tabs>
        <w:wordWrap w:val="0"/>
        <w:adjustRightInd w:val="0"/>
        <w:snapToGrid w:val="0"/>
        <w:spacing w:line="360" w:lineRule="auto"/>
        <w:ind w:firstLine="480" w:firstLineChars="200"/>
      </w:pPr>
      <w:r>
        <w:rPr>
          <w:rFonts w:hint="eastAsia"/>
        </w:rPr>
        <w:t>（</w:t>
      </w:r>
      <w:r>
        <w:t>3</w:t>
      </w:r>
      <w:r>
        <w:rPr>
          <w:rFonts w:hint="eastAsia"/>
        </w:rPr>
        <w:t>）提交响应文件时间截止后，工作人员及时下载响应文件。</w:t>
      </w:r>
      <w:r>
        <w:tab/>
      </w:r>
      <w:r>
        <w:rPr>
          <w:rFonts w:hint="eastAsia"/>
        </w:rPr>
        <w:t>磋商</w:t>
      </w:r>
      <w:r>
        <w:t>小组通过电话等通信工具工具与供应商进行</w:t>
      </w:r>
      <w:r>
        <w:rPr>
          <w:rFonts w:hint="eastAsia"/>
        </w:rPr>
        <w:t>磋商</w:t>
      </w:r>
      <w:r>
        <w:t>，</w:t>
      </w:r>
      <w:r>
        <w:rPr>
          <w:rFonts w:hint="eastAsia"/>
        </w:rPr>
        <w:t>磋商</w:t>
      </w:r>
      <w:r>
        <w:t>结束后，供应商应按</w:t>
      </w:r>
      <w:r>
        <w:rPr>
          <w:rFonts w:hint="eastAsia"/>
        </w:rPr>
        <w:t>磋商</w:t>
      </w:r>
      <w:r>
        <w:t>小组要求及时提交最后报价。最后报价应通过响应文件接收邮箱提交。未在规定时间内（一般</w:t>
      </w:r>
      <w:r>
        <w:rPr>
          <w:rFonts w:hint="eastAsia"/>
          <w:lang w:val="en-US" w:eastAsia="zh-CN"/>
        </w:rPr>
        <w:t>30</w:t>
      </w:r>
      <w:r>
        <w:t>分钟内）提交的，视同</w:t>
      </w:r>
      <w:r>
        <w:rPr>
          <w:rFonts w:hint="eastAsia"/>
        </w:rPr>
        <w:t>退出磋商；</w:t>
      </w:r>
      <w:r>
        <w:t xml:space="preserve"> </w:t>
      </w:r>
    </w:p>
    <w:p w14:paraId="54AE9865">
      <w:pPr>
        <w:tabs>
          <w:tab w:val="left" w:pos="709"/>
        </w:tabs>
        <w:wordWrap w:val="0"/>
        <w:adjustRightInd w:val="0"/>
        <w:snapToGrid w:val="0"/>
        <w:spacing w:line="360" w:lineRule="auto"/>
        <w:ind w:firstLine="480" w:firstLineChars="200"/>
      </w:pPr>
      <w:r>
        <w:rPr>
          <w:rFonts w:hint="eastAsia"/>
        </w:rPr>
        <w:t>（</w:t>
      </w:r>
      <w:r>
        <w:t>4</w:t>
      </w:r>
      <w:r>
        <w:rPr>
          <w:rFonts w:hint="eastAsia"/>
        </w:rPr>
        <w:t>）磋商结束。</w:t>
      </w:r>
    </w:p>
    <w:p w14:paraId="74B24F70">
      <w:pPr>
        <w:numPr>
          <w:ilvl w:val="0"/>
          <w:numId w:val="33"/>
        </w:numPr>
        <w:wordWrap w:val="0"/>
        <w:adjustRightInd w:val="0"/>
        <w:snapToGrid w:val="0"/>
        <w:spacing w:line="360" w:lineRule="auto"/>
        <w:ind w:left="618" w:hanging="618"/>
        <w:rPr>
          <w:bCs/>
        </w:rPr>
      </w:pPr>
      <w:r>
        <w:rPr>
          <w:rFonts w:hint="eastAsia"/>
          <w:lang w:val="zh-CN"/>
        </w:rPr>
        <w:t>截</w:t>
      </w:r>
      <w:r>
        <w:rPr>
          <w:rFonts w:hint="eastAsia"/>
          <w:bCs/>
        </w:rPr>
        <w:t>止响应文件提交时间，供应商不足3家的，不进行磋商。</w:t>
      </w:r>
    </w:p>
    <w:p w14:paraId="1FBAF723">
      <w:pPr>
        <w:numPr>
          <w:ilvl w:val="0"/>
          <w:numId w:val="33"/>
        </w:numPr>
        <w:wordWrap w:val="0"/>
        <w:adjustRightInd w:val="0"/>
        <w:snapToGrid w:val="0"/>
        <w:spacing w:line="360" w:lineRule="auto"/>
        <w:ind w:left="618" w:hanging="618"/>
        <w:rPr>
          <w:lang w:val="zh-CN"/>
        </w:rPr>
      </w:pPr>
      <w:r>
        <w:rPr>
          <w:rFonts w:hint="eastAsia"/>
          <w:bCs/>
        </w:rPr>
        <w:t>磋商、</w:t>
      </w:r>
      <w:r>
        <w:rPr>
          <w:rFonts w:hint="eastAsia"/>
        </w:rPr>
        <w:t>评审均以电子邮件提交的响应文件为准。</w:t>
      </w:r>
      <w:r>
        <w:rPr>
          <w:lang w:val="zh-CN"/>
        </w:rPr>
        <w:t xml:space="preserve"> </w:t>
      </w:r>
    </w:p>
    <w:p w14:paraId="7D274624">
      <w:pPr>
        <w:pStyle w:val="44"/>
        <w:numPr>
          <w:ilvl w:val="0"/>
          <w:numId w:val="9"/>
        </w:numPr>
        <w:spacing w:line="360" w:lineRule="auto"/>
        <w:ind w:left="284" w:hanging="284" w:firstLineChars="0"/>
        <w:rPr>
          <w:b/>
          <w:szCs w:val="24"/>
          <w:lang w:val="zh-CN"/>
        </w:rPr>
      </w:pPr>
      <w:r>
        <w:rPr>
          <w:rFonts w:hint="eastAsia"/>
          <w:b/>
          <w:szCs w:val="24"/>
          <w:lang w:val="zh-CN"/>
        </w:rPr>
        <w:t>评审方法、程序及标准</w:t>
      </w:r>
    </w:p>
    <w:p w14:paraId="7F8D9EFE">
      <w:pPr>
        <w:wordWrap w:val="0"/>
        <w:adjustRightInd w:val="0"/>
        <w:snapToGrid w:val="0"/>
        <w:spacing w:line="360" w:lineRule="auto"/>
        <w:ind w:left="420"/>
        <w:rPr>
          <w:rFonts w:cs="Helvetica"/>
          <w:szCs w:val="24"/>
          <w:lang w:val="zh-CN"/>
        </w:rPr>
      </w:pPr>
      <w:r>
        <w:rPr>
          <w:rFonts w:hint="eastAsia" w:cs="Helvetica"/>
          <w:szCs w:val="24"/>
          <w:lang w:val="zh-CN"/>
        </w:rPr>
        <w:t>详见第四章“评审办法”。</w:t>
      </w:r>
    </w:p>
    <w:p w14:paraId="0BDF2D7E">
      <w:pPr>
        <w:pStyle w:val="4"/>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39" w:name="_Toc117244469"/>
      <w:bookmarkStart w:id="240" w:name="_Toc102056220"/>
      <w:bookmarkStart w:id="241" w:name="_Toc117244354"/>
      <w:bookmarkStart w:id="242" w:name="_Toc122527530"/>
      <w:bookmarkStart w:id="243" w:name="_Toc511894500"/>
      <w:bookmarkStart w:id="244" w:name="_Toc102057720"/>
      <w:bookmarkStart w:id="245" w:name="_Toc102119855"/>
      <w:bookmarkStart w:id="246" w:name="_Toc102114922"/>
      <w:bookmarkStart w:id="247" w:name="_Toc102116024"/>
      <w:bookmarkStart w:id="248" w:name="_Toc102116154"/>
      <w:bookmarkStart w:id="249" w:name="_Toc511889422"/>
      <w:r>
        <w:rPr>
          <w:rFonts w:ascii="宋体" w:hAnsi="宋体" w:eastAsia="宋体" w:cs="Times New Roman"/>
          <w:bCs w:val="0"/>
          <w:sz w:val="28"/>
          <w:szCs w:val="28"/>
          <w:lang w:val="zh-CN"/>
        </w:rPr>
        <w:t>成交</w:t>
      </w:r>
      <w:r>
        <w:rPr>
          <w:rFonts w:hint="eastAsia" w:ascii="宋体" w:hAnsi="宋体" w:eastAsia="宋体" w:cs="Times New Roman"/>
          <w:bCs w:val="0"/>
          <w:sz w:val="28"/>
          <w:szCs w:val="28"/>
          <w:lang w:val="zh-CN"/>
        </w:rPr>
        <w:t>与</w:t>
      </w:r>
      <w:r>
        <w:rPr>
          <w:rFonts w:ascii="宋体" w:hAnsi="宋体" w:eastAsia="宋体" w:cs="Times New Roman"/>
          <w:bCs w:val="0"/>
          <w:sz w:val="28"/>
          <w:szCs w:val="28"/>
          <w:lang w:val="zh-CN"/>
        </w:rPr>
        <w:t>合同</w:t>
      </w:r>
      <w:bookmarkEnd w:id="239"/>
      <w:bookmarkEnd w:id="240"/>
      <w:bookmarkEnd w:id="241"/>
      <w:bookmarkEnd w:id="242"/>
      <w:bookmarkEnd w:id="243"/>
      <w:bookmarkEnd w:id="244"/>
      <w:bookmarkEnd w:id="245"/>
      <w:bookmarkEnd w:id="246"/>
      <w:bookmarkEnd w:id="247"/>
      <w:bookmarkEnd w:id="248"/>
      <w:bookmarkEnd w:id="249"/>
    </w:p>
    <w:p w14:paraId="01F40B40">
      <w:pPr>
        <w:pStyle w:val="44"/>
        <w:numPr>
          <w:ilvl w:val="0"/>
          <w:numId w:val="9"/>
        </w:numPr>
        <w:spacing w:line="360" w:lineRule="auto"/>
        <w:ind w:left="284" w:hanging="284" w:firstLineChars="0"/>
        <w:rPr>
          <w:b/>
          <w:szCs w:val="24"/>
          <w:lang w:val="zh-CN"/>
        </w:rPr>
      </w:pPr>
      <w:bookmarkStart w:id="250" w:name="_Toc102116155"/>
      <w:bookmarkStart w:id="251" w:name="_Toc102119856"/>
      <w:bookmarkStart w:id="252" w:name="_Toc102114923"/>
      <w:bookmarkStart w:id="253" w:name="_Toc102056221"/>
      <w:bookmarkStart w:id="254" w:name="_Toc102116025"/>
      <w:bookmarkStart w:id="255" w:name="_Toc102057721"/>
      <w:r>
        <w:rPr>
          <w:rFonts w:hint="eastAsia"/>
          <w:b/>
          <w:szCs w:val="24"/>
          <w:lang w:val="zh-CN"/>
        </w:rPr>
        <w:t>确定成交供应商</w:t>
      </w:r>
      <w:bookmarkEnd w:id="250"/>
      <w:bookmarkEnd w:id="251"/>
      <w:bookmarkEnd w:id="252"/>
      <w:bookmarkEnd w:id="253"/>
      <w:bookmarkEnd w:id="254"/>
      <w:bookmarkEnd w:id="255"/>
    </w:p>
    <w:p w14:paraId="57E2A387">
      <w:pPr>
        <w:pStyle w:val="11"/>
        <w:wordWrap w:val="0"/>
        <w:adjustRightInd w:val="0"/>
        <w:snapToGrid w:val="0"/>
        <w:spacing w:line="360" w:lineRule="auto"/>
        <w:ind w:firstLine="480" w:firstLineChars="200"/>
        <w:rPr>
          <w:lang w:val="zh-CN"/>
        </w:rPr>
      </w:pPr>
      <w:r>
        <w:rPr>
          <w:rFonts w:hint="eastAsia"/>
        </w:rPr>
        <w:t>采购人从</w:t>
      </w:r>
      <w:r>
        <w:rPr>
          <w:rFonts w:cs="Helvetica"/>
          <w:szCs w:val="24"/>
          <w:lang w:val="zh-CN"/>
        </w:rPr>
        <w:t>磋商小组</w:t>
      </w:r>
      <w:r>
        <w:rPr>
          <w:rFonts w:hint="eastAsia"/>
        </w:rPr>
        <w:t>提出的成交候选人中，</w:t>
      </w:r>
      <w:r>
        <w:t>按照排序由高到低的</w:t>
      </w:r>
      <w:r>
        <w:rPr>
          <w:rFonts w:hint="eastAsia"/>
        </w:rPr>
        <w:t>顺序，</w:t>
      </w:r>
      <w:r>
        <w:t>确定成交供应商</w:t>
      </w:r>
      <w:r>
        <w:rPr>
          <w:rFonts w:hint="eastAsia" w:cs="Helvetica"/>
          <w:szCs w:val="24"/>
          <w:lang w:val="zh-CN"/>
        </w:rPr>
        <w:t>。</w:t>
      </w:r>
    </w:p>
    <w:p w14:paraId="531336B4">
      <w:pPr>
        <w:pStyle w:val="44"/>
        <w:numPr>
          <w:ilvl w:val="0"/>
          <w:numId w:val="9"/>
        </w:numPr>
        <w:spacing w:line="360" w:lineRule="auto"/>
        <w:ind w:left="284" w:hanging="284" w:firstLineChars="0"/>
        <w:rPr>
          <w:b/>
          <w:szCs w:val="24"/>
          <w:lang w:val="zh-CN"/>
        </w:rPr>
      </w:pPr>
      <w:r>
        <w:rPr>
          <w:rFonts w:hint="eastAsia"/>
          <w:b/>
          <w:szCs w:val="24"/>
          <w:lang w:val="zh-CN"/>
        </w:rPr>
        <w:t>成交公告</w:t>
      </w:r>
    </w:p>
    <w:p w14:paraId="4F20B92C">
      <w:pPr>
        <w:numPr>
          <w:ilvl w:val="0"/>
          <w:numId w:val="34"/>
        </w:numPr>
        <w:tabs>
          <w:tab w:val="left" w:pos="616"/>
        </w:tabs>
        <w:wordWrap w:val="0"/>
        <w:adjustRightInd w:val="0"/>
        <w:snapToGrid w:val="0"/>
        <w:spacing w:line="360" w:lineRule="auto"/>
        <w:rPr>
          <w:lang w:val="zh-CN"/>
        </w:rPr>
      </w:pPr>
      <w:r>
        <w:rPr>
          <w:rFonts w:hint="eastAsia"/>
          <w:lang w:val="zh-CN"/>
        </w:rPr>
        <w:t>集中采购机构自成交供应商确定之日起2个工作日内，在规定媒体上发布成交公告，成交公告的公示期为1个工作日，同时向成交供应商和采购人发出</w:t>
      </w:r>
      <w:r>
        <w:rPr>
          <w:rFonts w:hint="eastAsia" w:cs="Helvetica"/>
          <w:szCs w:val="24"/>
          <w:lang w:val="zh-CN"/>
        </w:rPr>
        <w:t>《成交通知书》</w:t>
      </w:r>
      <w:r>
        <w:rPr>
          <w:rFonts w:hint="eastAsia"/>
          <w:lang w:val="zh-CN"/>
        </w:rPr>
        <w:t>。成交通知书发出后，任何单位不得擅自改变成交结果，成交供应商无正当理由放弃成交的，应当依法承担法律责任。</w:t>
      </w:r>
    </w:p>
    <w:p w14:paraId="22DE5993">
      <w:pPr>
        <w:pStyle w:val="44"/>
        <w:numPr>
          <w:ilvl w:val="0"/>
          <w:numId w:val="9"/>
        </w:numPr>
        <w:spacing w:line="360" w:lineRule="auto"/>
        <w:ind w:left="284" w:hanging="284" w:firstLineChars="0"/>
        <w:rPr>
          <w:b/>
          <w:szCs w:val="24"/>
          <w:lang w:val="zh-CN"/>
        </w:rPr>
      </w:pPr>
      <w:bookmarkStart w:id="256" w:name="_Toc102114925"/>
      <w:bookmarkStart w:id="257" w:name="_Toc102116157"/>
      <w:bookmarkStart w:id="258" w:name="_Toc102116027"/>
      <w:bookmarkStart w:id="259" w:name="_Toc102119858"/>
      <w:bookmarkStart w:id="260" w:name="_Toc102056223"/>
      <w:bookmarkStart w:id="261" w:name="_Toc102057723"/>
      <w:r>
        <w:rPr>
          <w:rFonts w:hint="eastAsia"/>
          <w:b/>
          <w:szCs w:val="24"/>
          <w:lang w:val="zh-CN"/>
        </w:rPr>
        <w:t>合同签订</w:t>
      </w:r>
      <w:bookmarkEnd w:id="256"/>
      <w:bookmarkEnd w:id="257"/>
      <w:bookmarkEnd w:id="258"/>
      <w:bookmarkEnd w:id="259"/>
      <w:bookmarkEnd w:id="260"/>
      <w:bookmarkEnd w:id="261"/>
    </w:p>
    <w:p w14:paraId="0C504ED8">
      <w:pPr>
        <w:numPr>
          <w:ilvl w:val="0"/>
          <w:numId w:val="35"/>
        </w:numPr>
        <w:tabs>
          <w:tab w:val="left" w:pos="616"/>
        </w:tabs>
        <w:wordWrap w:val="0"/>
        <w:adjustRightInd w:val="0"/>
        <w:snapToGrid w:val="0"/>
        <w:spacing w:line="360" w:lineRule="auto"/>
        <w:ind w:left="616" w:hanging="616"/>
        <w:rPr>
          <w:lang w:val="zh-CN"/>
        </w:rPr>
      </w:pPr>
      <w:r>
        <w:rPr>
          <w:lang w:val="zh-CN"/>
        </w:rPr>
        <w:t>采购人应当自成交通知书发出之日起</w:t>
      </w:r>
      <w:r>
        <w:rPr>
          <w:rFonts w:hint="eastAsia"/>
          <w:lang w:val="en-US" w:eastAsia="zh-CN"/>
        </w:rPr>
        <w:t>10</w:t>
      </w:r>
      <w:r>
        <w:rPr>
          <w:lang w:val="zh-CN"/>
        </w:rPr>
        <w:t>日内与成交</w:t>
      </w:r>
      <w:r>
        <w:rPr>
          <w:rFonts w:hint="eastAsia"/>
          <w:lang w:val="zh-CN"/>
        </w:rPr>
        <w:t>供应商</w:t>
      </w:r>
      <w:r>
        <w:rPr>
          <w:lang w:val="zh-CN"/>
        </w:rPr>
        <w:t>签订</w:t>
      </w:r>
      <w:r>
        <w:rPr>
          <w:rFonts w:hint="eastAsia"/>
          <w:lang w:val="zh-CN"/>
        </w:rPr>
        <w:t>政府采购</w:t>
      </w:r>
      <w:r>
        <w:rPr>
          <w:lang w:val="zh-CN"/>
        </w:rPr>
        <w:t>合同。</w:t>
      </w:r>
      <w:r>
        <w:rPr>
          <w:rFonts w:hint="eastAsia"/>
          <w:lang w:val="zh-CN"/>
        </w:rPr>
        <w:t>采购人应当按照</w:t>
      </w:r>
      <w:r>
        <w:rPr>
          <w:lang w:val="zh-CN"/>
        </w:rPr>
        <w:t>竞争性磋商文件确定的事项和成交</w:t>
      </w:r>
      <w:r>
        <w:rPr>
          <w:rFonts w:hint="eastAsia"/>
          <w:lang w:val="zh-CN"/>
        </w:rPr>
        <w:t>供应商响应文件签订政府采购合同，合同要素应当与竞争性磋商文件、成交通知书和响应文件等相关内容一致</w:t>
      </w:r>
      <w:r>
        <w:rPr>
          <w:lang w:val="zh-CN"/>
        </w:rPr>
        <w:t>。</w:t>
      </w:r>
    </w:p>
    <w:p w14:paraId="0245A8A3">
      <w:pPr>
        <w:numPr>
          <w:ilvl w:val="0"/>
          <w:numId w:val="35"/>
        </w:numPr>
        <w:tabs>
          <w:tab w:val="left" w:pos="616"/>
        </w:tabs>
        <w:wordWrap w:val="0"/>
        <w:adjustRightInd w:val="0"/>
        <w:snapToGrid w:val="0"/>
        <w:spacing w:line="360" w:lineRule="auto"/>
        <w:ind w:left="616" w:hanging="616"/>
        <w:rPr>
          <w:lang w:val="zh-CN"/>
        </w:rPr>
      </w:pPr>
      <w:r>
        <w:rPr>
          <w:rFonts w:hint="eastAsia"/>
          <w:lang w:val="zh-CN"/>
        </w:rPr>
        <w:t>政府采购合同签订之日起2个工作日内，应当将政府采购合同在规定的媒体上公告，但政府采购合同中涉及国家秘密、商业秘密的内容除外。</w:t>
      </w:r>
    </w:p>
    <w:p w14:paraId="7C3EE042">
      <w:pPr>
        <w:pStyle w:val="44"/>
        <w:numPr>
          <w:ilvl w:val="0"/>
          <w:numId w:val="9"/>
        </w:numPr>
        <w:spacing w:line="360" w:lineRule="auto"/>
        <w:ind w:left="284" w:hanging="284" w:firstLineChars="0"/>
        <w:rPr>
          <w:b/>
          <w:szCs w:val="24"/>
          <w:lang w:val="zh-CN"/>
        </w:rPr>
      </w:pPr>
      <w:r>
        <w:rPr>
          <w:rFonts w:hint="eastAsia"/>
          <w:b/>
          <w:szCs w:val="24"/>
          <w:lang w:val="zh-CN"/>
        </w:rPr>
        <w:t>合同变更</w:t>
      </w:r>
    </w:p>
    <w:p w14:paraId="7A1C7E6D">
      <w:pPr>
        <w:numPr>
          <w:ilvl w:val="0"/>
          <w:numId w:val="36"/>
        </w:numPr>
        <w:tabs>
          <w:tab w:val="left" w:pos="616"/>
        </w:tabs>
        <w:wordWrap w:val="0"/>
        <w:adjustRightInd w:val="0"/>
        <w:snapToGrid w:val="0"/>
        <w:spacing w:line="360" w:lineRule="auto"/>
        <w:rPr>
          <w:rFonts w:cs="Helvetica"/>
          <w:szCs w:val="24"/>
          <w:lang w:val="zh-CN"/>
        </w:rPr>
      </w:pPr>
      <w:r>
        <w:rPr>
          <w:rFonts w:hint="eastAsia"/>
          <w:szCs w:val="24"/>
          <w:lang w:val="zh-CN"/>
        </w:rPr>
        <w:t>政府采购合同的双方当事人不得擅自变更、中止或终止合同。</w:t>
      </w:r>
    </w:p>
    <w:p w14:paraId="2F83810C">
      <w:pPr>
        <w:numPr>
          <w:ilvl w:val="0"/>
          <w:numId w:val="36"/>
        </w:numPr>
        <w:tabs>
          <w:tab w:val="left" w:pos="616"/>
        </w:tabs>
        <w:wordWrap w:val="0"/>
        <w:adjustRightInd w:val="0"/>
        <w:snapToGrid w:val="0"/>
        <w:spacing w:line="360" w:lineRule="auto"/>
        <w:ind w:left="616" w:hanging="616"/>
        <w:rPr>
          <w:rFonts w:cs="Helvetica"/>
          <w:szCs w:val="24"/>
          <w:lang w:val="zh-CN"/>
        </w:rPr>
      </w:pPr>
      <w:r>
        <w:rPr>
          <w:rFonts w:hint="eastAsia" w:cs="Helvetica"/>
          <w:szCs w:val="24"/>
          <w:lang w:val="zh-CN"/>
        </w:rPr>
        <w:t>政府采购合同履行中，采购人需追加与合同标的相同的货物或服务的，在不改变合同其它条款的前提下，可以与成交供应商协商签订补充合同，但所有补充合同的采购金额不得超过原合同采购金额的百分之十</w:t>
      </w:r>
      <w:r>
        <w:rPr>
          <w:rFonts w:cs="Helvetica"/>
          <w:szCs w:val="24"/>
          <w:lang w:val="zh-CN"/>
        </w:rPr>
        <w:t>。</w:t>
      </w:r>
    </w:p>
    <w:p w14:paraId="4189D7FC">
      <w:pPr>
        <w:numPr>
          <w:ilvl w:val="0"/>
          <w:numId w:val="36"/>
        </w:numPr>
        <w:tabs>
          <w:tab w:val="left" w:pos="616"/>
        </w:tabs>
        <w:wordWrap w:val="0"/>
        <w:adjustRightInd w:val="0"/>
        <w:snapToGrid w:val="0"/>
        <w:spacing w:line="360" w:lineRule="auto"/>
        <w:ind w:left="616" w:hanging="616"/>
        <w:rPr>
          <w:szCs w:val="24"/>
          <w:lang w:val="zh-CN"/>
        </w:rPr>
      </w:pPr>
      <w:r>
        <w:rPr>
          <w:rFonts w:hint="eastAsia"/>
          <w:szCs w:val="24"/>
          <w:lang w:val="zh-CN"/>
        </w:rPr>
        <w:t>政府采购合同继续履行将损害国家利益和社会公共利益的，双方当事人应当变更、中止或终止合同。有过错的一方应当承担赔偿责任，双方都过错的，各自承担相应的责任。</w:t>
      </w:r>
    </w:p>
    <w:p w14:paraId="2464085B">
      <w:pPr>
        <w:pStyle w:val="44"/>
        <w:numPr>
          <w:ilvl w:val="0"/>
          <w:numId w:val="9"/>
        </w:numPr>
        <w:spacing w:line="360" w:lineRule="auto"/>
        <w:ind w:left="284" w:hanging="284" w:firstLineChars="0"/>
        <w:rPr>
          <w:b/>
          <w:szCs w:val="24"/>
          <w:lang w:val="zh-CN"/>
        </w:rPr>
      </w:pPr>
      <w:bookmarkStart w:id="262" w:name="_Toc102115990"/>
      <w:bookmarkStart w:id="263" w:name="_Toc102114888"/>
      <w:bookmarkStart w:id="264" w:name="_Toc102119821"/>
      <w:bookmarkStart w:id="265" w:name="_Toc102116120"/>
      <w:r>
        <w:rPr>
          <w:rFonts w:hint="eastAsia"/>
          <w:b/>
          <w:szCs w:val="24"/>
          <w:lang w:val="zh-CN"/>
        </w:rPr>
        <w:t>合同融资</w:t>
      </w:r>
    </w:p>
    <w:p w14:paraId="20C31393">
      <w:pPr>
        <w:wordWrap w:val="0"/>
        <w:adjustRightInd w:val="0"/>
        <w:snapToGrid w:val="0"/>
        <w:spacing w:line="360" w:lineRule="auto"/>
        <w:ind w:firstLine="480" w:firstLineChars="200"/>
        <w:rPr>
          <w:lang w:val="zh-CN"/>
        </w:rPr>
      </w:pPr>
      <w:r>
        <w:rPr>
          <w:rFonts w:hint="eastAsia"/>
          <w:szCs w:val="24"/>
          <w:lang w:val="zh-CN"/>
        </w:rPr>
        <w:t>政府采购合同融资（政采贷）：为加大金融支持实体经济发展的力度，充分发挥政府采购支持中小企业发展的政策功能，参与政府采购活动的中小微企业，若有融资需求，在获得政府采购成交（成交）通知书后，向开展“政采贷”业务的金融机构提出申请，金融机构依据政府采购成交（成交）通知书和政府采购合同，为其提供融资服务。</w:t>
      </w:r>
      <w:bookmarkEnd w:id="262"/>
      <w:bookmarkEnd w:id="263"/>
      <w:bookmarkEnd w:id="264"/>
      <w:bookmarkEnd w:id="265"/>
    </w:p>
    <w:p w14:paraId="013FEF5D">
      <w:pPr>
        <w:pStyle w:val="4"/>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66" w:name="_Toc102119860"/>
      <w:bookmarkStart w:id="267" w:name="_Toc117244355"/>
      <w:bookmarkStart w:id="268" w:name="_Toc102116159"/>
      <w:bookmarkStart w:id="269" w:name="_Toc102057725"/>
      <w:bookmarkStart w:id="270" w:name="_Toc102116029"/>
      <w:bookmarkStart w:id="271" w:name="_Toc117244470"/>
      <w:bookmarkStart w:id="272" w:name="_Toc102114927"/>
      <w:bookmarkStart w:id="273" w:name="_Toc102056225"/>
      <w:bookmarkStart w:id="274" w:name="_Toc122527531"/>
      <w:bookmarkStart w:id="275" w:name="_Toc511889424"/>
      <w:bookmarkStart w:id="276" w:name="_Toc511894502"/>
      <w:r>
        <w:rPr>
          <w:rFonts w:hint="eastAsia" w:ascii="宋体" w:hAnsi="宋体" w:eastAsia="宋体" w:cs="Times New Roman"/>
          <w:bCs w:val="0"/>
          <w:sz w:val="28"/>
          <w:szCs w:val="28"/>
          <w:lang w:val="zh-CN"/>
        </w:rPr>
        <w:t>询问与质疑</w:t>
      </w:r>
      <w:bookmarkEnd w:id="266"/>
      <w:bookmarkEnd w:id="267"/>
      <w:bookmarkEnd w:id="268"/>
      <w:bookmarkEnd w:id="269"/>
      <w:bookmarkEnd w:id="270"/>
      <w:bookmarkEnd w:id="271"/>
      <w:bookmarkEnd w:id="272"/>
      <w:bookmarkEnd w:id="273"/>
      <w:bookmarkEnd w:id="274"/>
      <w:bookmarkEnd w:id="275"/>
      <w:bookmarkEnd w:id="276"/>
    </w:p>
    <w:p w14:paraId="7B913DE2">
      <w:pPr>
        <w:pStyle w:val="44"/>
        <w:numPr>
          <w:ilvl w:val="0"/>
          <w:numId w:val="9"/>
        </w:numPr>
        <w:spacing w:line="360" w:lineRule="auto"/>
        <w:ind w:left="284" w:hanging="284" w:firstLineChars="0"/>
        <w:rPr>
          <w:b/>
          <w:szCs w:val="24"/>
          <w:lang w:val="zh-CN"/>
        </w:rPr>
      </w:pPr>
      <w:bookmarkStart w:id="277" w:name="_Toc102114928"/>
      <w:bookmarkStart w:id="278" w:name="_Toc102119861"/>
      <w:bookmarkStart w:id="279" w:name="_Toc102057726"/>
      <w:bookmarkStart w:id="280" w:name="_Toc102116160"/>
      <w:bookmarkStart w:id="281" w:name="_Toc102116030"/>
      <w:bookmarkStart w:id="282" w:name="_Toc102056226"/>
      <w:r>
        <w:rPr>
          <w:rFonts w:hint="eastAsia"/>
          <w:b/>
          <w:szCs w:val="24"/>
          <w:lang w:val="zh-CN"/>
        </w:rPr>
        <w:t>询问</w:t>
      </w:r>
      <w:bookmarkEnd w:id="277"/>
      <w:bookmarkEnd w:id="278"/>
      <w:bookmarkEnd w:id="279"/>
      <w:bookmarkEnd w:id="280"/>
      <w:bookmarkEnd w:id="281"/>
      <w:bookmarkEnd w:id="282"/>
    </w:p>
    <w:p w14:paraId="30452905">
      <w:pPr>
        <w:pStyle w:val="44"/>
        <w:numPr>
          <w:ilvl w:val="0"/>
          <w:numId w:val="37"/>
        </w:numPr>
        <w:wordWrap w:val="0"/>
        <w:adjustRightInd w:val="0"/>
        <w:snapToGrid w:val="0"/>
        <w:spacing w:line="360" w:lineRule="auto"/>
        <w:ind w:left="567" w:hanging="567" w:firstLineChars="0"/>
        <w:rPr>
          <w:lang w:val="zh-CN"/>
        </w:rPr>
      </w:pPr>
      <w:r>
        <w:rPr>
          <w:rFonts w:hint="eastAsia"/>
          <w:lang w:val="zh-CN"/>
        </w:rPr>
        <w:t>潜在供应商对竞争性磋商文件（或竞争性磋商活动事项）有疑问的，可以在竞争性磋商公告期限届满之日（或竞争性磋商程序活动结束之日）起7个工作日内通过电话，依法向采购人或集中采购机构提出询问，采购人或集中采购机构应在3个工作日内作出答复。</w:t>
      </w:r>
    </w:p>
    <w:p w14:paraId="5EEC6793">
      <w:pPr>
        <w:pStyle w:val="44"/>
        <w:numPr>
          <w:ilvl w:val="0"/>
          <w:numId w:val="37"/>
        </w:numPr>
        <w:wordWrap w:val="0"/>
        <w:adjustRightInd w:val="0"/>
        <w:snapToGrid w:val="0"/>
        <w:spacing w:line="360" w:lineRule="auto"/>
        <w:ind w:left="567" w:hanging="567" w:firstLineChars="0"/>
        <w:rPr>
          <w:lang w:val="zh-CN"/>
        </w:rPr>
      </w:pPr>
      <w:r>
        <w:rPr>
          <w:rFonts w:hint="eastAsia"/>
          <w:lang w:val="zh-CN"/>
        </w:rPr>
        <w:t>询问联系方式：详见</w:t>
      </w:r>
      <w:r>
        <w:rPr>
          <w:rFonts w:hint="eastAsia"/>
          <w:b/>
          <w:lang w:val="zh-CN"/>
        </w:rPr>
        <w:t>“磋商须知前附表”</w:t>
      </w:r>
      <w:r>
        <w:rPr>
          <w:rFonts w:hint="eastAsia"/>
          <w:lang w:val="zh-CN"/>
        </w:rPr>
        <w:t>。</w:t>
      </w:r>
    </w:p>
    <w:p w14:paraId="755719BE">
      <w:pPr>
        <w:pStyle w:val="44"/>
        <w:numPr>
          <w:ilvl w:val="0"/>
          <w:numId w:val="9"/>
        </w:numPr>
        <w:spacing w:line="360" w:lineRule="auto"/>
        <w:ind w:left="284" w:hanging="284" w:firstLineChars="0"/>
        <w:rPr>
          <w:b/>
          <w:szCs w:val="24"/>
          <w:lang w:val="zh-CN"/>
        </w:rPr>
      </w:pPr>
      <w:bookmarkStart w:id="283" w:name="_Toc102116031"/>
      <w:bookmarkStart w:id="284" w:name="_Toc102114929"/>
      <w:bookmarkStart w:id="285" w:name="_Toc102057727"/>
      <w:bookmarkStart w:id="286" w:name="_Toc102119862"/>
      <w:bookmarkStart w:id="287" w:name="_Toc102056227"/>
      <w:bookmarkStart w:id="288" w:name="_Toc102116161"/>
      <w:r>
        <w:rPr>
          <w:rFonts w:hint="eastAsia"/>
          <w:b/>
          <w:szCs w:val="24"/>
          <w:lang w:val="zh-CN"/>
        </w:rPr>
        <w:t>质疑</w:t>
      </w:r>
      <w:bookmarkEnd w:id="283"/>
      <w:bookmarkEnd w:id="284"/>
      <w:bookmarkEnd w:id="285"/>
      <w:bookmarkEnd w:id="286"/>
      <w:bookmarkEnd w:id="287"/>
      <w:bookmarkEnd w:id="288"/>
    </w:p>
    <w:p w14:paraId="6445C381">
      <w:pPr>
        <w:pStyle w:val="44"/>
        <w:wordWrap w:val="0"/>
        <w:adjustRightInd w:val="0"/>
        <w:snapToGrid w:val="0"/>
        <w:spacing w:line="360" w:lineRule="auto"/>
        <w:ind w:left="240" w:firstLine="240" w:firstLineChars="100"/>
        <w:rPr>
          <w:rFonts w:ascii="仿宋" w:hAnsi="仿宋" w:eastAsia="仿宋" w:cs="Times New Roman"/>
          <w:b/>
          <w:sz w:val="24"/>
          <w:szCs w:val="24"/>
        </w:rPr>
      </w:pPr>
      <w:r>
        <w:rPr>
          <w:rFonts w:hint="eastAsia"/>
          <w:lang w:val="zh-CN"/>
        </w:rPr>
        <w:t>供应商认为竞争性磋商文件、竞争性磋商过程和成交结果使自己的权益受到损害的，可以在知道或者应知其权益受到损害之日起7个工作日内，向随县公共资源交易中心（随县政府采购中心）提出书面质疑。</w:t>
      </w:r>
      <w:r>
        <w:rPr>
          <w:rFonts w:ascii="仿宋" w:hAnsi="仿宋" w:eastAsia="仿宋" w:cs="Times New Roman"/>
          <w:b/>
          <w:sz w:val="24"/>
          <w:szCs w:val="24"/>
        </w:rPr>
        <w:t>质疑</w:t>
      </w:r>
      <w:r>
        <w:rPr>
          <w:rFonts w:hint="eastAsia" w:ascii="仿宋" w:hAnsi="仿宋" w:eastAsia="仿宋" w:cs="Times New Roman"/>
          <w:b/>
          <w:sz w:val="24"/>
          <w:szCs w:val="24"/>
        </w:rPr>
        <w:t>函的</w:t>
      </w:r>
      <w:r>
        <w:rPr>
          <w:rFonts w:ascii="仿宋" w:hAnsi="仿宋" w:eastAsia="仿宋" w:cs="Times New Roman"/>
          <w:b/>
          <w:sz w:val="24"/>
          <w:szCs w:val="24"/>
        </w:rPr>
        <w:t>主要内容：</w:t>
      </w:r>
    </w:p>
    <w:p w14:paraId="5D0D0C9C">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1</w:t>
      </w:r>
      <w:r>
        <w:rPr>
          <w:rFonts w:hint="eastAsia" w:ascii="仿宋" w:hAnsi="仿宋" w:eastAsia="仿宋" w:cs="Times New Roman"/>
          <w:sz w:val="24"/>
          <w:szCs w:val="24"/>
          <w:lang w:eastAsia="zh-CN"/>
        </w:rPr>
        <w:t>）</w:t>
      </w:r>
      <w:r>
        <w:rPr>
          <w:rFonts w:ascii="仿宋" w:hAnsi="仿宋" w:eastAsia="仿宋" w:cs="Times New Roman"/>
          <w:sz w:val="24"/>
          <w:szCs w:val="24"/>
        </w:rPr>
        <w:t xml:space="preserve"> 质疑人的名称、地址、联系人及联系电话等；</w:t>
      </w:r>
    </w:p>
    <w:p w14:paraId="00263C0E">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2</w:t>
      </w:r>
      <w:r>
        <w:rPr>
          <w:rFonts w:hint="eastAsia" w:ascii="仿宋" w:hAnsi="仿宋" w:eastAsia="仿宋" w:cs="Times New Roman"/>
          <w:sz w:val="24"/>
          <w:szCs w:val="24"/>
          <w:lang w:eastAsia="zh-CN"/>
        </w:rPr>
        <w:t>）</w:t>
      </w:r>
      <w:r>
        <w:rPr>
          <w:rFonts w:ascii="仿宋" w:hAnsi="仿宋" w:eastAsia="仿宋" w:cs="Times New Roman"/>
          <w:sz w:val="24"/>
          <w:szCs w:val="24"/>
        </w:rPr>
        <w:t xml:space="preserve">被质疑人的名称、地址、联系人及联系电话等； </w:t>
      </w:r>
    </w:p>
    <w:p w14:paraId="38224379">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3</w:t>
      </w:r>
      <w:r>
        <w:rPr>
          <w:rFonts w:hint="eastAsia" w:ascii="仿宋" w:hAnsi="仿宋" w:eastAsia="仿宋" w:cs="Times New Roman"/>
          <w:sz w:val="24"/>
          <w:szCs w:val="24"/>
          <w:lang w:eastAsia="zh-CN"/>
        </w:rPr>
        <w:t>）</w:t>
      </w:r>
      <w:r>
        <w:rPr>
          <w:rFonts w:ascii="仿宋" w:hAnsi="仿宋" w:eastAsia="仿宋" w:cs="Times New Roman"/>
          <w:sz w:val="24"/>
          <w:szCs w:val="24"/>
        </w:rPr>
        <w:t xml:space="preserve"> 质疑项目名称及编号、质疑事项和明确的请求； </w:t>
      </w:r>
    </w:p>
    <w:p w14:paraId="15D02C50">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4</w:t>
      </w:r>
      <w:r>
        <w:rPr>
          <w:rFonts w:hint="eastAsia" w:ascii="仿宋" w:hAnsi="仿宋" w:eastAsia="仿宋" w:cs="Times New Roman"/>
          <w:sz w:val="24"/>
          <w:szCs w:val="24"/>
          <w:lang w:eastAsia="zh-CN"/>
        </w:rPr>
        <w:t>）</w:t>
      </w:r>
      <w:r>
        <w:rPr>
          <w:rFonts w:ascii="仿宋" w:hAnsi="仿宋" w:eastAsia="仿宋" w:cs="Times New Roman"/>
          <w:sz w:val="24"/>
          <w:szCs w:val="24"/>
        </w:rPr>
        <w:t xml:space="preserve">质疑事项的事实根据、法律依据及其他必要的证明材料； </w:t>
      </w:r>
    </w:p>
    <w:p w14:paraId="036BDC22">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5</w:t>
      </w:r>
      <w:r>
        <w:rPr>
          <w:rFonts w:hint="eastAsia" w:ascii="仿宋" w:hAnsi="仿宋" w:eastAsia="仿宋" w:cs="Times New Roman"/>
          <w:sz w:val="24"/>
          <w:szCs w:val="24"/>
          <w:lang w:eastAsia="zh-CN"/>
        </w:rPr>
        <w:t>）</w:t>
      </w:r>
      <w:r>
        <w:rPr>
          <w:rFonts w:ascii="仿宋" w:hAnsi="仿宋" w:eastAsia="仿宋" w:cs="Times New Roman"/>
          <w:sz w:val="24"/>
          <w:szCs w:val="24"/>
        </w:rPr>
        <w:t xml:space="preserve">提出质疑的日期； </w:t>
      </w:r>
    </w:p>
    <w:p w14:paraId="703E0150">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6</w:t>
      </w:r>
      <w:r>
        <w:rPr>
          <w:rFonts w:hint="eastAsia" w:ascii="仿宋" w:hAnsi="仿宋" w:eastAsia="仿宋" w:cs="Times New Roman"/>
          <w:sz w:val="24"/>
          <w:szCs w:val="24"/>
          <w:lang w:eastAsia="zh-CN"/>
        </w:rPr>
        <w:t>）</w:t>
      </w:r>
      <w:r>
        <w:rPr>
          <w:rFonts w:ascii="仿宋" w:hAnsi="仿宋" w:eastAsia="仿宋" w:cs="Times New Roman"/>
          <w:sz w:val="24"/>
          <w:szCs w:val="24"/>
        </w:rPr>
        <w:t>质疑人的署名及签章（质疑人为自然人的，应当由本人签字；质疑人为法人或者其</w:t>
      </w:r>
    </w:p>
    <w:p w14:paraId="679C28A1">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ascii="仿宋" w:hAnsi="仿宋" w:eastAsia="仿宋" w:cs="Times New Roman"/>
          <w:sz w:val="24"/>
          <w:szCs w:val="24"/>
        </w:rPr>
        <w:t>他组织的，应当由法定代表人或者主要负责人签字盖章并加盖公章）；</w:t>
      </w:r>
    </w:p>
    <w:p w14:paraId="49256B04">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7</w:t>
      </w:r>
      <w:r>
        <w:rPr>
          <w:rFonts w:hint="eastAsia" w:ascii="仿宋" w:hAnsi="仿宋" w:eastAsia="仿宋" w:cs="Times New Roman"/>
          <w:sz w:val="24"/>
          <w:szCs w:val="24"/>
          <w:lang w:eastAsia="zh-CN"/>
        </w:rPr>
        <w:t>）</w:t>
      </w:r>
      <w:r>
        <w:rPr>
          <w:rFonts w:ascii="仿宋" w:hAnsi="仿宋" w:eastAsia="仿宋" w:cs="Times New Roman"/>
          <w:sz w:val="24"/>
          <w:szCs w:val="24"/>
        </w:rPr>
        <w:t>法人授权委托书（质疑人或法人委托代理人办理质疑事务的，应当提供授权委托书，</w:t>
      </w:r>
    </w:p>
    <w:p w14:paraId="04589E98">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hint="eastAsia"/>
          <w:lang w:val="zh-CN"/>
        </w:rPr>
      </w:pPr>
      <w:r>
        <w:rPr>
          <w:rFonts w:ascii="仿宋" w:hAnsi="仿宋" w:eastAsia="仿宋" w:cs="Times New Roman"/>
          <w:sz w:val="24"/>
          <w:szCs w:val="24"/>
        </w:rPr>
        <w:t xml:space="preserve"> 授权委托书应当载明委托代理的具体权限和事项）。</w:t>
      </w:r>
    </w:p>
    <w:p w14:paraId="0C619318">
      <w:pPr>
        <w:pStyle w:val="44"/>
        <w:numPr>
          <w:ilvl w:val="0"/>
          <w:numId w:val="38"/>
        </w:numPr>
        <w:wordWrap w:val="0"/>
        <w:adjustRightInd w:val="0"/>
        <w:snapToGrid w:val="0"/>
        <w:spacing w:line="360" w:lineRule="auto"/>
        <w:ind w:left="567" w:hanging="567" w:firstLineChars="0"/>
        <w:rPr>
          <w:lang w:val="zh-CN"/>
        </w:rPr>
      </w:pPr>
      <w:r>
        <w:rPr>
          <w:rFonts w:hint="eastAsia"/>
          <w:lang w:val="zh-CN"/>
        </w:rPr>
        <w:t>质疑</w:t>
      </w:r>
      <w:r>
        <w:rPr>
          <w:rFonts w:hint="eastAsia"/>
          <w:szCs w:val="24"/>
        </w:rPr>
        <w:t xml:space="preserve">联系方式：详见 </w:t>
      </w:r>
      <w:r>
        <w:rPr>
          <w:rFonts w:hint="eastAsia"/>
          <w:b/>
          <w:szCs w:val="24"/>
        </w:rPr>
        <w:t>“磋商须知前附表”</w:t>
      </w:r>
      <w:r>
        <w:rPr>
          <w:rFonts w:hint="eastAsia"/>
          <w:szCs w:val="24"/>
        </w:rPr>
        <w:t>。</w:t>
      </w:r>
    </w:p>
    <w:p w14:paraId="447EACAB">
      <w:pPr>
        <w:pStyle w:val="44"/>
        <w:numPr>
          <w:ilvl w:val="0"/>
          <w:numId w:val="38"/>
        </w:numPr>
        <w:wordWrap w:val="0"/>
        <w:adjustRightInd w:val="0"/>
        <w:snapToGrid w:val="0"/>
        <w:spacing w:line="360" w:lineRule="auto"/>
        <w:ind w:left="567" w:hanging="567" w:firstLineChars="0"/>
        <w:rPr>
          <w:lang w:val="zh-CN"/>
        </w:rPr>
      </w:pPr>
      <w:r>
        <w:rPr>
          <w:rFonts w:hint="eastAsia"/>
          <w:lang w:val="zh-CN"/>
        </w:rPr>
        <w:t>质疑函应当按照《政府采购质疑和投诉办法》〔财政部令第94号〕规定的内容和中国政府采购网“政府采购供应商质疑函范本”（</w:t>
      </w:r>
      <w:r>
        <w:rPr>
          <w:lang w:val="zh-CN"/>
        </w:rPr>
        <w:t>http://download.ccgp.gov.cn/2018/zhiyihanfanben.zip</w:t>
      </w:r>
      <w:r>
        <w:rPr>
          <w:rFonts w:hint="eastAsia"/>
          <w:lang w:val="zh-CN"/>
        </w:rPr>
        <w:t>）的格式提交。</w:t>
      </w:r>
    </w:p>
    <w:p w14:paraId="18F10954">
      <w:pPr>
        <w:pStyle w:val="44"/>
        <w:numPr>
          <w:ilvl w:val="0"/>
          <w:numId w:val="38"/>
        </w:numPr>
        <w:wordWrap w:val="0"/>
        <w:adjustRightInd w:val="0"/>
        <w:snapToGrid w:val="0"/>
        <w:spacing w:line="360" w:lineRule="auto"/>
        <w:ind w:left="567" w:hanging="567" w:firstLineChars="0"/>
        <w:rPr>
          <w:lang w:val="zh-CN"/>
        </w:rPr>
      </w:pPr>
      <w:r>
        <w:rPr>
          <w:rFonts w:hint="eastAsia"/>
          <w:lang w:val="zh-CN"/>
        </w:rPr>
        <w:t>供应商未按规定的时限、内容及方式进行质疑的，集中采购机构有权不予受理。</w:t>
      </w:r>
    </w:p>
    <w:p w14:paraId="2480039C">
      <w:pPr>
        <w:pStyle w:val="4"/>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89" w:name="_Toc117244356"/>
      <w:bookmarkStart w:id="290" w:name="_Toc117244471"/>
      <w:bookmarkStart w:id="291" w:name="_Toc122527532"/>
      <w:r>
        <w:rPr>
          <w:rFonts w:hint="eastAsia" w:ascii="宋体" w:hAnsi="宋体" w:eastAsia="宋体" w:cs="Times New Roman"/>
          <w:bCs w:val="0"/>
          <w:sz w:val="28"/>
          <w:szCs w:val="28"/>
          <w:lang w:val="zh-CN"/>
        </w:rPr>
        <w:t>政府采购政策</w:t>
      </w:r>
      <w:bookmarkEnd w:id="289"/>
      <w:bookmarkEnd w:id="290"/>
      <w:bookmarkEnd w:id="291"/>
    </w:p>
    <w:p w14:paraId="4A846D59">
      <w:pPr>
        <w:pStyle w:val="44"/>
        <w:numPr>
          <w:ilvl w:val="0"/>
          <w:numId w:val="9"/>
        </w:numPr>
        <w:spacing w:line="360" w:lineRule="auto"/>
        <w:ind w:left="284" w:hanging="284" w:firstLineChars="0"/>
        <w:rPr>
          <w:b/>
          <w:szCs w:val="24"/>
          <w:lang w:val="zh-CN"/>
        </w:rPr>
      </w:pPr>
      <w:bookmarkStart w:id="292" w:name="_Toc102057681"/>
      <w:bookmarkStart w:id="293" w:name="_Toc102119815"/>
      <w:bookmarkStart w:id="294" w:name="_Toc102056181"/>
      <w:bookmarkStart w:id="295" w:name="_Toc102114882"/>
      <w:bookmarkStart w:id="296" w:name="_Toc102115984"/>
      <w:bookmarkStart w:id="297" w:name="_Toc102116114"/>
      <w:r>
        <w:rPr>
          <w:rFonts w:hint="eastAsia"/>
          <w:b/>
          <w:szCs w:val="24"/>
          <w:lang w:val="zh-CN"/>
        </w:rPr>
        <w:t>政府采购政策</w:t>
      </w:r>
      <w:bookmarkEnd w:id="292"/>
      <w:bookmarkEnd w:id="293"/>
      <w:bookmarkEnd w:id="294"/>
      <w:bookmarkEnd w:id="295"/>
      <w:bookmarkEnd w:id="296"/>
      <w:bookmarkEnd w:id="297"/>
    </w:p>
    <w:p w14:paraId="25860FBE">
      <w:pPr>
        <w:wordWrap w:val="0"/>
        <w:adjustRightInd w:val="0"/>
        <w:snapToGrid w:val="0"/>
        <w:spacing w:line="360" w:lineRule="auto"/>
        <w:ind w:firstLine="480" w:firstLineChars="200"/>
        <w:rPr>
          <w:szCs w:val="24"/>
          <w:lang w:val="zh-CN"/>
        </w:rPr>
      </w:pPr>
      <w:r>
        <w:rPr>
          <w:rFonts w:hint="eastAsia"/>
          <w:szCs w:val="24"/>
          <w:lang w:val="zh-CN"/>
        </w:rPr>
        <w:t>政府采购活动中应落实节约资源、</w:t>
      </w:r>
      <w:r>
        <w:rPr>
          <w:rFonts w:hint="eastAsia" w:cs="宋体"/>
          <w:szCs w:val="24"/>
          <w:lang w:val="zh-CN"/>
        </w:rPr>
        <w:t>保护</w:t>
      </w:r>
      <w:r>
        <w:rPr>
          <w:rFonts w:hint="eastAsia"/>
          <w:szCs w:val="24"/>
          <w:lang w:val="zh-CN"/>
        </w:rPr>
        <w:t>环境、支持创新、支持绿色发展、扶持不发达地区和少数民族地区、促进中小企业发展等政策。</w:t>
      </w:r>
    </w:p>
    <w:p w14:paraId="4438F3BA">
      <w:pPr>
        <w:pStyle w:val="44"/>
        <w:numPr>
          <w:ilvl w:val="0"/>
          <w:numId w:val="9"/>
        </w:numPr>
        <w:spacing w:line="440" w:lineRule="exact"/>
        <w:ind w:left="284" w:hanging="284" w:firstLineChars="0"/>
        <w:rPr>
          <w:lang w:val="zh-CN"/>
        </w:rPr>
      </w:pPr>
      <w:r>
        <w:rPr>
          <w:rFonts w:hint="eastAsia"/>
          <w:b/>
          <w:szCs w:val="24"/>
          <w:lang w:val="zh-CN"/>
        </w:rPr>
        <w:t>政府采购</w:t>
      </w:r>
      <w:r>
        <w:rPr>
          <w:b/>
          <w:szCs w:val="24"/>
          <w:lang w:val="zh-CN"/>
        </w:rPr>
        <w:t>政策</w:t>
      </w:r>
      <w:r>
        <w:rPr>
          <w:rFonts w:hint="eastAsia"/>
          <w:b/>
          <w:szCs w:val="24"/>
          <w:lang w:val="zh-CN"/>
        </w:rPr>
        <w:t>落实措施</w:t>
      </w:r>
    </w:p>
    <w:p w14:paraId="0CEB9817">
      <w:pPr>
        <w:pStyle w:val="44"/>
        <w:numPr>
          <w:ilvl w:val="0"/>
          <w:numId w:val="39"/>
        </w:numPr>
        <w:wordWrap w:val="0"/>
        <w:adjustRightInd w:val="0"/>
        <w:snapToGrid w:val="0"/>
        <w:spacing w:line="360" w:lineRule="auto"/>
        <w:ind w:left="567" w:hanging="567" w:firstLineChars="0"/>
        <w:rPr>
          <w:szCs w:val="24"/>
          <w:lang w:val="zh-CN"/>
        </w:rPr>
      </w:pPr>
      <w:r>
        <w:rPr>
          <w:rFonts w:hint="eastAsia"/>
          <w:szCs w:val="24"/>
          <w:lang w:val="zh-CN"/>
        </w:rPr>
        <w:t>强制采购和优先采购：节能环保产品应按照《关于调整优化节能产品、环境标志产品政府采购执行机制的通知》（财库〔2019〕9号）、《关于印发环境标志产品政府采购品目清单的通知》（财库〔2019〕18号）和《关于印发节能产品政府采购品目清单的通知》（财库〔2019〕19号）规定执行强制（品目清单成交“★”的产品）和优先采购；信息安全产品应按照国家质检总局、认监委《关于部分信息安全产品实施强制性认证的公告》（2008年第7号）和《关于信息安全产品实施政府采购的通知》（财库〔2010〕48号）规定对强制性认证产品实施强制采购。项目若涉及采购节能环保产品、信息安全产品的，具体要求详见第三章“采购需求”和第四章“评审办法”。</w:t>
      </w:r>
    </w:p>
    <w:p w14:paraId="0B35106D">
      <w:pPr>
        <w:pStyle w:val="44"/>
        <w:numPr>
          <w:ilvl w:val="0"/>
          <w:numId w:val="39"/>
        </w:numPr>
        <w:wordWrap w:val="0"/>
        <w:adjustRightInd w:val="0"/>
        <w:snapToGrid w:val="0"/>
        <w:spacing w:line="360" w:lineRule="auto"/>
        <w:ind w:left="567" w:hanging="567" w:firstLineChars="0"/>
        <w:rPr>
          <w:szCs w:val="24"/>
          <w:lang w:val="zh-CN"/>
        </w:rPr>
      </w:pPr>
      <w:r>
        <w:rPr>
          <w:rFonts w:hint="eastAsia"/>
          <w:szCs w:val="24"/>
          <w:lang w:val="zh-CN"/>
        </w:rPr>
        <w:t>支持国产和进口产品审批：政府采购应当采购本国产品，确需采购进口产品的，采购人应按《关于政府采购进口产品管理有关问题的通知》（财办库〔2008〕248号）规定执行（进口产品审批制）。项目若涉及采购进口产品的，具体要求详见第三章“采购清单”。</w:t>
      </w:r>
    </w:p>
    <w:p w14:paraId="14523630">
      <w:pPr>
        <w:pStyle w:val="44"/>
        <w:numPr>
          <w:ilvl w:val="0"/>
          <w:numId w:val="39"/>
        </w:numPr>
        <w:wordWrap w:val="0"/>
        <w:adjustRightInd w:val="0"/>
        <w:snapToGrid w:val="0"/>
        <w:spacing w:line="360" w:lineRule="auto"/>
        <w:ind w:left="567" w:hanging="567" w:firstLineChars="0"/>
        <w:rPr>
          <w:strike/>
          <w:szCs w:val="24"/>
          <w:lang w:val="zh-CN"/>
        </w:rPr>
      </w:pPr>
      <w:r>
        <w:rPr>
          <w:rFonts w:hint="eastAsia"/>
          <w:szCs w:val="24"/>
          <w:lang w:val="zh-CN"/>
        </w:rPr>
        <w:t>预留采购份额及价格评审优惠：采购人应按《政府采购促进中小企业发展管理办法》(财库［2020〕 46号）、《关于进一步加大政府采购支持中小企业力度的通知》（财库〔2022〕19号）、</w:t>
      </w:r>
      <w:r>
        <w:rPr>
          <w:rFonts w:hint="eastAsia"/>
          <w:lang w:val="zh-CN"/>
        </w:rPr>
        <w:t>《湖北省人民政府办公厅关于印发持续深化一流营商环境建设若干措施的通知》</w:t>
      </w:r>
      <w:r>
        <w:rPr>
          <w:rFonts w:hint="eastAsia"/>
          <w:szCs w:val="24"/>
          <w:lang w:val="zh-CN"/>
        </w:rPr>
        <w:t>（鄂政办发〔2022〕 2 号）和《关于落实稳住经济一揽子政策进一步加大政府采购支持中小企业力度的通知》（鄂财采发〔2022〕5号）的规定，面向中小企业预留采购份额，对符合政策要求的企业进行价格评审优惠。项目若涉及预留采购份额的，具体要求详见第一章“磋商邀请”和第三章“采购需求”；项目若涉及价格评审优惠的，具体要求详见第三章中的“价格扣除”。</w:t>
      </w:r>
    </w:p>
    <w:p w14:paraId="7547ADB2">
      <w:pPr>
        <w:pStyle w:val="4"/>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98" w:name="_Toc122527533"/>
      <w:bookmarkStart w:id="299" w:name="_Toc117244357"/>
      <w:bookmarkStart w:id="300" w:name="_Toc117244472"/>
      <w:r>
        <w:rPr>
          <w:rFonts w:hint="eastAsia" w:ascii="宋体" w:hAnsi="宋体" w:eastAsia="宋体" w:cs="Times New Roman"/>
          <w:bCs w:val="0"/>
          <w:sz w:val="28"/>
          <w:szCs w:val="28"/>
          <w:lang w:val="zh-CN"/>
        </w:rPr>
        <w:t>其  它</w:t>
      </w:r>
      <w:bookmarkEnd w:id="298"/>
      <w:bookmarkEnd w:id="299"/>
      <w:bookmarkEnd w:id="300"/>
    </w:p>
    <w:p w14:paraId="3939400F">
      <w:pPr>
        <w:pStyle w:val="44"/>
        <w:numPr>
          <w:ilvl w:val="0"/>
          <w:numId w:val="9"/>
        </w:numPr>
        <w:spacing w:line="440" w:lineRule="exact"/>
        <w:ind w:left="284" w:hanging="284" w:firstLineChars="0"/>
        <w:rPr>
          <w:b/>
          <w:szCs w:val="24"/>
          <w:lang w:val="zh-CN"/>
        </w:rPr>
      </w:pPr>
      <w:bookmarkStart w:id="301" w:name="_Toc102057682"/>
      <w:bookmarkStart w:id="302" w:name="_Toc102119816"/>
      <w:bookmarkStart w:id="303" w:name="_Toc102116115"/>
      <w:bookmarkStart w:id="304" w:name="_Toc102115985"/>
      <w:bookmarkStart w:id="305" w:name="_Toc102056182"/>
      <w:bookmarkStart w:id="306" w:name="_Toc102114883"/>
      <w:r>
        <w:rPr>
          <w:rFonts w:hint="eastAsia"/>
          <w:b/>
          <w:szCs w:val="24"/>
          <w:lang w:val="zh-CN"/>
        </w:rPr>
        <w:t>重大违法记录</w:t>
      </w:r>
      <w:bookmarkEnd w:id="301"/>
      <w:bookmarkEnd w:id="302"/>
      <w:bookmarkEnd w:id="303"/>
      <w:bookmarkEnd w:id="304"/>
      <w:bookmarkEnd w:id="305"/>
      <w:bookmarkEnd w:id="306"/>
    </w:p>
    <w:p w14:paraId="52DCB073">
      <w:pPr>
        <w:pStyle w:val="44"/>
        <w:numPr>
          <w:ilvl w:val="0"/>
          <w:numId w:val="40"/>
        </w:numPr>
        <w:wordWrap w:val="0"/>
        <w:adjustRightInd w:val="0"/>
        <w:snapToGrid w:val="0"/>
        <w:spacing w:line="360" w:lineRule="auto"/>
        <w:ind w:left="567" w:hanging="567" w:firstLineChars="0"/>
        <w:rPr>
          <w:lang w:val="zh-CN"/>
        </w:rPr>
      </w:pPr>
      <w:r>
        <w:rPr>
          <w:rFonts w:hint="eastAsia"/>
          <w:lang w:val="zh-CN"/>
        </w:rPr>
        <w:t>《政府</w:t>
      </w:r>
      <w:r>
        <w:rPr>
          <w:rFonts w:hint="eastAsia"/>
          <w:szCs w:val="24"/>
        </w:rPr>
        <w:t>采购</w:t>
      </w:r>
      <w:r>
        <w:rPr>
          <w:rFonts w:hint="eastAsia"/>
          <w:lang w:val="zh-CN"/>
        </w:rPr>
        <w:t>法》第二十二条第一款第五项所称重大违法记录，是指供应商因违法经营受到刑事处罚或者责令停产停业、吊销许可证或者执照、较大数额罚款等行政处罚。</w:t>
      </w:r>
    </w:p>
    <w:p w14:paraId="70ABC6AF">
      <w:pPr>
        <w:pStyle w:val="44"/>
        <w:numPr>
          <w:ilvl w:val="0"/>
          <w:numId w:val="40"/>
        </w:numPr>
        <w:wordWrap w:val="0"/>
        <w:adjustRightInd w:val="0"/>
        <w:snapToGrid w:val="0"/>
        <w:spacing w:line="360" w:lineRule="auto"/>
        <w:ind w:left="567" w:hanging="567" w:firstLineChars="0"/>
        <w:rPr>
          <w:lang w:val="zh-CN"/>
        </w:rPr>
      </w:pPr>
      <w:r>
        <w:rPr>
          <w:rFonts w:hint="eastAsia"/>
          <w:szCs w:val="24"/>
        </w:rPr>
        <w:t>较大</w:t>
      </w:r>
      <w:r>
        <w:rPr>
          <w:rFonts w:hint="eastAsia"/>
          <w:lang w:val="zh-CN"/>
        </w:rPr>
        <w:t>数额</w:t>
      </w:r>
      <w:r>
        <w:rPr>
          <w:rFonts w:hint="eastAsia"/>
          <w:szCs w:val="24"/>
        </w:rPr>
        <w:t>罚款的认定：根据《财政部关于&lt;条例&gt;第十九条第一款“较大数额罚款”具体适用问题的意见》财库〔2022〕3号）规定，“较大数额罚款”认定为200万元以上的罚款，法律、行政法规以及国务院有关部门明确规定相关领域“较大数额罚款”标准高于200万元的，从其规定。</w:t>
      </w:r>
    </w:p>
    <w:p w14:paraId="3CF11CB4">
      <w:pPr>
        <w:pStyle w:val="44"/>
        <w:numPr>
          <w:ilvl w:val="0"/>
          <w:numId w:val="40"/>
        </w:numPr>
        <w:wordWrap w:val="0"/>
        <w:adjustRightInd w:val="0"/>
        <w:snapToGrid w:val="0"/>
        <w:spacing w:line="360" w:lineRule="auto"/>
        <w:ind w:left="567" w:hanging="567" w:firstLineChars="0"/>
        <w:rPr>
          <w:szCs w:val="24"/>
        </w:rPr>
      </w:pPr>
      <w:r>
        <w:rPr>
          <w:rFonts w:hint="eastAsia"/>
          <w:szCs w:val="24"/>
        </w:rPr>
        <w:t>按照财政部《关于规范政府采购行政处罚有关问题的通知》的规定，</w:t>
      </w:r>
      <w:r>
        <w:rPr>
          <w:szCs w:val="24"/>
        </w:rPr>
        <w:t>各级人民政府财政部门依法对参加政府采购活动的</w:t>
      </w:r>
      <w:r>
        <w:rPr>
          <w:rFonts w:hint="eastAsia"/>
          <w:szCs w:val="24"/>
        </w:rPr>
        <w:t>供应商做</w:t>
      </w:r>
      <w:r>
        <w:rPr>
          <w:szCs w:val="24"/>
        </w:rPr>
        <w:t>出的禁止</w:t>
      </w:r>
      <w:r>
        <w:rPr>
          <w:rFonts w:hint="eastAsia"/>
          <w:szCs w:val="24"/>
        </w:rPr>
        <w:t>在一定期限内</w:t>
      </w:r>
      <w:r>
        <w:rPr>
          <w:szCs w:val="24"/>
        </w:rPr>
        <w:t>参加政府采购活动等行政处罚决定在</w:t>
      </w:r>
      <w:r>
        <w:rPr>
          <w:lang w:val="zh-CN"/>
        </w:rPr>
        <w:t>全国</w:t>
      </w:r>
      <w:r>
        <w:rPr>
          <w:szCs w:val="24"/>
        </w:rPr>
        <w:t>范围内生效</w:t>
      </w:r>
      <w:r>
        <w:rPr>
          <w:rFonts w:hint="eastAsia"/>
          <w:szCs w:val="24"/>
        </w:rPr>
        <w:t>。</w:t>
      </w:r>
    </w:p>
    <w:p w14:paraId="4E85C70A">
      <w:pPr>
        <w:pStyle w:val="44"/>
        <w:numPr>
          <w:ilvl w:val="0"/>
          <w:numId w:val="40"/>
        </w:numPr>
        <w:wordWrap w:val="0"/>
        <w:adjustRightInd w:val="0"/>
        <w:snapToGrid w:val="0"/>
        <w:spacing w:line="360" w:lineRule="auto"/>
        <w:ind w:left="567" w:hanging="567" w:firstLineChars="0"/>
        <w:rPr>
          <w:lang w:val="zh-CN"/>
        </w:rPr>
      </w:pPr>
      <w:r>
        <w:rPr>
          <w:rFonts w:hint="eastAsia"/>
          <w:szCs w:val="24"/>
        </w:rPr>
        <w:t>供应商在参加政府采购活动前3年内因违法经营被禁止在一定期限内参加政府采购活动，期限届满的，可以参加政府采购活动。</w:t>
      </w:r>
    </w:p>
    <w:p w14:paraId="72918D66">
      <w:pPr>
        <w:pStyle w:val="44"/>
        <w:numPr>
          <w:ilvl w:val="0"/>
          <w:numId w:val="9"/>
        </w:numPr>
        <w:spacing w:line="440" w:lineRule="exact"/>
        <w:ind w:left="284" w:hanging="284" w:firstLineChars="0"/>
        <w:rPr>
          <w:b/>
          <w:szCs w:val="24"/>
          <w:lang w:val="zh-CN"/>
        </w:rPr>
      </w:pPr>
      <w:r>
        <w:rPr>
          <w:rFonts w:hint="eastAsia"/>
          <w:b/>
          <w:szCs w:val="24"/>
          <w:lang w:val="zh-CN"/>
        </w:rPr>
        <w:t>适用法律</w:t>
      </w:r>
    </w:p>
    <w:p w14:paraId="7E25C475">
      <w:pPr>
        <w:pStyle w:val="44"/>
        <w:numPr>
          <w:ilvl w:val="0"/>
          <w:numId w:val="41"/>
        </w:numPr>
        <w:tabs>
          <w:tab w:val="left" w:pos="567"/>
        </w:tabs>
        <w:wordWrap w:val="0"/>
        <w:spacing w:line="360" w:lineRule="auto"/>
        <w:ind w:left="567" w:right="-120" w:rightChars="-50" w:hanging="567" w:firstLineChars="0"/>
        <w:rPr>
          <w:szCs w:val="24"/>
          <w:lang w:val="zh-CN"/>
        </w:rPr>
      </w:pPr>
      <w:r>
        <w:rPr>
          <w:rFonts w:hint="eastAsia"/>
          <w:szCs w:val="24"/>
        </w:rPr>
        <w:t>本项目竞争性</w:t>
      </w:r>
      <w:r>
        <w:rPr>
          <w:rFonts w:hint="eastAsia" w:cs="Helvetica"/>
          <w:szCs w:val="24"/>
          <w:lang w:val="zh-CN"/>
        </w:rPr>
        <w:t>磋商</w:t>
      </w:r>
      <w:r>
        <w:rPr>
          <w:rFonts w:hint="eastAsia"/>
          <w:szCs w:val="24"/>
          <w:lang w:val="zh-CN"/>
        </w:rPr>
        <w:t>活动适用《中华人民共和国政府采购法》、《中华人民共和国政府采购法实施条例》、《政府采购非招标采购方式管理办法》及相关法律法规。</w:t>
      </w:r>
    </w:p>
    <w:p w14:paraId="353E44DF">
      <w:pPr>
        <w:pStyle w:val="44"/>
        <w:numPr>
          <w:ilvl w:val="0"/>
          <w:numId w:val="41"/>
        </w:numPr>
        <w:tabs>
          <w:tab w:val="left" w:pos="567"/>
        </w:tabs>
        <w:wordWrap w:val="0"/>
        <w:spacing w:line="360" w:lineRule="auto"/>
        <w:ind w:left="567" w:right="-120" w:rightChars="-50" w:hanging="567" w:firstLineChars="0"/>
        <w:rPr>
          <w:lang w:val="zh-CN"/>
        </w:rPr>
      </w:pPr>
      <w:r>
        <w:rPr>
          <w:rFonts w:hint="eastAsia" w:cs="Helvetica"/>
          <w:szCs w:val="24"/>
          <w:lang w:val="zh-CN"/>
        </w:rPr>
        <w:t>政府</w:t>
      </w:r>
      <w:r>
        <w:rPr>
          <w:rFonts w:hint="eastAsia"/>
          <w:szCs w:val="24"/>
        </w:rPr>
        <w:t>采购</w:t>
      </w:r>
      <w:r>
        <w:rPr>
          <w:rFonts w:hint="eastAsia" w:cs="Helvetica"/>
          <w:szCs w:val="24"/>
          <w:lang w:val="zh-CN"/>
        </w:rPr>
        <w:t>合同的履行、违约责任和解决争议的方法等适用《中华人民共和国民法典》。</w:t>
      </w:r>
    </w:p>
    <w:p w14:paraId="18F0FF3C">
      <w:pPr>
        <w:pStyle w:val="44"/>
        <w:numPr>
          <w:ilvl w:val="0"/>
          <w:numId w:val="9"/>
        </w:numPr>
        <w:spacing w:line="440" w:lineRule="exact"/>
        <w:ind w:left="284" w:hanging="284" w:firstLineChars="0"/>
        <w:rPr>
          <w:b/>
          <w:szCs w:val="24"/>
          <w:lang w:val="zh-CN"/>
        </w:rPr>
      </w:pPr>
      <w:r>
        <w:rPr>
          <w:rFonts w:hint="eastAsia"/>
          <w:b/>
          <w:szCs w:val="24"/>
          <w:lang w:val="zh-CN"/>
        </w:rPr>
        <w:t>解释权</w:t>
      </w:r>
    </w:p>
    <w:p w14:paraId="48B089A5">
      <w:pPr>
        <w:pStyle w:val="11"/>
        <w:spacing w:line="360" w:lineRule="auto"/>
        <w:ind w:firstLine="480" w:firstLineChars="200"/>
        <w:rPr>
          <w:lang w:val="zh-CN"/>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zh-CN"/>
        </w:rPr>
        <w:t>竞争性磋商文件解释权归集中采购机构和采购人所有。</w:t>
      </w:r>
    </w:p>
    <w:p w14:paraId="41D65029">
      <w:pPr>
        <w:pStyle w:val="3"/>
        <w:numPr>
          <w:ilvl w:val="0"/>
          <w:numId w:val="1"/>
        </w:numPr>
        <w:tabs>
          <w:tab w:val="left" w:pos="1276"/>
        </w:tabs>
        <w:wordWrap w:val="0"/>
        <w:spacing w:before="120" w:after="120" w:line="360" w:lineRule="auto"/>
        <w:ind w:left="723" w:hanging="723" w:hangingChars="200"/>
        <w:jc w:val="center"/>
        <w:rPr>
          <w:sz w:val="36"/>
          <w:szCs w:val="36"/>
        </w:rPr>
      </w:pPr>
      <w:bookmarkStart w:id="307" w:name="_Toc122527534"/>
      <w:bookmarkStart w:id="308" w:name="_Toc511894516"/>
      <w:bookmarkStart w:id="309" w:name="_Toc102119875"/>
      <w:bookmarkStart w:id="310" w:name="_Toc102056240"/>
      <w:bookmarkStart w:id="311" w:name="_Toc102116044"/>
      <w:bookmarkStart w:id="312" w:name="_Toc102116174"/>
      <w:bookmarkStart w:id="313" w:name="_Toc102114942"/>
      <w:bookmarkStart w:id="314" w:name="_Toc102057740"/>
      <w:bookmarkStart w:id="315" w:name="_Toc117244362"/>
      <w:bookmarkStart w:id="316" w:name="_Toc117244477"/>
      <w:r>
        <w:rPr>
          <w:rFonts w:hint="eastAsia"/>
          <w:sz w:val="36"/>
          <w:szCs w:val="36"/>
        </w:rPr>
        <w:t>采购需求</w:t>
      </w:r>
      <w:bookmarkEnd w:id="307"/>
    </w:p>
    <w:p w14:paraId="3A2B7ABD">
      <w:pPr>
        <w:spacing w:before="120" w:beforeLines="50" w:after="120" w:afterLines="50" w:line="360" w:lineRule="auto"/>
        <w:jc w:val="left"/>
        <w:outlineLvl w:val="1"/>
        <w:rPr>
          <w:rFonts w:hint="eastAsia" w:ascii="方正小标宋简体" w:hAnsi="方正小标宋简体" w:eastAsia="方正小标宋简体" w:cs="方正小标宋简体"/>
          <w:b w:val="0"/>
          <w:bCs/>
          <w:sz w:val="32"/>
        </w:rPr>
      </w:pPr>
      <w:bookmarkStart w:id="317" w:name="_Toc117795198"/>
      <w:bookmarkStart w:id="318" w:name="_Toc121151812"/>
      <w:r>
        <w:rPr>
          <w:rFonts w:hint="eastAsia" w:ascii="方正小标宋简体" w:hAnsi="方正小标宋简体" w:eastAsia="方正小标宋简体" w:cs="方正小标宋简体"/>
          <w:b w:val="0"/>
          <w:bCs/>
          <w:sz w:val="32"/>
        </w:rPr>
        <w:t>1、项目概况及采购需求</w:t>
      </w:r>
      <w:bookmarkEnd w:id="317"/>
      <w:bookmarkEnd w:id="318"/>
    </w:p>
    <w:p w14:paraId="7932D5C6">
      <w:pPr>
        <w:spacing w:line="360" w:lineRule="auto"/>
        <w:ind w:firstLine="720" w:firstLineChars="300"/>
        <w:jc w:val="left"/>
        <w:rPr>
          <w:rFonts w:hint="eastAsia" w:ascii="宋体" w:hAnsi="宋体" w:eastAsia="宋体" w:cs="Times New Roman"/>
          <w:sz w:val="24"/>
          <w:lang w:val="zh-CN" w:eastAsia="zh-CN" w:bidi="ar-SA"/>
        </w:rPr>
      </w:pPr>
      <w:r>
        <w:rPr>
          <w:rFonts w:hint="eastAsia" w:ascii="宋体" w:hAnsi="宋体" w:eastAsia="宋体" w:cs="Times New Roman"/>
          <w:sz w:val="24"/>
          <w:lang w:val="zh-CN" w:eastAsia="zh-CN" w:bidi="ar-SA"/>
        </w:rPr>
        <w:t>1.1、项目概况：按照《随县城乡供水一体化总体规划》要求和县委、县政府对供水体制改革工作的整体部署，计划自2022 年10 月正式启动对民营水厂的收购工作，确保2025年底实现全县城乡供水一体化目标。为确保项目有序推进，公平公正给予合理的收购补偿，项目需委托第三方评估机构对被收购方资产进行合理评估。</w:t>
      </w:r>
    </w:p>
    <w:p w14:paraId="6B6EAD03">
      <w:pPr>
        <w:spacing w:line="360" w:lineRule="auto"/>
        <w:ind w:firstLine="720" w:firstLineChars="300"/>
        <w:jc w:val="left"/>
        <w:rPr>
          <w:rFonts w:hint="eastAsia" w:ascii="宋体" w:hAnsi="宋体" w:eastAsia="宋体" w:cs="Times New Roman"/>
          <w:sz w:val="24"/>
          <w:lang w:val="zh-CN" w:eastAsia="zh-CN" w:bidi="ar-SA"/>
        </w:rPr>
      </w:pPr>
      <w:r>
        <w:rPr>
          <w:rFonts w:hint="eastAsia" w:ascii="宋体" w:hAnsi="宋体" w:eastAsia="宋体" w:cs="Times New Roman"/>
          <w:sz w:val="24"/>
          <w:lang w:val="zh-CN" w:eastAsia="zh-CN" w:bidi="ar-SA"/>
        </w:rPr>
        <w:t>1.2、招标内容：此次评估对象共涉及8 座民营水厂以及9座国营水厂。民营水厂分别为洪山镇神龙供水公司水厂、均川镇清泉供水公司水厂、环潭镇天源供水公司水厂、安居镇银泉供水公司水厂、尚市镇龙脉水厂、万和镇大华供水公司水厂、小林镇淮源供水公司水厂、唐县镇自来水厂；国营水厂分别为三里岗丁家垭水厂、吴山水厂、淮河永民河水厂、万福店水厂、黑屋湾水厂、天河口水厂、柳林水厂、草店游河水厂、新城水厂。评估公司负责对以上水厂进行资产评估，出具评估报告，为收购工作提出合理的补偿标准。具体评估内容及评估范围详见第三章）。</w:t>
      </w:r>
    </w:p>
    <w:p w14:paraId="65D4C55B">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Times New Roman"/>
          <w:b w:val="0"/>
          <w:bCs w:val="0"/>
          <w:caps w:val="0"/>
          <w:color w:val="auto"/>
          <w:sz w:val="24"/>
          <w:lang w:val="en-US" w:eastAsia="zh-CN" w:bidi="ar-SA"/>
        </w:rPr>
      </w:pPr>
      <w:r>
        <w:rPr>
          <w:rFonts w:hint="eastAsia" w:cs="Times New Roman"/>
          <w:sz w:val="24"/>
          <w:lang w:val="en-US" w:eastAsia="zh-CN" w:bidi="ar-SA"/>
        </w:rPr>
        <w:t xml:space="preserve">   </w:t>
      </w:r>
      <w:r>
        <w:rPr>
          <w:rFonts w:hint="eastAsia" w:ascii="宋体" w:hAnsi="宋体" w:eastAsia="宋体" w:cs="Times New Roman"/>
          <w:b w:val="0"/>
          <w:bCs w:val="0"/>
          <w:caps w:val="0"/>
          <w:color w:val="auto"/>
          <w:sz w:val="24"/>
          <w:lang w:val="en-US" w:eastAsia="zh-CN" w:bidi="ar-SA"/>
        </w:rPr>
        <w:t xml:space="preserve">  </w:t>
      </w:r>
      <w:r>
        <w:rPr>
          <w:rFonts w:hint="eastAsia" w:ascii="宋体" w:hAnsi="宋体" w:eastAsia="宋体" w:cs="Times New Roman"/>
          <w:b w:val="0"/>
          <w:bCs w:val="0"/>
          <w:caps w:val="0"/>
          <w:color w:val="auto"/>
          <w:sz w:val="24"/>
          <w:lang w:val="zh-CN" w:eastAsia="zh-CN" w:bidi="ar-SA"/>
        </w:rPr>
        <w:t>1.3、本项目采用费率招标。按照最终出具的评估报告，参照湖北省财政厅、省物价局《湖北省资产评估服务收费管理办法》（鄂价工服规[2011]24号）规定收费标准，按照折扣率进行报价（折扣率范围0~100%），投标人报价不得超过收费标准。</w:t>
      </w:r>
    </w:p>
    <w:p w14:paraId="2483608E">
      <w:pPr>
        <w:spacing w:line="360" w:lineRule="auto"/>
        <w:ind w:firstLine="600" w:firstLineChars="250"/>
        <w:rPr>
          <w:rFonts w:hint="eastAsia" w:ascii="宋体" w:hAnsi="宋体" w:eastAsia="宋体" w:cs="Times New Roman"/>
          <w:sz w:val="24"/>
          <w:lang w:val="zh-CN" w:eastAsia="zh-CN" w:bidi="ar-SA"/>
        </w:rPr>
      </w:pPr>
      <w:r>
        <w:rPr>
          <w:rFonts w:hint="eastAsia" w:ascii="宋体" w:hAnsi="宋体" w:eastAsia="宋体" w:cs="Times New Roman"/>
          <w:b w:val="0"/>
          <w:bCs w:val="0"/>
          <w:caps w:val="0"/>
          <w:color w:val="auto"/>
          <w:sz w:val="24"/>
          <w:lang w:val="zh-CN" w:eastAsia="zh-CN" w:bidi="ar-SA"/>
        </w:rPr>
        <w:t>1.</w:t>
      </w:r>
      <w:r>
        <w:rPr>
          <w:rFonts w:hint="eastAsia" w:cs="Times New Roman"/>
          <w:b w:val="0"/>
          <w:bCs w:val="0"/>
          <w:caps w:val="0"/>
          <w:color w:val="auto"/>
          <w:sz w:val="24"/>
          <w:lang w:val="en-US" w:eastAsia="zh-CN" w:bidi="ar-SA"/>
        </w:rPr>
        <w:t>4</w:t>
      </w:r>
      <w:r>
        <w:rPr>
          <w:rFonts w:hint="eastAsia" w:ascii="宋体" w:hAnsi="宋体" w:eastAsia="宋体" w:cs="Times New Roman"/>
          <w:b w:val="0"/>
          <w:bCs w:val="0"/>
          <w:caps w:val="0"/>
          <w:color w:val="auto"/>
          <w:sz w:val="24"/>
          <w:lang w:val="zh-CN" w:eastAsia="zh-CN" w:bidi="ar-SA"/>
        </w:rPr>
        <w:t>、合同履行期限：评估机构从接受委托之日起在6个月时限内完成评估</w:t>
      </w:r>
      <w:r>
        <w:rPr>
          <w:rFonts w:hint="eastAsia" w:ascii="宋体" w:hAnsi="宋体" w:eastAsia="宋体" w:cs="Times New Roman"/>
          <w:sz w:val="24"/>
          <w:lang w:val="zh-CN" w:eastAsia="zh-CN" w:bidi="ar-SA"/>
        </w:rPr>
        <w:t>工作并提交最终评估报告；根据评估报告甲方与被评估单位进行收购谈判，在此期间中标单位需全程配合甲方参加谈判会议，提出专业解答，提供技术支持，直至签订收购合同（转让协议）。</w:t>
      </w:r>
    </w:p>
    <w:p w14:paraId="2267AAF7">
      <w:pPr>
        <w:spacing w:line="360" w:lineRule="auto"/>
        <w:ind w:firstLine="720" w:firstLineChars="300"/>
        <w:jc w:val="left"/>
        <w:rPr>
          <w:rFonts w:hint="eastAsia" w:ascii="宋体" w:hAnsi="宋体" w:eastAsia="宋体" w:cs="Times New Roman"/>
          <w:sz w:val="24"/>
          <w:lang w:val="zh-CN" w:eastAsia="zh-CN" w:bidi="ar-SA"/>
        </w:rPr>
      </w:pPr>
      <w:r>
        <w:rPr>
          <w:rFonts w:hint="eastAsia" w:ascii="宋体" w:hAnsi="宋体" w:eastAsia="宋体" w:cs="Times New Roman"/>
          <w:sz w:val="24"/>
          <w:lang w:val="zh-CN" w:eastAsia="zh-CN" w:bidi="ar-SA"/>
        </w:rPr>
        <w:t>1.</w:t>
      </w:r>
      <w:r>
        <w:rPr>
          <w:rFonts w:hint="eastAsia" w:cs="Times New Roman"/>
          <w:sz w:val="24"/>
          <w:lang w:val="en-US" w:eastAsia="zh-CN" w:bidi="ar-SA"/>
        </w:rPr>
        <w:t>5</w:t>
      </w:r>
      <w:r>
        <w:rPr>
          <w:rFonts w:hint="eastAsia" w:ascii="宋体" w:hAnsi="宋体" w:eastAsia="宋体" w:cs="Times New Roman"/>
          <w:sz w:val="24"/>
          <w:lang w:val="zh-CN" w:eastAsia="zh-CN" w:bidi="ar-SA"/>
        </w:rPr>
        <w:t>、质量标准：合格。评估报告采用公示制对质量进行管控，从首次公示开始，在最后一次公示期内无异议即认定为评估报告合格。但为保证评估报告质量和评估行为的合法性、规范性，委托方保留接收中国资产评估协会等部门的有关意见。</w:t>
      </w:r>
    </w:p>
    <w:p w14:paraId="0E77A932">
      <w:pPr>
        <w:spacing w:before="120" w:beforeLines="50" w:after="120" w:afterLines="50" w:line="360" w:lineRule="auto"/>
        <w:jc w:val="left"/>
        <w:outlineLvl w:val="1"/>
        <w:rPr>
          <w:rFonts w:hint="eastAsia" w:ascii="方正小标宋简体" w:hAnsi="方正小标宋简体" w:eastAsia="方正小标宋简体" w:cs="方正小标宋简体"/>
          <w:b w:val="0"/>
          <w:bCs/>
          <w:sz w:val="32"/>
        </w:rPr>
      </w:pPr>
      <w:bookmarkStart w:id="319" w:name="_Toc117795199"/>
      <w:bookmarkStart w:id="320" w:name="_Toc121151813"/>
      <w:r>
        <w:rPr>
          <w:rFonts w:hint="eastAsia" w:ascii="方正小标宋简体" w:hAnsi="方正小标宋简体" w:eastAsia="方正小标宋简体" w:cs="方正小标宋简体"/>
          <w:b w:val="0"/>
          <w:bCs/>
          <w:sz w:val="32"/>
        </w:rPr>
        <w:t>2、</w:t>
      </w:r>
      <w:r>
        <w:rPr>
          <w:rFonts w:hint="eastAsia" w:ascii="方正小标宋简体" w:hAnsi="方正小标宋简体" w:eastAsia="方正小标宋简体" w:cs="方正小标宋简体"/>
          <w:b w:val="0"/>
          <w:bCs/>
          <w:sz w:val="32"/>
          <w:lang w:val="en-US" w:eastAsia="zh-CN"/>
        </w:rPr>
        <w:t>商务要求和</w:t>
      </w:r>
      <w:r>
        <w:rPr>
          <w:rFonts w:hint="eastAsia" w:ascii="方正小标宋简体" w:hAnsi="方正小标宋简体" w:eastAsia="方正小标宋简体" w:cs="方正小标宋简体"/>
          <w:b w:val="0"/>
          <w:bCs/>
          <w:sz w:val="32"/>
        </w:rPr>
        <w:t>技术要求</w:t>
      </w:r>
      <w:bookmarkEnd w:id="319"/>
      <w:bookmarkEnd w:id="320"/>
    </w:p>
    <w:p w14:paraId="4B1F6608">
      <w:pPr>
        <w:spacing w:line="360" w:lineRule="auto"/>
        <w:ind w:firstLine="720" w:firstLineChars="300"/>
        <w:jc w:val="left"/>
        <w:rPr>
          <w:sz w:val="24"/>
        </w:rPr>
      </w:pPr>
      <w:r>
        <w:rPr>
          <w:sz w:val="24"/>
        </w:rPr>
        <w:t>2.1、评估机构开展评估活动，必须符合中华人民共和国各项法律法规，符合评估行业规范及技术标准：</w:t>
      </w:r>
    </w:p>
    <w:p w14:paraId="3C95524A">
      <w:pPr>
        <w:spacing w:line="360" w:lineRule="auto"/>
        <w:ind w:firstLine="720" w:firstLineChars="300"/>
        <w:jc w:val="left"/>
        <w:rPr>
          <w:sz w:val="24"/>
        </w:rPr>
      </w:pPr>
      <w:r>
        <w:rPr>
          <w:sz w:val="24"/>
        </w:rPr>
        <w:t>（1）财政部财资[2017]43号批准发布的《资产评估基本准则》(2017年8月23日发布，2017年10月1日起执行)；</w:t>
      </w:r>
    </w:p>
    <w:p w14:paraId="7AE4F439">
      <w:pPr>
        <w:spacing w:line="360" w:lineRule="auto"/>
        <w:ind w:firstLine="720" w:firstLineChars="300"/>
        <w:jc w:val="left"/>
        <w:rPr>
          <w:sz w:val="24"/>
        </w:rPr>
      </w:pPr>
      <w:r>
        <w:rPr>
          <w:sz w:val="24"/>
        </w:rPr>
        <w:t>（2）《资产评估职业道德准则》的通知（中评协〔2017〕30号）；</w:t>
      </w:r>
    </w:p>
    <w:p w14:paraId="3F985ABD">
      <w:pPr>
        <w:spacing w:line="360" w:lineRule="auto"/>
        <w:ind w:firstLine="720" w:firstLineChars="300"/>
        <w:jc w:val="left"/>
        <w:rPr>
          <w:sz w:val="24"/>
        </w:rPr>
      </w:pPr>
      <w:r>
        <w:rPr>
          <w:sz w:val="24"/>
        </w:rPr>
        <w:t>（3）《资产评估执业准则——资产评估程序》的通知（中评协〔2018〕36号）；</w:t>
      </w:r>
    </w:p>
    <w:p w14:paraId="5DB94AA7">
      <w:pPr>
        <w:spacing w:line="360" w:lineRule="auto"/>
        <w:ind w:firstLine="720" w:firstLineChars="300"/>
        <w:jc w:val="left"/>
        <w:rPr>
          <w:sz w:val="24"/>
        </w:rPr>
      </w:pPr>
      <w:r>
        <w:rPr>
          <w:sz w:val="24"/>
        </w:rPr>
        <w:t>（4）《资产评估执业准则——资产评估方法》（中评协〔2019〕35号）；</w:t>
      </w:r>
    </w:p>
    <w:p w14:paraId="63918375">
      <w:pPr>
        <w:spacing w:line="360" w:lineRule="auto"/>
        <w:ind w:firstLine="720" w:firstLineChars="300"/>
        <w:jc w:val="left"/>
        <w:rPr>
          <w:sz w:val="24"/>
        </w:rPr>
      </w:pPr>
      <w:r>
        <w:rPr>
          <w:sz w:val="24"/>
        </w:rPr>
        <w:t>（5）《资产评估对象法律权属指导意见》（中评协〔2017〕48号）；</w:t>
      </w:r>
    </w:p>
    <w:p w14:paraId="05326708">
      <w:pPr>
        <w:spacing w:line="360" w:lineRule="auto"/>
        <w:ind w:firstLine="720" w:firstLineChars="300"/>
        <w:jc w:val="left"/>
        <w:rPr>
          <w:sz w:val="24"/>
        </w:rPr>
      </w:pPr>
      <w:r>
        <w:rPr>
          <w:sz w:val="24"/>
        </w:rPr>
        <w:t>（6）市人民政府办公室关于公布实施随州市城区集体所有土地上建（构）筑物等地上附着物征收补偿标准的通知（随政办发〔2020〕18号）（DZ/T 0215-2002）；</w:t>
      </w:r>
    </w:p>
    <w:p w14:paraId="22DEEB3A">
      <w:pPr>
        <w:spacing w:line="360" w:lineRule="auto"/>
        <w:ind w:firstLine="720" w:firstLineChars="300"/>
        <w:jc w:val="left"/>
        <w:rPr>
          <w:sz w:val="24"/>
        </w:rPr>
      </w:pPr>
      <w:r>
        <w:rPr>
          <w:sz w:val="24"/>
        </w:rPr>
        <w:t>（7）中国资产评估协会发布的《资产评估价值类型指导意见》（中评协〔2017〕47号，2017年9月8日发布，2017年10月1日起执行）、《资产评估对象法律权属指导意见》（中评协〔2017〕48号，2017年9月8日发布，2017年10月1日起执行）；</w:t>
      </w:r>
    </w:p>
    <w:p w14:paraId="47843B4D">
      <w:pPr>
        <w:spacing w:line="360" w:lineRule="auto"/>
        <w:ind w:firstLine="720" w:firstLineChars="300"/>
        <w:jc w:val="left"/>
        <w:rPr>
          <w:sz w:val="24"/>
        </w:rPr>
      </w:pPr>
      <w:r>
        <w:rPr>
          <w:sz w:val="24"/>
        </w:rPr>
        <w:t>（8）其他相关要求。</w:t>
      </w:r>
    </w:p>
    <w:p w14:paraId="392DA427">
      <w:pPr>
        <w:spacing w:line="360" w:lineRule="auto"/>
        <w:ind w:firstLine="720" w:firstLineChars="300"/>
        <w:jc w:val="left"/>
        <w:rPr>
          <w:sz w:val="24"/>
        </w:rPr>
      </w:pPr>
      <w:r>
        <w:rPr>
          <w:sz w:val="24"/>
        </w:rPr>
        <w:t>2.</w:t>
      </w:r>
      <w:r>
        <w:rPr>
          <w:rFonts w:hint="eastAsia"/>
          <w:sz w:val="24"/>
          <w:lang w:val="en-US" w:eastAsia="zh-CN"/>
        </w:rPr>
        <w:t>2</w:t>
      </w:r>
      <w:r>
        <w:rPr>
          <w:sz w:val="24"/>
        </w:rPr>
        <w:t>、评估机构须承诺完全响应招标公告提出的要求。</w:t>
      </w:r>
    </w:p>
    <w:p w14:paraId="208D5B38">
      <w:pPr>
        <w:spacing w:line="360" w:lineRule="auto"/>
        <w:ind w:firstLine="720" w:firstLineChars="300"/>
        <w:jc w:val="left"/>
        <w:rPr>
          <w:sz w:val="24"/>
        </w:rPr>
      </w:pPr>
      <w:r>
        <w:rPr>
          <w:sz w:val="24"/>
        </w:rPr>
        <w:t>（1）评估小组应充分搜集评估用基础资料，原则上应开展包括实地考察在内的全方面调查论证，与类似评估项目进行对比论证，为报告质量提供充分的工作保证；</w:t>
      </w:r>
    </w:p>
    <w:p w14:paraId="57CD714A">
      <w:pPr>
        <w:spacing w:line="360" w:lineRule="auto"/>
        <w:ind w:firstLine="720" w:firstLineChars="300"/>
        <w:jc w:val="left"/>
        <w:rPr>
          <w:sz w:val="24"/>
        </w:rPr>
      </w:pPr>
      <w:r>
        <w:rPr>
          <w:sz w:val="24"/>
        </w:rPr>
        <w:t xml:space="preserve">（2）提交主管部门公示后的报告需计入评估机构质量监控记录（以中国资产评估协会备案为准）； </w:t>
      </w:r>
    </w:p>
    <w:p w14:paraId="0FC8FA1E">
      <w:pPr>
        <w:spacing w:line="360" w:lineRule="auto"/>
        <w:ind w:firstLine="720" w:firstLineChars="300"/>
        <w:jc w:val="left"/>
        <w:rPr>
          <w:sz w:val="24"/>
        </w:rPr>
      </w:pPr>
      <w:r>
        <w:rPr>
          <w:sz w:val="24"/>
        </w:rPr>
        <w:t>（3）评估机构从接受委托之日起在6个月时限内完成评估工作并提交报告(委托方单方面造成的延期除外)；报告公示后需要对重要参数和内容修改的，须在15个工作日内重新提交。由于评估机构自身原因未能按时提交报告造成超期的，投标单位需在投标文件中作出有切实可行的经济处罚措施的承诺，</w:t>
      </w:r>
      <w:r>
        <w:rPr>
          <w:rFonts w:hint="eastAsia"/>
          <w:sz w:val="24"/>
        </w:rPr>
        <w:t>评估工作开展过程中严格执行相关承诺及合同约定的奖惩条款。</w:t>
      </w:r>
    </w:p>
    <w:p w14:paraId="47F33693">
      <w:pPr>
        <w:spacing w:line="360" w:lineRule="auto"/>
        <w:ind w:firstLine="720" w:firstLineChars="300"/>
        <w:jc w:val="left"/>
        <w:rPr>
          <w:sz w:val="24"/>
        </w:rPr>
      </w:pPr>
      <w:r>
        <w:rPr>
          <w:sz w:val="24"/>
        </w:rPr>
        <w:t>（4）评估活动的过程中以及评估行为结束后，评估机构应完全配合项目委托方的管理要求，及时完成电子和纸质评估档案的上传、归档。出具评估报告后，在后续的谈判收购工作中，评估单位需全程提供技术支持，配合甲方完成收购活动，直至签订最终的收购协议或转让协议</w:t>
      </w:r>
      <w:r>
        <w:rPr>
          <w:rFonts w:hint="eastAsia"/>
          <w:sz w:val="24"/>
        </w:rPr>
        <w:t>。</w:t>
      </w:r>
    </w:p>
    <w:p w14:paraId="1305C76B">
      <w:pPr>
        <w:spacing w:line="360" w:lineRule="auto"/>
        <w:ind w:firstLine="720" w:firstLineChars="300"/>
        <w:jc w:val="left"/>
        <w:rPr>
          <w:sz w:val="24"/>
        </w:rPr>
      </w:pPr>
      <w:r>
        <w:rPr>
          <w:sz w:val="24"/>
        </w:rPr>
        <w:t>2.</w:t>
      </w:r>
      <w:r>
        <w:rPr>
          <w:rFonts w:hint="eastAsia"/>
          <w:sz w:val="24"/>
          <w:lang w:val="en-US" w:eastAsia="zh-CN"/>
        </w:rPr>
        <w:t>3</w:t>
      </w:r>
      <w:r>
        <w:rPr>
          <w:sz w:val="24"/>
        </w:rPr>
        <w:t>、评估机构应</w:t>
      </w:r>
      <w:r>
        <w:rPr>
          <w:rFonts w:hint="eastAsia"/>
          <w:sz w:val="24"/>
        </w:rPr>
        <w:t>本着客观、公平、公正的原则，对拟收购水厂的地产、房产、设备、管网等资产进行评估，对历年财政补助资金，群众自筹，集体投入等部分资产投入情况进行核实，在评估资产中予以扣除，扣除后再进行残值评估。不考虑特许经营权、经营协议及企业经营必须办理的各种许可证件等对评估价值的影响。各镇负责及时对接评估机构，配合评估工作开展。</w:t>
      </w:r>
    </w:p>
    <w:p w14:paraId="04C61E96">
      <w:pPr>
        <w:spacing w:line="360" w:lineRule="auto"/>
        <w:ind w:firstLine="720" w:firstLineChars="300"/>
        <w:jc w:val="left"/>
        <w:rPr>
          <w:sz w:val="24"/>
        </w:rPr>
      </w:pPr>
      <w:r>
        <w:rPr>
          <w:rFonts w:hint="eastAsia"/>
          <w:sz w:val="24"/>
        </w:rPr>
        <w:t>2</w:t>
      </w:r>
      <w:r>
        <w:rPr>
          <w:sz w:val="24"/>
        </w:rPr>
        <w:t>.</w:t>
      </w:r>
      <w:r>
        <w:rPr>
          <w:rFonts w:hint="eastAsia"/>
          <w:sz w:val="24"/>
          <w:lang w:val="en-US" w:eastAsia="zh-CN"/>
        </w:rPr>
        <w:t>4</w:t>
      </w:r>
      <w:r>
        <w:rPr>
          <w:sz w:val="24"/>
        </w:rPr>
        <w:t>、</w:t>
      </w:r>
      <w:r>
        <w:rPr>
          <w:rFonts w:hint="eastAsia"/>
          <w:sz w:val="24"/>
        </w:rPr>
        <w:t>评估机构形成评估报告（初稿），经资产评估指导组讨论通过后报县审计局审核。评估机构根据复核意见进行修订，报经县收购专班批准后出具正式评估报告。</w:t>
      </w:r>
    </w:p>
    <w:p w14:paraId="3E646F85">
      <w:pPr>
        <w:spacing w:line="360" w:lineRule="auto"/>
        <w:ind w:firstLine="720" w:firstLineChars="300"/>
        <w:jc w:val="left"/>
        <w:rPr>
          <w:sz w:val="24"/>
        </w:rPr>
      </w:pPr>
      <w:r>
        <w:rPr>
          <w:rFonts w:hint="eastAsia"/>
          <w:sz w:val="24"/>
        </w:rPr>
        <w:t>2</w:t>
      </w:r>
      <w:r>
        <w:rPr>
          <w:sz w:val="24"/>
        </w:rPr>
        <w:t>.</w:t>
      </w:r>
      <w:r>
        <w:rPr>
          <w:rFonts w:hint="eastAsia"/>
          <w:sz w:val="24"/>
          <w:lang w:val="en-US" w:eastAsia="zh-CN"/>
        </w:rPr>
        <w:t>5</w:t>
      </w:r>
      <w:r>
        <w:rPr>
          <w:sz w:val="24"/>
        </w:rPr>
        <w:t>、派出的资产评估人员必须具备资产评估、财务管理、会计核算、资产管理、 政府采购等法律、法规、政策和制度及其管理知识，严格遵守资产评估“四严禁” 工作要求、“八不准”工作纪律。评估机构应加强评估人员的廉政教育管理工作，在评估工作开展中严格按照执业操守办事，不徇私舞弊，造成国有资产流失的将依法追究相关法律责任。</w:t>
      </w:r>
    </w:p>
    <w:p w14:paraId="593F91CF">
      <w:pPr>
        <w:spacing w:line="360" w:lineRule="auto"/>
        <w:ind w:firstLine="720" w:firstLineChars="300"/>
        <w:jc w:val="left"/>
        <w:rPr>
          <w:sz w:val="24"/>
        </w:rPr>
      </w:pPr>
      <w:r>
        <w:rPr>
          <w:sz w:val="24"/>
        </w:rPr>
        <w:t>2.</w:t>
      </w:r>
      <w:r>
        <w:rPr>
          <w:rFonts w:hint="eastAsia"/>
          <w:sz w:val="24"/>
          <w:lang w:val="en-US" w:eastAsia="zh-CN"/>
        </w:rPr>
        <w:t>6</w:t>
      </w:r>
      <w:r>
        <w:rPr>
          <w:sz w:val="24"/>
        </w:rPr>
        <w:t>、中标评估机构应按照约定在</w:t>
      </w:r>
      <w:r>
        <w:rPr>
          <w:rFonts w:hint="eastAsia"/>
          <w:sz w:val="24"/>
        </w:rPr>
        <w:t>随县</w:t>
      </w:r>
      <w:r>
        <w:rPr>
          <w:sz w:val="24"/>
        </w:rPr>
        <w:t>境内安排主要负责人及项目组主要成员驻场服务，做到评估过程中</w:t>
      </w:r>
      <w:r>
        <w:rPr>
          <w:rFonts w:hint="eastAsia"/>
          <w:sz w:val="24"/>
        </w:rPr>
        <w:t>信息获取</w:t>
      </w:r>
      <w:r>
        <w:rPr>
          <w:sz w:val="24"/>
        </w:rPr>
        <w:t>、意见交换等实时处理，响应时间不得超过</w:t>
      </w:r>
      <w:r>
        <w:rPr>
          <w:rFonts w:hint="eastAsia"/>
          <w:sz w:val="24"/>
        </w:rPr>
        <w:t>2</w:t>
      </w:r>
      <w:r>
        <w:rPr>
          <w:sz w:val="24"/>
        </w:rPr>
        <w:t>4个小时，提高评估工作质量与进度。</w:t>
      </w:r>
    </w:p>
    <w:p w14:paraId="1BB74F05">
      <w:pPr>
        <w:spacing w:line="360" w:lineRule="auto"/>
        <w:ind w:firstLine="720" w:firstLineChars="300"/>
        <w:jc w:val="left"/>
        <w:rPr>
          <w:sz w:val="24"/>
        </w:rPr>
      </w:pPr>
      <w:r>
        <w:rPr>
          <w:rFonts w:hint="eastAsia"/>
          <w:sz w:val="24"/>
        </w:rPr>
        <w:t>2</w:t>
      </w:r>
      <w:r>
        <w:rPr>
          <w:sz w:val="24"/>
        </w:rPr>
        <w:t>.</w:t>
      </w:r>
      <w:r>
        <w:rPr>
          <w:rFonts w:hint="eastAsia"/>
          <w:sz w:val="24"/>
          <w:lang w:val="en-US" w:eastAsia="zh-CN"/>
        </w:rPr>
        <w:t>7</w:t>
      </w:r>
      <w:r>
        <w:rPr>
          <w:sz w:val="24"/>
        </w:rPr>
        <w:t>、中标单位除需要按照评估办法出具评估报告外，</w:t>
      </w:r>
      <w:r>
        <w:rPr>
          <w:rFonts w:hint="eastAsia"/>
          <w:sz w:val="24"/>
        </w:rPr>
        <w:t>应</w:t>
      </w:r>
      <w:r>
        <w:rPr>
          <w:sz w:val="24"/>
        </w:rPr>
        <w:t>依照出具的资产评估报告配合甲方同各被评估水产进行收购谈判，派驻相关评估专业人员出席谈判会议等，配合委托人工作直至收购工作完成。</w:t>
      </w:r>
    </w:p>
    <w:p w14:paraId="7BD86C4A">
      <w:pPr>
        <w:spacing w:line="360" w:lineRule="auto"/>
        <w:ind w:firstLine="720" w:firstLineChars="300"/>
        <w:jc w:val="left"/>
        <w:rPr>
          <w:rFonts w:hint="eastAsia"/>
          <w:sz w:val="24"/>
        </w:rPr>
      </w:pPr>
      <w:r>
        <w:rPr>
          <w:rFonts w:hint="eastAsia"/>
          <w:sz w:val="24"/>
        </w:rPr>
        <w:t>2</w:t>
      </w:r>
      <w:r>
        <w:rPr>
          <w:sz w:val="24"/>
        </w:rPr>
        <w:t>.</w:t>
      </w:r>
      <w:r>
        <w:rPr>
          <w:rFonts w:hint="eastAsia"/>
          <w:sz w:val="24"/>
          <w:lang w:val="en-US" w:eastAsia="zh-CN"/>
        </w:rPr>
        <w:t>8</w:t>
      </w:r>
      <w:r>
        <w:rPr>
          <w:sz w:val="24"/>
        </w:rPr>
        <w:t>、资产评估组在实施资产评估工作中，对资产评估项目涉及的被评估单位及其有关工作人员拖延、阻碍、刁难资产评估工作，不按照资产评估组要求如实提供有关信息资料、如实解答资产评估人员的资产评估提问的，应及时向采购人相关负责人报告，以便及时协调、处理。</w:t>
      </w:r>
    </w:p>
    <w:p w14:paraId="713EADE2">
      <w:pPr>
        <w:spacing w:before="120" w:beforeLines="50" w:after="120" w:afterLines="50" w:line="360" w:lineRule="auto"/>
        <w:jc w:val="left"/>
        <w:outlineLvl w:val="1"/>
        <w:rPr>
          <w:rFonts w:hint="eastAsia" w:ascii="方正小标宋简体" w:hAnsi="方正小标宋简体" w:eastAsia="方正小标宋简体" w:cs="方正小标宋简体"/>
          <w:b w:val="0"/>
          <w:bCs/>
          <w:sz w:val="32"/>
        </w:rPr>
      </w:pPr>
      <w:bookmarkStart w:id="321" w:name="_Toc121151814"/>
      <w:r>
        <w:rPr>
          <w:rFonts w:hint="eastAsia" w:ascii="方正小标宋简体" w:hAnsi="方正小标宋简体" w:eastAsia="方正小标宋简体" w:cs="方正小标宋简体"/>
          <w:b w:val="0"/>
          <w:bCs/>
          <w:sz w:val="32"/>
        </w:rPr>
        <w:t>3、其他要求</w:t>
      </w:r>
      <w:bookmarkEnd w:id="321"/>
    </w:p>
    <w:p w14:paraId="3FD1A2D1">
      <w:pPr>
        <w:spacing w:line="360" w:lineRule="auto"/>
        <w:ind w:firstLine="720" w:firstLineChars="300"/>
        <w:jc w:val="left"/>
        <w:rPr>
          <w:sz w:val="24"/>
        </w:rPr>
      </w:pPr>
      <w:r>
        <w:rPr>
          <w:sz w:val="24"/>
        </w:rPr>
        <w:t>3.1、中止合同的情况：如在评估活动中，发现评估机构违法违规操作，或者不能按照规定的期限提交报告，或者报告因质量问题超过三次修改，委托方有权中止或终止评估委托合同。</w:t>
      </w:r>
    </w:p>
    <w:p w14:paraId="37BB1E74">
      <w:pPr>
        <w:spacing w:line="360" w:lineRule="auto"/>
        <w:ind w:firstLine="720" w:firstLineChars="300"/>
        <w:jc w:val="left"/>
        <w:rPr>
          <w:sz w:val="24"/>
        </w:rPr>
      </w:pPr>
      <w:r>
        <w:rPr>
          <w:sz w:val="24"/>
        </w:rPr>
        <w:t>3.2、取消中标资格的情况：评估机构违法违规操作，或者在主管部门的执业行为监督考核中累计扣分超过10分，将取消中标资格（相应的评估考核细则双方在签订合同中详细约定）。</w:t>
      </w:r>
    </w:p>
    <w:p w14:paraId="7B25690D">
      <w:pPr>
        <w:spacing w:line="360" w:lineRule="auto"/>
        <w:ind w:firstLine="720" w:firstLineChars="300"/>
        <w:jc w:val="left"/>
        <w:rPr>
          <w:sz w:val="24"/>
        </w:rPr>
      </w:pPr>
      <w:r>
        <w:rPr>
          <w:sz w:val="24"/>
        </w:rPr>
        <w:t>3.3、验收售后服务：及时完成电子和纸质评估档案的上传、归档，将评估过程中的相关文书、档案全部归纳整理留档，主动接受和配合审计等相关部门工作。</w:t>
      </w:r>
    </w:p>
    <w:p w14:paraId="17DB9455">
      <w:pPr>
        <w:spacing w:line="360" w:lineRule="auto"/>
        <w:ind w:firstLine="720" w:firstLineChars="300"/>
        <w:jc w:val="left"/>
        <w:rPr>
          <w:sz w:val="24"/>
        </w:rPr>
      </w:pPr>
      <w:r>
        <w:rPr>
          <w:sz w:val="24"/>
        </w:rPr>
        <w:t>3.4、付款方式：评估报告公示无异议后，将相关档案归集齐全后，委托人支付</w:t>
      </w:r>
      <w:r>
        <w:rPr>
          <w:rFonts w:hint="eastAsia"/>
          <w:sz w:val="24"/>
        </w:rPr>
        <w:t>5</w:t>
      </w:r>
      <w:r>
        <w:rPr>
          <w:sz w:val="24"/>
        </w:rPr>
        <w:t>0%的评估费用；收购谈判过程，甲方与被评估单位签订收购合同，完成收购工作后，支付剩余</w:t>
      </w:r>
      <w:r>
        <w:rPr>
          <w:rFonts w:hint="eastAsia"/>
          <w:sz w:val="24"/>
        </w:rPr>
        <w:t>5</w:t>
      </w:r>
      <w:r>
        <w:rPr>
          <w:sz w:val="24"/>
        </w:rPr>
        <w:t>0%的评估费用。具体支付方式双方在合同中约定。</w:t>
      </w:r>
    </w:p>
    <w:p w14:paraId="563AA81C"/>
    <w:p w14:paraId="06BD8D6E">
      <w:pPr>
        <w:pStyle w:val="2"/>
      </w:pPr>
    </w:p>
    <w:p w14:paraId="4DEA4353"/>
    <w:p w14:paraId="0D615A6C">
      <w:pPr>
        <w:pStyle w:val="2"/>
      </w:pPr>
    </w:p>
    <w:p w14:paraId="7336F102">
      <w:pPr>
        <w:pStyle w:val="3"/>
        <w:numPr>
          <w:ilvl w:val="0"/>
          <w:numId w:val="1"/>
        </w:numPr>
        <w:tabs>
          <w:tab w:val="left" w:pos="1276"/>
        </w:tabs>
        <w:wordWrap w:val="0"/>
        <w:spacing w:before="120" w:after="120" w:line="360" w:lineRule="auto"/>
        <w:ind w:left="723" w:hanging="723" w:hangingChars="200"/>
        <w:jc w:val="center"/>
        <w:rPr>
          <w:sz w:val="36"/>
          <w:szCs w:val="36"/>
        </w:rPr>
      </w:pPr>
      <w:bookmarkStart w:id="322" w:name="_Toc122527540"/>
      <w:r>
        <w:rPr>
          <w:rFonts w:hint="eastAsia"/>
          <w:sz w:val="36"/>
          <w:szCs w:val="36"/>
        </w:rPr>
        <w:t>评审</w:t>
      </w:r>
      <w:bookmarkEnd w:id="308"/>
      <w:bookmarkEnd w:id="309"/>
      <w:bookmarkEnd w:id="310"/>
      <w:bookmarkEnd w:id="311"/>
      <w:bookmarkEnd w:id="312"/>
      <w:bookmarkEnd w:id="313"/>
      <w:bookmarkEnd w:id="314"/>
      <w:r>
        <w:rPr>
          <w:rFonts w:hint="eastAsia"/>
          <w:sz w:val="36"/>
          <w:szCs w:val="36"/>
        </w:rPr>
        <w:t>办法</w:t>
      </w:r>
      <w:bookmarkEnd w:id="315"/>
      <w:bookmarkEnd w:id="316"/>
      <w:bookmarkEnd w:id="322"/>
    </w:p>
    <w:p w14:paraId="684B1F6F">
      <w:pPr>
        <w:pStyle w:val="4"/>
        <w:numPr>
          <w:ilvl w:val="0"/>
          <w:numId w:val="42"/>
        </w:numPr>
        <w:wordWrap w:val="0"/>
        <w:spacing w:before="0" w:after="0" w:line="360" w:lineRule="auto"/>
        <w:ind w:left="616" w:hanging="616"/>
        <w:jc w:val="left"/>
        <w:rPr>
          <w:rFonts w:ascii="宋体" w:hAnsi="宋体" w:eastAsia="宋体" w:cs="Times New Roman"/>
          <w:bCs w:val="0"/>
          <w:sz w:val="28"/>
          <w:szCs w:val="28"/>
          <w:lang w:val="zh-CN"/>
        </w:rPr>
      </w:pPr>
      <w:bookmarkStart w:id="323" w:name="_Toc494561961"/>
      <w:bookmarkStart w:id="324" w:name="_Toc511894517"/>
      <w:bookmarkStart w:id="325" w:name="_Toc102119876"/>
      <w:bookmarkStart w:id="326" w:name="_Toc102116045"/>
      <w:bookmarkStart w:id="327" w:name="_Toc102114943"/>
      <w:bookmarkStart w:id="328" w:name="_Toc117244363"/>
      <w:bookmarkStart w:id="329" w:name="_Toc122527541"/>
      <w:bookmarkStart w:id="330" w:name="_Toc102116175"/>
      <w:bookmarkStart w:id="331" w:name="_Toc102056241"/>
      <w:bookmarkStart w:id="332" w:name="_Toc117244478"/>
      <w:bookmarkStart w:id="333" w:name="_Toc102057741"/>
      <w:r>
        <w:rPr>
          <w:rFonts w:hint="eastAsia" w:ascii="宋体" w:hAnsi="宋体" w:eastAsia="宋体" w:cs="Times New Roman"/>
          <w:bCs w:val="0"/>
          <w:sz w:val="28"/>
          <w:szCs w:val="28"/>
          <w:lang w:val="zh-CN"/>
        </w:rPr>
        <w:t>评审方法</w:t>
      </w:r>
      <w:bookmarkEnd w:id="323"/>
      <w:bookmarkEnd w:id="324"/>
      <w:bookmarkEnd w:id="325"/>
      <w:bookmarkEnd w:id="326"/>
      <w:bookmarkEnd w:id="327"/>
      <w:bookmarkEnd w:id="328"/>
      <w:bookmarkEnd w:id="329"/>
      <w:bookmarkEnd w:id="330"/>
      <w:bookmarkEnd w:id="331"/>
      <w:bookmarkEnd w:id="332"/>
      <w:bookmarkEnd w:id="333"/>
    </w:p>
    <w:p w14:paraId="0147725B">
      <w:pPr>
        <w:wordWrap w:val="0"/>
        <w:spacing w:line="360" w:lineRule="auto"/>
        <w:ind w:firstLine="480" w:firstLineChars="200"/>
        <w:rPr>
          <w:bCs/>
          <w:lang w:val="zh-CN"/>
        </w:rPr>
      </w:pPr>
      <w:r>
        <w:rPr>
          <w:rFonts w:hint="eastAsia"/>
          <w:szCs w:val="21"/>
        </w:rPr>
        <w:t>本项目采用综合评分法。综合评分</w:t>
      </w:r>
      <w:r>
        <w:rPr>
          <w:szCs w:val="21"/>
        </w:rPr>
        <w:t>法</w:t>
      </w:r>
      <w:r>
        <w:rPr>
          <w:rFonts w:hint="eastAsia"/>
          <w:szCs w:val="21"/>
        </w:rPr>
        <w:t>是指</w:t>
      </w:r>
      <w:bookmarkStart w:id="334" w:name="_Toc278891606"/>
      <w:bookmarkStart w:id="335" w:name="_Toc272247709"/>
      <w:bookmarkStart w:id="336" w:name="_Toc511894518"/>
      <w:bookmarkStart w:id="337" w:name="_Toc494561962"/>
      <w:r>
        <w:rPr>
          <w:rFonts w:hint="eastAsia"/>
          <w:szCs w:val="21"/>
        </w:rPr>
        <w:t>经磋商确定最终采购需求和提交最后报价的供应商后，由磋商小组采用综合评分法对提交最后报价的供应商的响应文件和最后报价进行综合评分。</w:t>
      </w:r>
      <w:r>
        <w:rPr>
          <w:bCs/>
          <w:szCs w:val="24"/>
          <w:lang w:val="zh-CN"/>
        </w:rPr>
        <w:t>响应文件满足磋商文件</w:t>
      </w:r>
      <w:r>
        <w:rPr>
          <w:rFonts w:hint="eastAsia"/>
          <w:bCs/>
          <w:szCs w:val="24"/>
          <w:lang w:val="zh-CN"/>
        </w:rPr>
        <w:t>全部</w:t>
      </w:r>
      <w:r>
        <w:rPr>
          <w:bCs/>
          <w:szCs w:val="24"/>
          <w:lang w:val="zh-CN"/>
        </w:rPr>
        <w:t>实质性要求</w:t>
      </w:r>
      <w:r>
        <w:rPr>
          <w:rFonts w:hint="eastAsia"/>
          <w:bCs/>
          <w:szCs w:val="24"/>
          <w:lang w:val="zh-CN"/>
        </w:rPr>
        <w:t>且按</w:t>
      </w:r>
      <w:r>
        <w:rPr>
          <w:bCs/>
          <w:szCs w:val="24"/>
          <w:lang w:val="zh-CN"/>
        </w:rPr>
        <w:t>评审因素的量化指标评审</w:t>
      </w:r>
      <w:r>
        <w:rPr>
          <w:rFonts w:hint="eastAsia"/>
          <w:bCs/>
          <w:szCs w:val="24"/>
          <w:lang w:val="zh-CN"/>
        </w:rPr>
        <w:t>得</w:t>
      </w:r>
      <w:r>
        <w:rPr>
          <w:bCs/>
          <w:szCs w:val="24"/>
          <w:lang w:val="zh-CN"/>
        </w:rPr>
        <w:t>分最高的供应商为成交候选供应商的评审</w:t>
      </w:r>
      <w:r>
        <w:rPr>
          <w:rFonts w:hint="eastAsia"/>
          <w:bCs/>
          <w:szCs w:val="24"/>
          <w:lang w:val="zh-CN"/>
        </w:rPr>
        <w:t>方法</w:t>
      </w:r>
      <w:r>
        <w:rPr>
          <w:bCs/>
          <w:szCs w:val="24"/>
          <w:lang w:val="zh-CN"/>
        </w:rPr>
        <w:t>。</w:t>
      </w:r>
    </w:p>
    <w:p w14:paraId="719D3305">
      <w:pPr>
        <w:pStyle w:val="4"/>
        <w:numPr>
          <w:ilvl w:val="0"/>
          <w:numId w:val="42"/>
        </w:numPr>
        <w:wordWrap w:val="0"/>
        <w:spacing w:before="0" w:after="0" w:line="360" w:lineRule="auto"/>
        <w:ind w:left="616" w:hanging="616"/>
        <w:jc w:val="left"/>
        <w:rPr>
          <w:rFonts w:ascii="宋体" w:hAnsi="宋体" w:eastAsia="宋体" w:cs="Times New Roman"/>
          <w:bCs w:val="0"/>
          <w:sz w:val="28"/>
          <w:szCs w:val="28"/>
          <w:lang w:val="zh-CN"/>
        </w:rPr>
      </w:pPr>
      <w:bookmarkStart w:id="338" w:name="_Toc102119877"/>
      <w:bookmarkStart w:id="339" w:name="_Toc102114944"/>
      <w:bookmarkStart w:id="340" w:name="_Toc102116176"/>
      <w:bookmarkStart w:id="341" w:name="_Toc117244364"/>
      <w:bookmarkStart w:id="342" w:name="_Toc122527542"/>
      <w:bookmarkStart w:id="343" w:name="_Toc117244479"/>
      <w:bookmarkStart w:id="344" w:name="_Toc102057742"/>
      <w:bookmarkStart w:id="345" w:name="_Toc102116046"/>
      <w:bookmarkStart w:id="346" w:name="_Toc102056242"/>
      <w:r>
        <w:rPr>
          <w:rFonts w:hint="eastAsia" w:ascii="宋体" w:hAnsi="宋体" w:eastAsia="宋体" w:cs="Times New Roman"/>
          <w:bCs w:val="0"/>
          <w:sz w:val="28"/>
          <w:szCs w:val="28"/>
          <w:lang w:val="zh-CN"/>
        </w:rPr>
        <w:t>评审程序</w:t>
      </w:r>
      <w:bookmarkEnd w:id="334"/>
      <w:bookmarkEnd w:id="335"/>
      <w:bookmarkEnd w:id="336"/>
      <w:bookmarkEnd w:id="337"/>
      <w:bookmarkEnd w:id="338"/>
      <w:bookmarkEnd w:id="339"/>
      <w:bookmarkEnd w:id="340"/>
      <w:bookmarkEnd w:id="341"/>
      <w:bookmarkEnd w:id="342"/>
      <w:bookmarkEnd w:id="343"/>
      <w:bookmarkEnd w:id="344"/>
      <w:bookmarkEnd w:id="345"/>
      <w:bookmarkEnd w:id="346"/>
    </w:p>
    <w:p w14:paraId="34EF9BCF">
      <w:pPr>
        <w:numPr>
          <w:ilvl w:val="0"/>
          <w:numId w:val="43"/>
        </w:numPr>
        <w:wordWrap w:val="0"/>
        <w:adjustRightInd w:val="0"/>
        <w:snapToGrid w:val="0"/>
        <w:spacing w:line="360" w:lineRule="auto"/>
        <w:rPr>
          <w:lang w:val="zh-CN"/>
        </w:rPr>
      </w:pPr>
      <w:r>
        <w:rPr>
          <w:rFonts w:hint="eastAsia" w:cs="宋体"/>
          <w:b/>
          <w:bCs/>
        </w:rPr>
        <w:t>资格性检查和符合性检查。</w:t>
      </w:r>
    </w:p>
    <w:p w14:paraId="2A92B864">
      <w:pPr>
        <w:tabs>
          <w:tab w:val="left" w:pos="312"/>
        </w:tabs>
        <w:wordWrap w:val="0"/>
        <w:adjustRightInd w:val="0"/>
        <w:snapToGrid w:val="0"/>
        <w:spacing w:line="360" w:lineRule="auto"/>
        <w:ind w:firstLine="480" w:firstLineChars="200"/>
        <w:rPr>
          <w:lang w:val="zh-CN"/>
        </w:rPr>
      </w:pPr>
      <w:r>
        <w:rPr>
          <w:rFonts w:hint="eastAsia"/>
          <w:szCs w:val="24"/>
        </w:rPr>
        <w:t>磋商小组</w:t>
      </w:r>
      <w:r>
        <w:rPr>
          <w:rFonts w:hint="eastAsia" w:cs="宋体"/>
        </w:rPr>
        <w:t>根据磋商文件规定的供应商资格条件、评定成交的标准等事项，对供应商在</w:t>
      </w:r>
      <w:r>
        <w:rPr>
          <w:rFonts w:hint="eastAsia" w:cs="宋体"/>
          <w:lang w:eastAsia="zh-CN"/>
        </w:rPr>
        <w:t>随县</w:t>
      </w:r>
      <w:r>
        <w:rPr>
          <w:rFonts w:hint="eastAsia" w:cs="宋体"/>
        </w:rPr>
        <w:t>政府电子采购平台提交的响应文件进行评审。资格性检查和符合性检查不符合磋商文件要求的响应文件，按无效文件处理，不进入磋商，并告知有关供应商</w:t>
      </w:r>
      <w:r>
        <w:rPr>
          <w:rFonts w:hint="eastAsia"/>
          <w:lang w:val="zh-CN"/>
        </w:rPr>
        <w:t>。</w:t>
      </w:r>
    </w:p>
    <w:p w14:paraId="746ACCAC">
      <w:pPr>
        <w:pStyle w:val="11"/>
        <w:numPr>
          <w:ilvl w:val="0"/>
          <w:numId w:val="43"/>
        </w:numPr>
        <w:rPr>
          <w:lang w:val="zh-CN"/>
        </w:rPr>
      </w:pPr>
      <w:r>
        <w:rPr>
          <w:rFonts w:hint="eastAsia"/>
          <w:b/>
          <w:bCs/>
          <w:lang w:val="zh-CN"/>
        </w:rPr>
        <w:t>评审程序</w:t>
      </w:r>
    </w:p>
    <w:p w14:paraId="3B6A1B9E">
      <w:pPr>
        <w:wordWrap w:val="0"/>
        <w:adjustRightInd w:val="0"/>
        <w:snapToGrid w:val="0"/>
        <w:spacing w:line="360" w:lineRule="auto"/>
        <w:rPr>
          <w:b/>
          <w:lang w:val="zh-CN"/>
        </w:rPr>
      </w:pPr>
      <w:r>
        <w:rPr>
          <w:rFonts w:hint="eastAsia"/>
          <w:b/>
        </w:rPr>
        <w:t xml:space="preserve">2.1 </w:t>
      </w:r>
      <w:r>
        <w:rPr>
          <w:rFonts w:hint="eastAsia"/>
          <w:b/>
          <w:lang w:val="zh-CN"/>
        </w:rPr>
        <w:t>第一轮磋商</w:t>
      </w:r>
    </w:p>
    <w:p w14:paraId="2825A99B">
      <w:pPr>
        <w:wordWrap w:val="0"/>
        <w:adjustRightInd w:val="0"/>
        <w:snapToGrid w:val="0"/>
        <w:spacing w:line="360" w:lineRule="auto"/>
        <w:ind w:left="1133" w:leftChars="119" w:hanging="847" w:hangingChars="353"/>
        <w:rPr>
          <w:lang w:val="zh-CN"/>
        </w:rPr>
      </w:pPr>
      <w:r>
        <w:rPr>
          <w:rFonts w:hint="eastAsia"/>
          <w:szCs w:val="24"/>
        </w:rPr>
        <w:t>2.1.1 磋商小组</w:t>
      </w:r>
      <w:r>
        <w:rPr>
          <w:rFonts w:hint="eastAsia"/>
          <w:lang w:val="zh-CN"/>
        </w:rPr>
        <w:t>将按照随机抽签的顺序决定供应商的磋商顺序，并与单一供应商分别进行视频磋商。</w:t>
      </w:r>
    </w:p>
    <w:p w14:paraId="1F46255C">
      <w:pPr>
        <w:wordWrap w:val="0"/>
        <w:adjustRightInd w:val="0"/>
        <w:snapToGrid w:val="0"/>
        <w:spacing w:line="360" w:lineRule="auto"/>
        <w:ind w:left="1133" w:leftChars="119" w:hanging="847" w:hangingChars="353"/>
        <w:rPr>
          <w:lang w:val="zh-CN"/>
        </w:rPr>
      </w:pPr>
      <w:r>
        <w:rPr>
          <w:rFonts w:hint="eastAsia"/>
          <w:szCs w:val="24"/>
        </w:rPr>
        <w:t>2.1.2 磋商小组</w:t>
      </w:r>
      <w:r>
        <w:rPr>
          <w:rFonts w:hint="eastAsia" w:cs="宋体"/>
        </w:rPr>
        <w:t>对照磋商文件与供应商的响应文件分别就采购需求、质量和服务等进行磋商，并了解其报价组成情况。磋商中，磋商的任何一方不得透露与磋商有关的其他供应商的技术资料、价格和其他信息</w:t>
      </w:r>
      <w:r>
        <w:rPr>
          <w:rFonts w:hint="eastAsia"/>
          <w:lang w:val="zh-CN"/>
        </w:rPr>
        <w:t>。</w:t>
      </w:r>
    </w:p>
    <w:p w14:paraId="6B3426AF">
      <w:pPr>
        <w:wordWrap w:val="0"/>
        <w:adjustRightInd w:val="0"/>
        <w:snapToGrid w:val="0"/>
        <w:spacing w:line="360" w:lineRule="auto"/>
        <w:ind w:left="1133" w:leftChars="119" w:hanging="847" w:hangingChars="353"/>
        <w:rPr>
          <w:lang w:val="zh-CN"/>
        </w:rPr>
      </w:pPr>
      <w:r>
        <w:rPr>
          <w:rFonts w:hint="eastAsia"/>
        </w:rPr>
        <w:t xml:space="preserve">2.1.3 </w:t>
      </w:r>
      <w:r>
        <w:rPr>
          <w:rFonts w:hint="eastAsia"/>
          <w:lang w:val="zh-CN"/>
        </w:rPr>
        <w:t>供应商可以对参加磋商项目的采购需求提出优化建议，并通过随县政府电子采购平台提交</w:t>
      </w:r>
      <w:r>
        <w:rPr>
          <w:rFonts w:hint="eastAsia"/>
          <w:szCs w:val="24"/>
        </w:rPr>
        <w:t>磋商小组</w:t>
      </w:r>
      <w:r>
        <w:rPr>
          <w:rFonts w:hint="eastAsia"/>
          <w:lang w:val="zh-CN"/>
        </w:rPr>
        <w:t>。</w:t>
      </w:r>
    </w:p>
    <w:p w14:paraId="2EE65EEC">
      <w:pPr>
        <w:wordWrap w:val="0"/>
        <w:adjustRightInd w:val="0"/>
        <w:snapToGrid w:val="0"/>
        <w:spacing w:line="360" w:lineRule="auto"/>
        <w:ind w:left="1133" w:leftChars="119" w:hanging="847" w:hangingChars="353"/>
        <w:rPr>
          <w:lang w:val="zh-CN"/>
        </w:rPr>
      </w:pPr>
      <w:r>
        <w:rPr>
          <w:rFonts w:hint="eastAsia"/>
          <w:szCs w:val="24"/>
        </w:rPr>
        <w:t>2.1.4磋商</w:t>
      </w:r>
      <w:r>
        <w:rPr>
          <w:rFonts w:hint="eastAsia"/>
          <w:lang w:val="zh-CN"/>
        </w:rPr>
        <w:t>小组按磋商文件设定的方法和标准确定供应商符合磋商文件要求的，该供应商即为合格的供应商。</w:t>
      </w:r>
    </w:p>
    <w:p w14:paraId="04DCBA49">
      <w:pPr>
        <w:wordWrap w:val="0"/>
        <w:adjustRightInd w:val="0"/>
        <w:snapToGrid w:val="0"/>
        <w:spacing w:line="360" w:lineRule="auto"/>
        <w:ind w:left="1133" w:leftChars="119" w:hanging="847" w:hangingChars="353"/>
        <w:rPr>
          <w:lang w:val="zh-CN"/>
        </w:rPr>
      </w:pPr>
      <w:r>
        <w:rPr>
          <w:rFonts w:hint="eastAsia"/>
        </w:rPr>
        <w:t>2.1.5</w:t>
      </w:r>
      <w:r>
        <w:rPr>
          <w:rFonts w:hint="eastAsia"/>
          <w:lang w:val="zh-CN"/>
        </w:rPr>
        <w:t>第一轮磋商后，</w:t>
      </w:r>
      <w:r>
        <w:rPr>
          <w:rFonts w:hint="eastAsia"/>
          <w:szCs w:val="24"/>
        </w:rPr>
        <w:t>磋商小组</w:t>
      </w:r>
      <w:r>
        <w:rPr>
          <w:rFonts w:hint="eastAsia"/>
          <w:lang w:val="zh-CN"/>
        </w:rPr>
        <w:t>可根据采购项目的特点、采购人的实际需求及与各供应商的磋商情况对磋商文件作出实质性变动，并进行下一轮磋商，或直接进入最后报价。变动后的磋商文件至少有</w:t>
      </w:r>
      <w:r>
        <w:rPr>
          <w:lang w:val="zh-CN"/>
        </w:rPr>
        <w:t>3</w:t>
      </w:r>
      <w:r>
        <w:rPr>
          <w:rFonts w:hint="eastAsia"/>
          <w:lang w:val="zh-CN"/>
        </w:rPr>
        <w:t>家供应商满足。</w:t>
      </w:r>
    </w:p>
    <w:p w14:paraId="15C99DAE">
      <w:pPr>
        <w:wordWrap w:val="0"/>
        <w:adjustRightInd w:val="0"/>
        <w:snapToGrid w:val="0"/>
        <w:spacing w:line="360" w:lineRule="auto"/>
        <w:ind w:left="1133" w:leftChars="119" w:hanging="847" w:hangingChars="353"/>
        <w:rPr>
          <w:lang w:val="zh-CN"/>
        </w:rPr>
      </w:pPr>
      <w:r>
        <w:rPr>
          <w:rFonts w:hint="eastAsia"/>
        </w:rPr>
        <w:t>2.1.6</w:t>
      </w:r>
      <w:r>
        <w:rPr>
          <w:rFonts w:hint="eastAsia"/>
          <w:lang w:val="zh-CN"/>
        </w:rPr>
        <w:t>合格的供应商不足</w:t>
      </w:r>
      <w:r>
        <w:rPr>
          <w:lang w:val="zh-CN"/>
        </w:rPr>
        <w:t>3</w:t>
      </w:r>
      <w:r>
        <w:rPr>
          <w:rFonts w:hint="eastAsia"/>
          <w:lang w:val="zh-CN"/>
        </w:rPr>
        <w:t>家的，</w:t>
      </w:r>
      <w:r>
        <w:rPr>
          <w:rFonts w:hint="eastAsia"/>
          <w:szCs w:val="24"/>
        </w:rPr>
        <w:t>磋商小组</w:t>
      </w:r>
      <w:r>
        <w:rPr>
          <w:rFonts w:hint="eastAsia"/>
          <w:lang w:val="zh-CN"/>
        </w:rPr>
        <w:t>、采购人在降低采购需求中的技术、服务要求以及合同草案条款后进行下一轮磋商。否则，本次磋商终止，重新开展采购活动。</w:t>
      </w:r>
    </w:p>
    <w:p w14:paraId="09D4C111">
      <w:pPr>
        <w:wordWrap w:val="0"/>
        <w:adjustRightInd w:val="0"/>
        <w:snapToGrid w:val="0"/>
        <w:spacing w:line="360" w:lineRule="auto"/>
        <w:rPr>
          <w:b/>
          <w:lang w:val="zh-CN"/>
        </w:rPr>
      </w:pPr>
      <w:r>
        <w:rPr>
          <w:rFonts w:hint="eastAsia"/>
          <w:b/>
        </w:rPr>
        <w:t>2.2</w:t>
      </w:r>
      <w:r>
        <w:rPr>
          <w:rFonts w:hint="eastAsia"/>
          <w:b/>
          <w:lang w:val="zh-CN"/>
        </w:rPr>
        <w:t>磋商文件修正</w:t>
      </w:r>
    </w:p>
    <w:p w14:paraId="7E46C75B">
      <w:pPr>
        <w:wordWrap w:val="0"/>
        <w:adjustRightInd w:val="0"/>
        <w:snapToGrid w:val="0"/>
        <w:spacing w:line="360" w:lineRule="auto"/>
        <w:ind w:left="991" w:leftChars="119" w:hanging="705" w:hangingChars="294"/>
        <w:rPr>
          <w:lang w:val="zh-CN"/>
        </w:rPr>
      </w:pPr>
      <w:r>
        <w:rPr>
          <w:rFonts w:hint="eastAsia"/>
          <w:szCs w:val="24"/>
        </w:rPr>
        <w:t>2.2.1磋商小组</w:t>
      </w:r>
      <w:r>
        <w:rPr>
          <w:rFonts w:hint="eastAsia"/>
          <w:lang w:val="zh-CN"/>
        </w:rPr>
        <w:t>可根据磋商文件和磋商情况实质性变动采购需求中的技术、服务要求以及合同草案条款，但不得变动磋商文件中的其他内容。对磋商文件作出的实质性变动是磋商文件的有效组成部分。</w:t>
      </w:r>
    </w:p>
    <w:p w14:paraId="034EDDFD">
      <w:pPr>
        <w:wordWrap w:val="0"/>
        <w:adjustRightInd w:val="0"/>
        <w:snapToGrid w:val="0"/>
        <w:spacing w:line="360" w:lineRule="auto"/>
        <w:ind w:left="991" w:leftChars="119" w:hanging="705" w:hangingChars="294"/>
        <w:rPr>
          <w:lang w:val="zh-CN"/>
        </w:rPr>
      </w:pPr>
      <w:r>
        <w:rPr>
          <w:rFonts w:hint="eastAsia"/>
          <w:szCs w:val="24"/>
        </w:rPr>
        <w:t>2.2.2磋商小组</w:t>
      </w:r>
      <w:r>
        <w:rPr>
          <w:rFonts w:hint="eastAsia"/>
          <w:lang w:val="zh-CN"/>
        </w:rPr>
        <w:t>将磋商文件的修改结果通过系统平台通知所有参加磋商的供应商。</w:t>
      </w:r>
    </w:p>
    <w:p w14:paraId="01342CC7">
      <w:pPr>
        <w:wordWrap w:val="0"/>
        <w:adjustRightInd w:val="0"/>
        <w:snapToGrid w:val="0"/>
        <w:spacing w:line="360" w:lineRule="auto"/>
        <w:ind w:left="991" w:leftChars="119" w:hanging="705" w:hangingChars="294"/>
        <w:rPr>
          <w:lang w:val="zh-CN"/>
        </w:rPr>
      </w:pPr>
      <w:r>
        <w:rPr>
          <w:rFonts w:hint="eastAsia"/>
        </w:rPr>
        <w:t>2.2.3</w:t>
      </w:r>
      <w:r>
        <w:rPr>
          <w:rFonts w:hint="eastAsia"/>
          <w:lang w:val="zh-CN"/>
        </w:rPr>
        <w:t>供应商根据第一轮磋商情况和磋商文件修改书面通知，对原响应文件进行修正，并将修正文件通过随县政府电子采购平台CA锁签字盖章后递交</w:t>
      </w:r>
      <w:r>
        <w:rPr>
          <w:rFonts w:hint="eastAsia"/>
          <w:szCs w:val="24"/>
        </w:rPr>
        <w:t>磋商小组</w:t>
      </w:r>
      <w:r>
        <w:rPr>
          <w:rFonts w:hint="eastAsia"/>
          <w:lang w:val="zh-CN"/>
        </w:rPr>
        <w:t>。逾时不交的，视同放弃磋商。修正文件与响应文件同具法律效应。</w:t>
      </w:r>
    </w:p>
    <w:p w14:paraId="40F945BF">
      <w:pPr>
        <w:wordWrap w:val="0"/>
        <w:adjustRightInd w:val="0"/>
        <w:snapToGrid w:val="0"/>
        <w:spacing w:line="360" w:lineRule="auto"/>
        <w:ind w:left="991" w:leftChars="119" w:hanging="705" w:hangingChars="294"/>
        <w:rPr>
          <w:lang w:val="zh-CN"/>
        </w:rPr>
      </w:pPr>
      <w:r>
        <w:rPr>
          <w:rFonts w:hint="eastAsia"/>
        </w:rPr>
        <w:t>2.2.4</w:t>
      </w:r>
      <w:r>
        <w:rPr>
          <w:rFonts w:hint="eastAsia"/>
          <w:lang w:val="zh-CN"/>
        </w:rPr>
        <w:t>对无法详细描述需求，需要供应商提供设计或者解决方案的项目，</w:t>
      </w:r>
      <w:r>
        <w:rPr>
          <w:rFonts w:hint="eastAsia"/>
          <w:szCs w:val="24"/>
        </w:rPr>
        <w:t>磋商小组</w:t>
      </w:r>
      <w:r>
        <w:rPr>
          <w:rFonts w:hint="eastAsia"/>
          <w:lang w:val="zh-CN"/>
        </w:rPr>
        <w:t>可以根据采购人对需求确认情况，进行多轮磋商，直至采购人代表最后确认采购需求为止。</w:t>
      </w:r>
    </w:p>
    <w:p w14:paraId="2D666CD4">
      <w:pPr>
        <w:wordWrap w:val="0"/>
        <w:adjustRightInd w:val="0"/>
        <w:snapToGrid w:val="0"/>
        <w:spacing w:line="360" w:lineRule="auto"/>
        <w:rPr>
          <w:b/>
          <w:lang w:val="zh-CN"/>
        </w:rPr>
      </w:pPr>
      <w:r>
        <w:rPr>
          <w:rFonts w:hint="eastAsia"/>
          <w:b/>
        </w:rPr>
        <w:t>2.3</w:t>
      </w:r>
      <w:r>
        <w:rPr>
          <w:rFonts w:hint="eastAsia"/>
          <w:b/>
          <w:lang w:val="zh-CN"/>
        </w:rPr>
        <w:t>第二轮磋商</w:t>
      </w:r>
    </w:p>
    <w:p w14:paraId="7765B82B">
      <w:pPr>
        <w:wordWrap w:val="0"/>
        <w:adjustRightInd w:val="0"/>
        <w:snapToGrid w:val="0"/>
        <w:spacing w:line="360" w:lineRule="auto"/>
        <w:ind w:left="991" w:leftChars="119" w:hanging="705" w:hangingChars="294"/>
        <w:rPr>
          <w:lang w:val="zh-CN"/>
        </w:rPr>
      </w:pPr>
      <w:r>
        <w:rPr>
          <w:rFonts w:hint="eastAsia"/>
          <w:szCs w:val="24"/>
        </w:rPr>
        <w:t>2.3.1磋商小组</w:t>
      </w:r>
      <w:r>
        <w:rPr>
          <w:rFonts w:hint="eastAsia"/>
          <w:lang w:val="zh-CN"/>
        </w:rPr>
        <w:t>就修正后的磋商文件与供应商分别进行磋商。</w:t>
      </w:r>
    </w:p>
    <w:p w14:paraId="416CAB7B">
      <w:pPr>
        <w:wordWrap w:val="0"/>
        <w:adjustRightInd w:val="0"/>
        <w:snapToGrid w:val="0"/>
        <w:spacing w:line="360" w:lineRule="auto"/>
        <w:ind w:left="991" w:leftChars="119" w:hanging="705" w:hangingChars="294"/>
        <w:rPr>
          <w:lang w:val="zh-CN"/>
        </w:rPr>
      </w:pPr>
      <w:r>
        <w:rPr>
          <w:rFonts w:hint="eastAsia"/>
        </w:rPr>
        <w:t>2.3.2</w:t>
      </w:r>
      <w:r>
        <w:rPr>
          <w:rFonts w:hint="eastAsia"/>
          <w:lang w:val="zh-CN"/>
        </w:rPr>
        <w:t>第二轮磋商结束后，实质性响应磋商文件及变动后磋商文件要求的供应商不足</w:t>
      </w:r>
      <w:r>
        <w:rPr>
          <w:lang w:val="zh-CN"/>
        </w:rPr>
        <w:t>3</w:t>
      </w:r>
      <w:r>
        <w:rPr>
          <w:rFonts w:hint="eastAsia"/>
          <w:lang w:val="zh-CN"/>
        </w:rPr>
        <w:t>家的，按照上一轮磋商程序办理，以此类推。</w:t>
      </w:r>
    </w:p>
    <w:p w14:paraId="1E3D9842">
      <w:pPr>
        <w:wordWrap w:val="0"/>
        <w:adjustRightInd w:val="0"/>
        <w:snapToGrid w:val="0"/>
        <w:spacing w:line="360" w:lineRule="auto"/>
        <w:rPr>
          <w:b/>
          <w:lang w:val="zh-CN"/>
        </w:rPr>
      </w:pPr>
      <w:r>
        <w:rPr>
          <w:rFonts w:hint="eastAsia"/>
          <w:b/>
        </w:rPr>
        <w:t>2.4</w:t>
      </w:r>
      <w:r>
        <w:rPr>
          <w:rFonts w:hint="eastAsia"/>
          <w:b/>
          <w:lang w:val="zh-CN"/>
        </w:rPr>
        <w:t>最后报价</w:t>
      </w:r>
    </w:p>
    <w:p w14:paraId="4240135F">
      <w:pPr>
        <w:wordWrap w:val="0"/>
        <w:adjustRightInd w:val="0"/>
        <w:snapToGrid w:val="0"/>
        <w:spacing w:line="360" w:lineRule="auto"/>
        <w:ind w:left="991" w:leftChars="119" w:hanging="705" w:hangingChars="294"/>
        <w:rPr>
          <w:lang w:val="zh-CN"/>
        </w:rPr>
      </w:pPr>
      <w:r>
        <w:rPr>
          <w:rFonts w:hint="eastAsia"/>
          <w:szCs w:val="24"/>
        </w:rPr>
        <w:t>2.4.1磋商小组</w:t>
      </w:r>
      <w:r>
        <w:rPr>
          <w:rFonts w:hint="eastAsia"/>
          <w:lang w:val="zh-CN"/>
        </w:rPr>
        <w:t>对磋商文件中能够详细列明采购标的的技术、服务要求的，在磋商结束后，要求所有继续参加磋商合格的供应商，在规定时间内，通过随县政府电子采购平台提交最后报价。</w:t>
      </w:r>
    </w:p>
    <w:p w14:paraId="3058E91D">
      <w:pPr>
        <w:wordWrap w:val="0"/>
        <w:adjustRightInd w:val="0"/>
        <w:snapToGrid w:val="0"/>
        <w:spacing w:line="360" w:lineRule="auto"/>
        <w:ind w:left="991" w:leftChars="119" w:hanging="705" w:hangingChars="294"/>
        <w:rPr>
          <w:lang w:val="zh-CN"/>
        </w:rPr>
      </w:pPr>
      <w:r>
        <w:rPr>
          <w:rFonts w:hint="eastAsia"/>
          <w:szCs w:val="24"/>
        </w:rPr>
        <w:t>2.4.2磋商小组</w:t>
      </w:r>
      <w:r>
        <w:rPr>
          <w:rFonts w:hint="eastAsia"/>
          <w:lang w:val="zh-CN"/>
        </w:rPr>
        <w:t>对磋商文件中不能详细描述和列明采购标的的技术、服务要求，需通过磋商由供应商提供最后设计方案或解决方案的，在磋商结束后，</w:t>
      </w:r>
      <w:r>
        <w:rPr>
          <w:rFonts w:hint="eastAsia"/>
          <w:szCs w:val="24"/>
        </w:rPr>
        <w:t>磋商小组</w:t>
      </w:r>
      <w:r>
        <w:rPr>
          <w:rFonts w:hint="eastAsia"/>
          <w:lang w:val="zh-CN"/>
        </w:rPr>
        <w:t>按照少数服从多数的原则投票推荐</w:t>
      </w:r>
      <w:r>
        <w:rPr>
          <w:lang w:val="zh-CN"/>
        </w:rPr>
        <w:t>3</w:t>
      </w:r>
      <w:r>
        <w:rPr>
          <w:rFonts w:hint="eastAsia"/>
          <w:lang w:val="zh-CN"/>
        </w:rPr>
        <w:t>家以上合格供应商的设计方案或者解决方案，并要求其在规定时间内，通过随县政府电子采购平台提交最后报价。</w:t>
      </w:r>
    </w:p>
    <w:p w14:paraId="45EE42FE">
      <w:pPr>
        <w:wordWrap w:val="0"/>
        <w:adjustRightInd w:val="0"/>
        <w:snapToGrid w:val="0"/>
        <w:spacing w:line="360" w:lineRule="auto"/>
        <w:ind w:left="991" w:leftChars="119" w:hanging="705" w:hangingChars="294"/>
        <w:rPr>
          <w:lang w:val="zh-CN"/>
        </w:rPr>
      </w:pPr>
      <w:r>
        <w:rPr>
          <w:rFonts w:hint="eastAsia"/>
        </w:rPr>
        <w:t>2.4.5</w:t>
      </w:r>
      <w:r>
        <w:rPr>
          <w:rFonts w:hint="eastAsia"/>
          <w:lang w:val="zh-CN"/>
        </w:rPr>
        <w:t>最后报价是供应商响应文件的有效组成部分。</w:t>
      </w:r>
    </w:p>
    <w:p w14:paraId="61766087">
      <w:pPr>
        <w:wordWrap w:val="0"/>
        <w:adjustRightInd w:val="0"/>
        <w:snapToGrid w:val="0"/>
        <w:spacing w:line="360" w:lineRule="auto"/>
        <w:ind w:left="991" w:leftChars="119" w:hanging="705" w:hangingChars="294"/>
        <w:rPr>
          <w:lang w:val="zh-CN"/>
        </w:rPr>
      </w:pPr>
      <w:r>
        <w:rPr>
          <w:rFonts w:hint="eastAsia"/>
        </w:rPr>
        <w:t>2.4.6</w:t>
      </w:r>
      <w:r>
        <w:rPr>
          <w:rFonts w:hint="eastAsia"/>
          <w:lang w:val="zh-CN"/>
        </w:rPr>
        <w:t>供应商的报价均超过了政府采购预算或报价未超过采购预算的供应商不足三家的，磋商活动终止。</w:t>
      </w:r>
    </w:p>
    <w:p w14:paraId="041A86B6">
      <w:pPr>
        <w:wordWrap w:val="0"/>
        <w:adjustRightInd w:val="0"/>
        <w:snapToGrid w:val="0"/>
        <w:spacing w:line="360" w:lineRule="auto"/>
        <w:rPr>
          <w:b/>
          <w:lang w:val="zh-CN"/>
        </w:rPr>
      </w:pPr>
      <w:r>
        <w:rPr>
          <w:rFonts w:hint="eastAsia"/>
          <w:b/>
        </w:rPr>
        <w:t>2.5</w:t>
      </w:r>
      <w:r>
        <w:rPr>
          <w:rFonts w:hint="eastAsia"/>
          <w:b/>
          <w:lang w:val="zh-CN"/>
        </w:rPr>
        <w:t>综合评议</w:t>
      </w:r>
    </w:p>
    <w:p w14:paraId="328F4499">
      <w:pPr>
        <w:wordWrap w:val="0"/>
        <w:adjustRightInd w:val="0"/>
        <w:snapToGrid w:val="0"/>
        <w:spacing w:line="360" w:lineRule="auto"/>
        <w:ind w:left="991" w:leftChars="119" w:hanging="705" w:hangingChars="294"/>
        <w:rPr>
          <w:lang w:val="zh-CN"/>
        </w:rPr>
      </w:pPr>
      <w:r>
        <w:rPr>
          <w:rFonts w:hint="eastAsia"/>
          <w:szCs w:val="24"/>
        </w:rPr>
        <w:t>2.5.1磋商小组</w:t>
      </w:r>
      <w:r>
        <w:rPr>
          <w:rFonts w:hint="eastAsia"/>
          <w:lang w:val="zh-CN"/>
        </w:rPr>
        <w:t>将按照磋商文件确定的评审办法，对合格供应商的响应文件进行商务服务评议和价格评议。</w:t>
      </w:r>
    </w:p>
    <w:p w14:paraId="6BCF2338">
      <w:pPr>
        <w:wordWrap w:val="0"/>
        <w:adjustRightInd w:val="0"/>
        <w:snapToGrid w:val="0"/>
        <w:spacing w:line="360" w:lineRule="auto"/>
        <w:ind w:left="991" w:leftChars="119" w:hanging="705" w:hangingChars="294"/>
        <w:rPr>
          <w:lang w:val="zh-CN"/>
        </w:rPr>
      </w:pPr>
      <w:r>
        <w:rPr>
          <w:rFonts w:hint="eastAsia"/>
        </w:rPr>
        <w:t>2.5.2</w:t>
      </w:r>
      <w:r>
        <w:rPr>
          <w:rFonts w:hint="eastAsia"/>
          <w:lang w:val="zh-CN"/>
        </w:rPr>
        <w:t>价格分采用低价优先法计算，即最后报价中，报价（评审价）最低供应商的评审价格为基准价，其价格分为满分。其他供应商的价格分计算公式：报价得分=（基准价/最后报价）×价格权重×100。</w:t>
      </w:r>
    </w:p>
    <w:p w14:paraId="552F767D">
      <w:pPr>
        <w:wordWrap w:val="0"/>
        <w:adjustRightInd w:val="0"/>
        <w:snapToGrid w:val="0"/>
        <w:spacing w:line="360" w:lineRule="auto"/>
        <w:ind w:left="991" w:leftChars="119" w:hanging="705" w:hangingChars="294"/>
        <w:rPr>
          <w:b/>
          <w:bCs/>
          <w:lang w:val="zh-CN"/>
        </w:rPr>
      </w:pPr>
      <w:r>
        <w:rPr>
          <w:rFonts w:hint="eastAsia"/>
          <w:szCs w:val="24"/>
        </w:rPr>
        <w:t>2.5.3磋商小组</w:t>
      </w:r>
      <w:r>
        <w:rPr>
          <w:rFonts w:hint="eastAsia"/>
          <w:lang w:val="zh-CN"/>
        </w:rPr>
        <w:t>决定响应文件的响应性，只根据响应文件本身的真实无误的内容，而不依据外部的证据，但响应文件有不真实不正确的内容时除外。</w:t>
      </w:r>
    </w:p>
    <w:p w14:paraId="035AF387">
      <w:pPr>
        <w:pStyle w:val="44"/>
        <w:spacing w:line="360" w:lineRule="auto"/>
        <w:ind w:firstLine="0" w:firstLineChars="0"/>
        <w:rPr>
          <w:b/>
          <w:szCs w:val="24"/>
          <w:lang w:val="zh-CN"/>
        </w:rPr>
      </w:pPr>
      <w:bookmarkStart w:id="347" w:name="_Toc102057744"/>
      <w:bookmarkStart w:id="348" w:name="_Toc102056244"/>
      <w:bookmarkStart w:id="349" w:name="_Toc102119879"/>
      <w:bookmarkStart w:id="350" w:name="_Toc102114946"/>
      <w:bookmarkStart w:id="351" w:name="_Toc102116178"/>
      <w:bookmarkStart w:id="352" w:name="_Toc102116048"/>
      <w:r>
        <w:rPr>
          <w:rFonts w:hint="eastAsia"/>
          <w:b/>
          <w:szCs w:val="24"/>
        </w:rPr>
        <w:t>2.6</w:t>
      </w:r>
      <w:r>
        <w:rPr>
          <w:rFonts w:hint="eastAsia"/>
          <w:b/>
          <w:szCs w:val="24"/>
          <w:lang w:val="zh-CN"/>
        </w:rPr>
        <w:t>响应文件澄清</w:t>
      </w:r>
      <w:bookmarkEnd w:id="347"/>
      <w:bookmarkEnd w:id="348"/>
      <w:bookmarkEnd w:id="349"/>
      <w:bookmarkEnd w:id="350"/>
      <w:bookmarkEnd w:id="351"/>
      <w:bookmarkEnd w:id="352"/>
    </w:p>
    <w:p w14:paraId="0A342832">
      <w:pPr>
        <w:wordWrap w:val="0"/>
        <w:adjustRightInd w:val="0"/>
        <w:snapToGrid w:val="0"/>
        <w:spacing w:line="360" w:lineRule="auto"/>
        <w:ind w:left="991" w:leftChars="119" w:hanging="705" w:hangingChars="294"/>
        <w:rPr>
          <w:rFonts w:cs="Helvetica"/>
          <w:szCs w:val="24"/>
          <w:lang w:val="zh-CN"/>
        </w:rPr>
      </w:pPr>
      <w:r>
        <w:rPr>
          <w:rFonts w:hint="eastAsia" w:cs="Helvetica"/>
          <w:szCs w:val="24"/>
        </w:rPr>
        <w:t>2.6.1</w:t>
      </w:r>
      <w:r>
        <w:rPr>
          <w:rFonts w:hint="eastAsia" w:cs="Helvetica"/>
          <w:szCs w:val="24"/>
          <w:lang w:val="zh-CN"/>
        </w:rPr>
        <w:t>评审期间，</w:t>
      </w:r>
      <w:r>
        <w:rPr>
          <w:rFonts w:cs="Helvetica"/>
          <w:szCs w:val="24"/>
          <w:lang w:val="zh-CN"/>
        </w:rPr>
        <w:t>对于</w:t>
      </w:r>
      <w:r>
        <w:rPr>
          <w:rFonts w:hint="eastAsia" w:cs="Helvetica"/>
          <w:szCs w:val="24"/>
          <w:lang w:val="zh-CN"/>
        </w:rPr>
        <w:t>响应</w:t>
      </w:r>
      <w:r>
        <w:rPr>
          <w:rFonts w:cs="Helvetica"/>
          <w:szCs w:val="24"/>
          <w:lang w:val="zh-CN"/>
        </w:rPr>
        <w:t>商文件中含义不明确、同类问题表述不一致或者有明显文字和计算错误的内容，磋商小组</w:t>
      </w:r>
      <w:r>
        <w:rPr>
          <w:rFonts w:hint="eastAsia" w:cs="Helvetica"/>
          <w:szCs w:val="24"/>
          <w:lang w:val="zh-CN"/>
        </w:rPr>
        <w:t>将</w:t>
      </w:r>
      <w:r>
        <w:rPr>
          <w:rFonts w:cs="Helvetica"/>
          <w:szCs w:val="24"/>
          <w:lang w:val="zh-CN"/>
        </w:rPr>
        <w:t>要求供应商</w:t>
      </w:r>
      <w:r>
        <w:rPr>
          <w:rFonts w:hint="eastAsia" w:cs="Helvetica"/>
          <w:szCs w:val="24"/>
          <w:lang w:val="zh-CN"/>
        </w:rPr>
        <w:t>作</w:t>
      </w:r>
      <w:r>
        <w:rPr>
          <w:rFonts w:cs="Helvetica"/>
          <w:szCs w:val="24"/>
          <w:lang w:val="zh-CN"/>
        </w:rPr>
        <w:t>出必要的澄清、说明或者补正。</w:t>
      </w:r>
    </w:p>
    <w:p w14:paraId="5F556627">
      <w:pPr>
        <w:wordWrap w:val="0"/>
        <w:adjustRightInd w:val="0"/>
        <w:snapToGrid w:val="0"/>
        <w:spacing w:line="360" w:lineRule="auto"/>
        <w:ind w:left="991" w:leftChars="119" w:hanging="705" w:hangingChars="294"/>
        <w:rPr>
          <w:rFonts w:cs="Helvetica"/>
          <w:szCs w:val="24"/>
          <w:lang w:val="zh-CN"/>
        </w:rPr>
      </w:pPr>
      <w:r>
        <w:rPr>
          <w:rFonts w:hint="eastAsia" w:cs="Helvetica"/>
          <w:szCs w:val="24"/>
        </w:rPr>
        <w:t>2.6.2</w:t>
      </w:r>
      <w:r>
        <w:rPr>
          <w:rFonts w:hint="eastAsia" w:cs="Helvetica"/>
          <w:szCs w:val="24"/>
          <w:lang w:val="zh-CN"/>
        </w:rPr>
        <w:t>供应商</w:t>
      </w:r>
      <w:r>
        <w:rPr>
          <w:rFonts w:hint="eastAsia"/>
          <w:bCs/>
          <w:lang w:val="zh-CN"/>
        </w:rPr>
        <w:t>应</w:t>
      </w:r>
      <w:r>
        <w:rPr>
          <w:rFonts w:hint="eastAsia" w:cs="Helvetica"/>
          <w:szCs w:val="24"/>
          <w:lang w:val="zh-CN"/>
        </w:rPr>
        <w:t>按照</w:t>
      </w:r>
      <w:r>
        <w:rPr>
          <w:rFonts w:hint="eastAsia"/>
          <w:bCs/>
          <w:lang w:val="zh-CN"/>
        </w:rPr>
        <w:t>磋商小组要求在规定时间内作出澄清、说明或者补正，</w:t>
      </w:r>
      <w:r>
        <w:rPr>
          <w:rFonts w:cs="Helvetica"/>
          <w:szCs w:val="24"/>
          <w:lang w:val="zh-CN"/>
        </w:rPr>
        <w:t>澄清、说明或者补正不得超出磋商文件的范围或者改变磋商文件的实质性内容。</w:t>
      </w:r>
    </w:p>
    <w:p w14:paraId="552B3100">
      <w:pPr>
        <w:wordWrap w:val="0"/>
        <w:adjustRightInd w:val="0"/>
        <w:snapToGrid w:val="0"/>
        <w:spacing w:line="360" w:lineRule="auto"/>
        <w:ind w:left="991" w:leftChars="119" w:hanging="705" w:hangingChars="294"/>
        <w:rPr>
          <w:lang w:val="zh-CN"/>
        </w:rPr>
      </w:pPr>
      <w:r>
        <w:rPr>
          <w:rFonts w:hint="eastAsia" w:cs="Helvetica"/>
          <w:szCs w:val="24"/>
        </w:rPr>
        <w:t>2.6.3</w:t>
      </w:r>
      <w:r>
        <w:rPr>
          <w:rFonts w:hint="eastAsia" w:cs="Helvetica"/>
          <w:szCs w:val="24"/>
          <w:lang w:val="zh-CN"/>
        </w:rPr>
        <w:t>供应商</w:t>
      </w:r>
      <w:r>
        <w:rPr>
          <w:rFonts w:hint="eastAsia"/>
          <w:lang w:val="zh-CN"/>
        </w:rPr>
        <w:t>的</w:t>
      </w:r>
      <w:r>
        <w:rPr>
          <w:rFonts w:cs="Helvetica"/>
          <w:szCs w:val="24"/>
          <w:lang w:val="zh-CN"/>
        </w:rPr>
        <w:t>澄清、说明或者补正</w:t>
      </w:r>
      <w:r>
        <w:rPr>
          <w:rFonts w:hint="eastAsia"/>
          <w:lang w:val="zh-CN"/>
        </w:rPr>
        <w:t>是其响应文件的有效组成部分，</w:t>
      </w:r>
      <w:r>
        <w:rPr>
          <w:rFonts w:cs="Helvetica"/>
          <w:szCs w:val="24"/>
          <w:lang w:val="zh-CN"/>
        </w:rPr>
        <w:t>澄清、说明或者补正应当</w:t>
      </w:r>
      <w:r>
        <w:rPr>
          <w:rFonts w:hint="eastAsia" w:cs="Helvetica"/>
          <w:szCs w:val="24"/>
          <w:lang w:val="zh-CN"/>
        </w:rPr>
        <w:t>在电子采购平台</w:t>
      </w:r>
      <w:r>
        <w:rPr>
          <w:szCs w:val="24"/>
          <w:lang w:val="zh-CN"/>
        </w:rPr>
        <w:t>加盖电子印章</w:t>
      </w:r>
      <w:r>
        <w:rPr>
          <w:rFonts w:hint="eastAsia"/>
          <w:szCs w:val="24"/>
          <w:lang w:val="zh-CN"/>
        </w:rPr>
        <w:t>后</w:t>
      </w:r>
      <w:r>
        <w:rPr>
          <w:rFonts w:hint="eastAsia" w:cs="Helvetica"/>
          <w:szCs w:val="24"/>
          <w:lang w:val="zh-CN"/>
        </w:rPr>
        <w:t>提交</w:t>
      </w:r>
      <w:r>
        <w:rPr>
          <w:rFonts w:cs="Helvetica"/>
          <w:szCs w:val="24"/>
          <w:lang w:val="zh-CN"/>
        </w:rPr>
        <w:t>。</w:t>
      </w:r>
    </w:p>
    <w:p w14:paraId="27408756">
      <w:pPr>
        <w:wordWrap w:val="0"/>
        <w:adjustRightInd w:val="0"/>
        <w:snapToGrid w:val="0"/>
        <w:spacing w:line="360" w:lineRule="auto"/>
        <w:ind w:left="991" w:leftChars="119" w:hanging="705" w:hangingChars="294"/>
        <w:rPr>
          <w:bCs/>
          <w:lang w:val="zh-CN"/>
        </w:rPr>
      </w:pPr>
      <w:r>
        <w:rPr>
          <w:rFonts w:hint="eastAsia" w:cs="Helvetica"/>
          <w:szCs w:val="24"/>
        </w:rPr>
        <w:t>2.6.4</w:t>
      </w:r>
      <w:r>
        <w:rPr>
          <w:rFonts w:hint="eastAsia" w:cs="Helvetica"/>
          <w:szCs w:val="24"/>
          <w:lang w:val="zh-CN"/>
        </w:rPr>
        <w:t>响应</w:t>
      </w:r>
      <w:r>
        <w:rPr>
          <w:lang w:val="zh-CN"/>
        </w:rPr>
        <w:t>文件</w:t>
      </w:r>
      <w:r>
        <w:rPr>
          <w:bCs/>
          <w:lang w:val="zh-CN"/>
        </w:rPr>
        <w:t>报价出现</w:t>
      </w:r>
      <w:r>
        <w:rPr>
          <w:rFonts w:cs="Helvetica"/>
          <w:szCs w:val="24"/>
          <w:lang w:val="zh-CN"/>
        </w:rPr>
        <w:t>前后</w:t>
      </w:r>
      <w:r>
        <w:rPr>
          <w:bCs/>
          <w:lang w:val="zh-CN"/>
        </w:rPr>
        <w:t>不一致的，按照下列规定修正：</w:t>
      </w:r>
    </w:p>
    <w:p w14:paraId="74C04588">
      <w:pPr>
        <w:tabs>
          <w:tab w:val="left" w:pos="851"/>
          <w:tab w:val="left" w:pos="1418"/>
        </w:tabs>
        <w:wordWrap w:val="0"/>
        <w:spacing w:line="360" w:lineRule="auto"/>
        <w:ind w:left="1051" w:leftChars="202" w:hanging="566" w:hangingChars="236"/>
        <w:rPr>
          <w:szCs w:val="24"/>
          <w:lang w:val="zh-CN"/>
        </w:rPr>
      </w:pPr>
      <w:r>
        <w:rPr>
          <w:rFonts w:hint="eastAsia"/>
          <w:szCs w:val="24"/>
          <w:lang w:val="zh-CN"/>
        </w:rPr>
        <w:t>（1）响应</w:t>
      </w:r>
      <w:r>
        <w:rPr>
          <w:szCs w:val="24"/>
          <w:lang w:val="zh-CN"/>
        </w:rPr>
        <w:t>文件中磋商</w:t>
      </w:r>
      <w:r>
        <w:rPr>
          <w:rFonts w:hint="eastAsia"/>
          <w:szCs w:val="24"/>
          <w:lang w:val="zh-CN"/>
        </w:rPr>
        <w:t>最终报价</w:t>
      </w:r>
      <w:r>
        <w:rPr>
          <w:szCs w:val="24"/>
          <w:lang w:val="zh-CN"/>
        </w:rPr>
        <w:t>以磋商</w:t>
      </w:r>
      <w:r>
        <w:rPr>
          <w:rFonts w:hint="eastAsia"/>
          <w:szCs w:val="24"/>
          <w:lang w:val="zh-CN"/>
        </w:rPr>
        <w:t>最后报价表</w:t>
      </w:r>
      <w:r>
        <w:rPr>
          <w:szCs w:val="24"/>
          <w:lang w:val="zh-CN"/>
        </w:rPr>
        <w:t>为准</w:t>
      </w:r>
      <w:r>
        <w:rPr>
          <w:rFonts w:hint="eastAsia"/>
          <w:szCs w:val="24"/>
          <w:lang w:val="zh-CN"/>
        </w:rPr>
        <w:t>。</w:t>
      </w:r>
    </w:p>
    <w:p w14:paraId="6A14BE6E">
      <w:pPr>
        <w:tabs>
          <w:tab w:val="left" w:pos="851"/>
          <w:tab w:val="left" w:pos="1418"/>
        </w:tabs>
        <w:wordWrap w:val="0"/>
        <w:spacing w:line="360" w:lineRule="auto"/>
        <w:ind w:left="1331" w:leftChars="203" w:hanging="844" w:hangingChars="352"/>
        <w:rPr>
          <w:szCs w:val="24"/>
          <w:lang w:val="zh-CN"/>
        </w:rPr>
      </w:pPr>
      <w:r>
        <w:rPr>
          <w:rFonts w:hint="eastAsia"/>
          <w:szCs w:val="24"/>
          <w:lang w:val="zh-CN"/>
        </w:rPr>
        <w:t>（2）</w:t>
      </w:r>
      <w:r>
        <w:rPr>
          <w:szCs w:val="24"/>
          <w:lang w:val="zh-CN"/>
        </w:rPr>
        <w:t>大写金额和小写金额不一致的，以大写金额为准</w:t>
      </w:r>
      <w:r>
        <w:rPr>
          <w:rFonts w:hint="eastAsia"/>
          <w:szCs w:val="24"/>
          <w:lang w:val="zh-CN"/>
        </w:rPr>
        <w:t>。</w:t>
      </w:r>
    </w:p>
    <w:p w14:paraId="198691CC">
      <w:pPr>
        <w:tabs>
          <w:tab w:val="left" w:pos="851"/>
          <w:tab w:val="left" w:pos="1418"/>
        </w:tabs>
        <w:wordWrap w:val="0"/>
        <w:spacing w:line="360" w:lineRule="auto"/>
        <w:ind w:left="1331" w:leftChars="203" w:hanging="844" w:hangingChars="352"/>
        <w:rPr>
          <w:szCs w:val="24"/>
          <w:lang w:val="zh-CN"/>
        </w:rPr>
      </w:pPr>
      <w:r>
        <w:rPr>
          <w:rFonts w:hint="eastAsia"/>
          <w:szCs w:val="24"/>
          <w:lang w:val="zh-CN"/>
        </w:rPr>
        <w:t>（3）</w:t>
      </w:r>
      <w:r>
        <w:rPr>
          <w:szCs w:val="24"/>
          <w:lang w:val="zh-CN"/>
        </w:rPr>
        <w:t>单价金额小数点或百分比有明显错位的，以磋商</w:t>
      </w:r>
      <w:r>
        <w:rPr>
          <w:rFonts w:hint="eastAsia"/>
          <w:szCs w:val="24"/>
          <w:lang w:val="zh-CN"/>
        </w:rPr>
        <w:t>最终报价表</w:t>
      </w:r>
      <w:r>
        <w:rPr>
          <w:szCs w:val="24"/>
          <w:lang w:val="zh-CN"/>
        </w:rPr>
        <w:t>的总价为准，并修改单价</w:t>
      </w:r>
      <w:r>
        <w:rPr>
          <w:rFonts w:hint="eastAsia"/>
          <w:szCs w:val="24"/>
          <w:lang w:val="zh-CN"/>
        </w:rPr>
        <w:t>。</w:t>
      </w:r>
    </w:p>
    <w:p w14:paraId="45BC4563">
      <w:pPr>
        <w:tabs>
          <w:tab w:val="left" w:pos="851"/>
          <w:tab w:val="left" w:pos="1418"/>
        </w:tabs>
        <w:wordWrap w:val="0"/>
        <w:spacing w:line="360" w:lineRule="auto"/>
        <w:ind w:left="1331" w:leftChars="203" w:hanging="844" w:hangingChars="352"/>
        <w:rPr>
          <w:szCs w:val="24"/>
          <w:lang w:val="zh-CN"/>
        </w:rPr>
      </w:pPr>
      <w:r>
        <w:rPr>
          <w:rFonts w:hint="eastAsia"/>
          <w:szCs w:val="24"/>
          <w:lang w:val="zh-CN"/>
        </w:rPr>
        <w:t>（4）</w:t>
      </w:r>
      <w:r>
        <w:rPr>
          <w:szCs w:val="24"/>
          <w:lang w:val="zh-CN"/>
        </w:rPr>
        <w:t>总价金额与按单价汇总金额不一致的，以单价金额计算结果为准</w:t>
      </w:r>
      <w:r>
        <w:rPr>
          <w:rFonts w:hint="eastAsia"/>
          <w:szCs w:val="24"/>
          <w:lang w:val="zh-CN"/>
        </w:rPr>
        <w:t>。</w:t>
      </w:r>
    </w:p>
    <w:p w14:paraId="29FC51C6">
      <w:pPr>
        <w:tabs>
          <w:tab w:val="left" w:pos="851"/>
          <w:tab w:val="left" w:pos="1418"/>
        </w:tabs>
        <w:wordWrap w:val="0"/>
        <w:spacing w:line="360" w:lineRule="auto"/>
        <w:ind w:left="1331" w:leftChars="203" w:hanging="844" w:hangingChars="352"/>
        <w:rPr>
          <w:szCs w:val="24"/>
          <w:lang w:val="zh-CN"/>
        </w:rPr>
      </w:pPr>
      <w:r>
        <w:rPr>
          <w:rFonts w:hint="eastAsia"/>
          <w:szCs w:val="24"/>
          <w:lang w:val="zh-CN"/>
        </w:rPr>
        <w:t>（5）</w:t>
      </w:r>
      <w:r>
        <w:rPr>
          <w:szCs w:val="24"/>
          <w:lang w:val="zh-CN"/>
        </w:rPr>
        <w:t>同时出现两种以上不一致的，按照前款规定的顺序修正</w:t>
      </w:r>
      <w:r>
        <w:rPr>
          <w:rFonts w:hint="eastAsia"/>
          <w:szCs w:val="24"/>
          <w:lang w:val="zh-CN"/>
        </w:rPr>
        <w:t>。</w:t>
      </w:r>
    </w:p>
    <w:p w14:paraId="64BE8B94">
      <w:pPr>
        <w:tabs>
          <w:tab w:val="left" w:pos="851"/>
          <w:tab w:val="left" w:pos="1418"/>
        </w:tabs>
        <w:wordWrap w:val="0"/>
        <w:spacing w:line="360" w:lineRule="auto"/>
        <w:ind w:left="1051" w:leftChars="202" w:hanging="566" w:hangingChars="236"/>
        <w:rPr>
          <w:szCs w:val="24"/>
          <w:lang w:val="zh-CN"/>
        </w:rPr>
      </w:pPr>
      <w:r>
        <w:rPr>
          <w:rFonts w:hint="eastAsia"/>
          <w:szCs w:val="24"/>
          <w:lang w:val="zh-CN"/>
        </w:rPr>
        <w:t>（6）</w:t>
      </w:r>
      <w:r>
        <w:rPr>
          <w:szCs w:val="24"/>
          <w:lang w:val="zh-CN"/>
        </w:rPr>
        <w:t>修正后的报价按照</w:t>
      </w:r>
      <w:r>
        <w:rPr>
          <w:rFonts w:hint="eastAsia"/>
          <w:szCs w:val="24"/>
          <w:lang w:val="zh-CN"/>
        </w:rPr>
        <w:t>本节第2.3条规定</w:t>
      </w:r>
      <w:r>
        <w:rPr>
          <w:szCs w:val="24"/>
          <w:lang w:val="zh-CN"/>
        </w:rPr>
        <w:t>经供应商确认后产生约束力，供应商不确认的，</w:t>
      </w:r>
      <w:r>
        <w:rPr>
          <w:rFonts w:hint="eastAsia"/>
          <w:szCs w:val="24"/>
          <w:lang w:val="zh-CN"/>
        </w:rPr>
        <w:t>按照</w:t>
      </w:r>
      <w:r>
        <w:rPr>
          <w:b/>
          <w:szCs w:val="24"/>
          <w:lang w:val="zh-CN"/>
        </w:rPr>
        <w:t>无效</w:t>
      </w:r>
      <w:r>
        <w:rPr>
          <w:rFonts w:hint="eastAsia"/>
          <w:b/>
          <w:szCs w:val="24"/>
          <w:lang w:val="zh-CN"/>
        </w:rPr>
        <w:t>响应处理</w:t>
      </w:r>
      <w:r>
        <w:rPr>
          <w:szCs w:val="24"/>
          <w:lang w:val="zh-CN"/>
        </w:rPr>
        <w:t>。</w:t>
      </w:r>
    </w:p>
    <w:p w14:paraId="0BFD1C38">
      <w:pPr>
        <w:pStyle w:val="44"/>
        <w:spacing w:line="360" w:lineRule="auto"/>
        <w:ind w:firstLine="0" w:firstLineChars="0"/>
        <w:rPr>
          <w:b/>
          <w:szCs w:val="24"/>
          <w:lang w:val="zh-CN"/>
        </w:rPr>
      </w:pPr>
      <w:r>
        <w:rPr>
          <w:rFonts w:hint="eastAsia"/>
          <w:b/>
          <w:szCs w:val="24"/>
        </w:rPr>
        <w:t>2.7</w:t>
      </w:r>
      <w:r>
        <w:rPr>
          <w:rFonts w:hint="eastAsia"/>
          <w:b/>
          <w:szCs w:val="24"/>
          <w:lang w:val="zh-CN"/>
        </w:rPr>
        <w:t>相同品牌处理原则</w:t>
      </w:r>
    </w:p>
    <w:p w14:paraId="0014A1E5">
      <w:pPr>
        <w:wordWrap w:val="0"/>
        <w:adjustRightInd w:val="0"/>
        <w:snapToGrid w:val="0"/>
        <w:spacing w:line="360" w:lineRule="auto"/>
        <w:ind w:left="991" w:leftChars="119" w:hanging="705" w:hangingChars="294"/>
        <w:rPr>
          <w:rFonts w:cs="Helvetica"/>
          <w:strike/>
          <w:szCs w:val="24"/>
          <w:lang w:val="zh-CN"/>
        </w:rPr>
      </w:pPr>
      <w:r>
        <w:rPr>
          <w:rFonts w:hint="eastAsia" w:cs="Helvetica"/>
          <w:szCs w:val="24"/>
        </w:rPr>
        <w:t>2.7.1</w:t>
      </w:r>
      <w:r>
        <w:rPr>
          <w:rFonts w:hint="eastAsia" w:cs="Helvetica"/>
          <w:szCs w:val="24"/>
          <w:lang w:val="zh-CN"/>
        </w:rPr>
        <w:t>单一</w:t>
      </w:r>
      <w:r>
        <w:rPr>
          <w:rFonts w:hint="eastAsia"/>
          <w:szCs w:val="24"/>
          <w:lang w:val="zh-CN"/>
        </w:rPr>
        <w:t>产品</w:t>
      </w:r>
      <w:r>
        <w:rPr>
          <w:rFonts w:hint="eastAsia" w:cs="Helvetica"/>
          <w:szCs w:val="24"/>
          <w:lang w:val="zh-CN"/>
        </w:rPr>
        <w:t>采购（或非单一产品采购中的核心产品），</w:t>
      </w:r>
      <w:r>
        <w:rPr>
          <w:rFonts w:cs="Helvetica"/>
          <w:szCs w:val="24"/>
          <w:lang w:val="zh-CN"/>
        </w:rPr>
        <w:t>提供相同品牌产品的不同供应商参加同一合同项下磋商的，</w:t>
      </w:r>
      <w:r>
        <w:rPr>
          <w:rFonts w:hint="eastAsia" w:cs="Helvetica"/>
          <w:szCs w:val="24"/>
          <w:lang w:val="zh-CN"/>
        </w:rPr>
        <w:t>以其中通过</w:t>
      </w:r>
      <w:r>
        <w:rPr>
          <w:rFonts w:hint="eastAsia" w:cs="Helvetica"/>
          <w:bCs/>
          <w:szCs w:val="24"/>
        </w:rPr>
        <w:t>资格性和符合性检查</w:t>
      </w:r>
      <w:r>
        <w:rPr>
          <w:rFonts w:hint="eastAsia" w:cs="Helvetica"/>
          <w:szCs w:val="24"/>
          <w:lang w:val="zh-CN"/>
        </w:rPr>
        <w:t>且报价最低的参加评审；报价相同的，</w:t>
      </w:r>
      <w:r>
        <w:rPr>
          <w:rFonts w:cs="Helvetica"/>
          <w:szCs w:val="24"/>
          <w:lang w:val="zh-CN"/>
        </w:rPr>
        <w:t>由采购人</w:t>
      </w:r>
      <w:r>
        <w:rPr>
          <w:rFonts w:hint="eastAsia" w:cs="Helvetica"/>
          <w:szCs w:val="24"/>
          <w:lang w:val="zh-CN"/>
        </w:rPr>
        <w:t>确定</w:t>
      </w:r>
      <w:r>
        <w:rPr>
          <w:rFonts w:cs="Helvetica"/>
          <w:szCs w:val="24"/>
          <w:lang w:val="zh-CN"/>
        </w:rPr>
        <w:t>或者采购人委托磋商小组</w:t>
      </w:r>
      <w:r>
        <w:rPr>
          <w:rFonts w:hint="eastAsia" w:cs="Helvetica"/>
          <w:szCs w:val="24"/>
          <w:lang w:val="zh-CN"/>
        </w:rPr>
        <w:t>以投票方式</w:t>
      </w:r>
      <w:r>
        <w:rPr>
          <w:rFonts w:cs="Helvetica"/>
          <w:szCs w:val="24"/>
          <w:lang w:val="zh-CN"/>
        </w:rPr>
        <w:t>确定</w:t>
      </w:r>
      <w:r>
        <w:rPr>
          <w:rFonts w:hint="eastAsia" w:cs="Helvetica"/>
          <w:szCs w:val="24"/>
          <w:lang w:val="zh-CN"/>
        </w:rPr>
        <w:t>一</w:t>
      </w:r>
      <w:r>
        <w:rPr>
          <w:rFonts w:cs="Helvetica"/>
          <w:szCs w:val="24"/>
          <w:lang w:val="zh-CN"/>
        </w:rPr>
        <w:t>个参加</w:t>
      </w:r>
      <w:r>
        <w:rPr>
          <w:rFonts w:hint="eastAsia" w:cs="Helvetica"/>
          <w:szCs w:val="24"/>
          <w:lang w:val="zh-CN"/>
        </w:rPr>
        <w:t>评审</w:t>
      </w:r>
      <w:r>
        <w:rPr>
          <w:rFonts w:cs="Helvetica"/>
          <w:szCs w:val="24"/>
          <w:lang w:val="zh-CN"/>
        </w:rPr>
        <w:t>的供应商</w:t>
      </w:r>
      <w:r>
        <w:rPr>
          <w:rFonts w:hint="eastAsia" w:cs="Helvetica"/>
          <w:szCs w:val="24"/>
          <w:lang w:val="zh-CN"/>
        </w:rPr>
        <w:t>。</w:t>
      </w:r>
    </w:p>
    <w:p w14:paraId="6E13DC4A">
      <w:pPr>
        <w:wordWrap w:val="0"/>
        <w:adjustRightInd w:val="0"/>
        <w:snapToGrid w:val="0"/>
        <w:spacing w:line="360" w:lineRule="auto"/>
        <w:ind w:left="991" w:leftChars="119" w:hanging="705" w:hangingChars="294"/>
        <w:rPr>
          <w:lang w:val="zh-CN"/>
        </w:rPr>
      </w:pPr>
      <w:r>
        <w:rPr>
          <w:rFonts w:hint="eastAsia"/>
          <w:szCs w:val="24"/>
        </w:rPr>
        <w:t>2.7.2</w:t>
      </w:r>
      <w:r>
        <w:rPr>
          <w:rFonts w:hint="eastAsia"/>
          <w:szCs w:val="24"/>
          <w:lang w:val="zh-CN"/>
        </w:rPr>
        <w:t>非单一产品采购项目，采购人应当根据采购项目技术构成、产品价格比重等合理确定一个核心产品（</w:t>
      </w:r>
      <w:r>
        <w:rPr>
          <w:rFonts w:hint="eastAsia" w:cs="Helvetica"/>
          <w:szCs w:val="24"/>
          <w:lang w:val="zh-CN"/>
        </w:rPr>
        <w:t>采购</w:t>
      </w:r>
      <w:r>
        <w:rPr>
          <w:rFonts w:hint="eastAsia"/>
          <w:szCs w:val="24"/>
          <w:lang w:val="zh-CN"/>
        </w:rPr>
        <w:t>清单中作“与核心产品相同〈或同一〉品牌”实质性要求的产品，视为一个核心产品），并以“核心产品”在竞争性磋商文件中标注，评审时按前款规定处理。</w:t>
      </w:r>
    </w:p>
    <w:p w14:paraId="2DC14B37">
      <w:pPr>
        <w:pStyle w:val="44"/>
        <w:spacing w:line="360" w:lineRule="auto"/>
        <w:ind w:firstLine="0" w:firstLineChars="0"/>
        <w:rPr>
          <w:b/>
          <w:szCs w:val="24"/>
          <w:lang w:val="zh-CN"/>
        </w:rPr>
      </w:pPr>
      <w:bookmarkStart w:id="353" w:name="_Toc102116049"/>
      <w:bookmarkStart w:id="354" w:name="_Toc102119880"/>
      <w:bookmarkStart w:id="355" w:name="_Toc102114947"/>
      <w:bookmarkStart w:id="356" w:name="_Toc102116179"/>
      <w:bookmarkStart w:id="357" w:name="_Toc102057745"/>
      <w:bookmarkStart w:id="358" w:name="_Toc102056245"/>
      <w:r>
        <w:rPr>
          <w:rFonts w:hint="eastAsia"/>
          <w:b/>
          <w:szCs w:val="24"/>
        </w:rPr>
        <w:t>3.</w:t>
      </w:r>
      <w:r>
        <w:rPr>
          <w:rFonts w:hint="eastAsia"/>
          <w:b/>
          <w:szCs w:val="24"/>
          <w:lang w:val="zh-CN"/>
        </w:rPr>
        <w:t>商务技术评</w:t>
      </w:r>
      <w:bookmarkEnd w:id="353"/>
      <w:bookmarkEnd w:id="354"/>
      <w:bookmarkEnd w:id="355"/>
      <w:bookmarkEnd w:id="356"/>
      <w:bookmarkEnd w:id="357"/>
      <w:bookmarkEnd w:id="358"/>
      <w:r>
        <w:rPr>
          <w:rFonts w:hint="eastAsia"/>
          <w:b/>
          <w:szCs w:val="24"/>
          <w:lang w:val="zh-CN"/>
        </w:rPr>
        <w:t>审</w:t>
      </w:r>
    </w:p>
    <w:p w14:paraId="0DD9D54C">
      <w:pPr>
        <w:wordWrap w:val="0"/>
        <w:spacing w:line="360" w:lineRule="auto"/>
        <w:ind w:firstLine="480" w:firstLineChars="200"/>
        <w:rPr>
          <w:bCs/>
          <w:strike/>
          <w:lang w:val="zh-CN"/>
        </w:rPr>
      </w:pPr>
      <w:r>
        <w:rPr>
          <w:rFonts w:hint="eastAsia"/>
          <w:bCs/>
          <w:lang w:val="zh-CN"/>
        </w:rPr>
        <w:t>磋商小组</w:t>
      </w:r>
      <w:r>
        <w:rPr>
          <w:bCs/>
          <w:lang w:val="zh-CN"/>
        </w:rPr>
        <w:t>应</w:t>
      </w:r>
      <w:r>
        <w:rPr>
          <w:rFonts w:hint="eastAsia"/>
          <w:bCs/>
          <w:lang w:val="zh-CN"/>
        </w:rPr>
        <w:t>当按照竞争性磋商</w:t>
      </w:r>
      <w:r>
        <w:rPr>
          <w:bCs/>
          <w:lang w:val="zh-CN"/>
        </w:rPr>
        <w:t>文件要求及</w:t>
      </w:r>
      <w:r>
        <w:rPr>
          <w:rFonts w:hint="eastAsia"/>
          <w:bCs/>
          <w:lang w:val="zh-CN"/>
        </w:rPr>
        <w:t>本章本章“三、评审标准”中“2.</w:t>
      </w:r>
      <w:r>
        <w:rPr>
          <w:bCs/>
          <w:lang w:val="zh-CN"/>
        </w:rPr>
        <w:tab/>
      </w:r>
      <w:r>
        <w:rPr>
          <w:bCs/>
          <w:lang w:val="zh-CN"/>
        </w:rPr>
        <w:t>商务技术评审</w:t>
      </w:r>
      <w:r>
        <w:rPr>
          <w:rFonts w:hint="eastAsia"/>
          <w:bCs/>
          <w:lang w:val="zh-CN"/>
        </w:rPr>
        <w:t>”的要求对资格性和符合性检查合格的响应文件进行商务和技术评审。</w:t>
      </w:r>
    </w:p>
    <w:p w14:paraId="7DB3B35B">
      <w:pPr>
        <w:pStyle w:val="44"/>
        <w:spacing w:line="360" w:lineRule="auto"/>
        <w:ind w:firstLine="0" w:firstLineChars="0"/>
        <w:rPr>
          <w:b/>
          <w:szCs w:val="24"/>
          <w:lang w:val="zh-CN"/>
        </w:rPr>
      </w:pPr>
      <w:bookmarkStart w:id="359" w:name="_Toc102119882"/>
      <w:bookmarkStart w:id="360" w:name="_Toc102114949"/>
      <w:bookmarkStart w:id="361" w:name="_Toc102116181"/>
      <w:bookmarkStart w:id="362" w:name="_Toc102116051"/>
      <w:bookmarkStart w:id="363" w:name="_Toc102056247"/>
      <w:bookmarkStart w:id="364" w:name="_Toc102057747"/>
      <w:r>
        <w:rPr>
          <w:rFonts w:hint="eastAsia"/>
          <w:b/>
          <w:szCs w:val="24"/>
        </w:rPr>
        <w:t>4.</w:t>
      </w:r>
      <w:r>
        <w:rPr>
          <w:rFonts w:hint="eastAsia"/>
          <w:b/>
          <w:szCs w:val="24"/>
          <w:lang w:val="zh-CN"/>
        </w:rPr>
        <w:t>报价评</w:t>
      </w:r>
      <w:bookmarkEnd w:id="359"/>
      <w:bookmarkEnd w:id="360"/>
      <w:bookmarkEnd w:id="361"/>
      <w:bookmarkEnd w:id="362"/>
      <w:bookmarkEnd w:id="363"/>
      <w:bookmarkEnd w:id="364"/>
      <w:r>
        <w:rPr>
          <w:rFonts w:hint="eastAsia"/>
          <w:b/>
          <w:szCs w:val="24"/>
          <w:lang w:val="zh-CN"/>
        </w:rPr>
        <w:t>审</w:t>
      </w:r>
    </w:p>
    <w:p w14:paraId="40358AE2">
      <w:pPr>
        <w:wordWrap w:val="0"/>
        <w:adjustRightInd w:val="0"/>
        <w:snapToGrid w:val="0"/>
        <w:spacing w:line="360" w:lineRule="auto"/>
        <w:ind w:left="422" w:leftChars="-1" w:hanging="424" w:hangingChars="177"/>
        <w:rPr>
          <w:bCs/>
          <w:szCs w:val="21"/>
          <w:lang w:val="zh-CN"/>
        </w:rPr>
      </w:pPr>
      <w:r>
        <w:rPr>
          <w:rFonts w:hint="eastAsia"/>
          <w:szCs w:val="24"/>
        </w:rPr>
        <w:t>4.1</w:t>
      </w:r>
      <w:r>
        <w:rPr>
          <w:szCs w:val="24"/>
        </w:rPr>
        <w:t xml:space="preserve"> </w:t>
      </w:r>
      <w:r>
        <w:rPr>
          <w:rFonts w:hint="eastAsia"/>
          <w:szCs w:val="24"/>
          <w:lang w:val="zh-CN"/>
        </w:rPr>
        <w:t>报价合理性说明：</w:t>
      </w:r>
      <w:r>
        <w:rPr>
          <w:rFonts w:cs="Helvetica"/>
          <w:szCs w:val="24"/>
          <w:lang w:val="zh-CN"/>
        </w:rPr>
        <w:t>磋商小组认为供应商的报价明显低于其他通过</w:t>
      </w:r>
      <w:r>
        <w:rPr>
          <w:rFonts w:hint="eastAsia"/>
          <w:bCs/>
          <w:lang w:val="zh-CN"/>
        </w:rPr>
        <w:t>资格性和符合性检查</w:t>
      </w:r>
      <w:r>
        <w:rPr>
          <w:rFonts w:cs="Helvetica"/>
          <w:szCs w:val="24"/>
          <w:lang w:val="zh-CN"/>
        </w:rPr>
        <w:t>审查供应商的报价，有可能影响产品质量或者不能诚信履约的，应当要求其</w:t>
      </w:r>
      <w:r>
        <w:rPr>
          <w:rFonts w:hint="eastAsia" w:cs="Helvetica"/>
          <w:szCs w:val="24"/>
          <w:lang w:val="zh-CN"/>
        </w:rPr>
        <w:t>在</w:t>
      </w:r>
      <w:r>
        <w:rPr>
          <w:rFonts w:cs="Helvetica"/>
          <w:szCs w:val="24"/>
          <w:lang w:val="zh-CN"/>
        </w:rPr>
        <w:t>合理的时间内提供说明，必要时提交相关证明材料；供应商不能证明其报价合理性的，评审委员</w:t>
      </w:r>
      <w:r>
        <w:rPr>
          <w:rFonts w:hint="eastAsia" w:cs="Helvetica"/>
          <w:szCs w:val="24"/>
          <w:lang w:val="zh-CN"/>
        </w:rPr>
        <w:t>应当将其作为</w:t>
      </w:r>
      <w:r>
        <w:rPr>
          <w:rFonts w:cs="Helvetica"/>
          <w:b/>
          <w:szCs w:val="24"/>
          <w:lang w:val="zh-CN"/>
        </w:rPr>
        <w:t>无效</w:t>
      </w:r>
      <w:r>
        <w:rPr>
          <w:rFonts w:hint="eastAsia" w:cs="Helvetica"/>
          <w:b/>
          <w:szCs w:val="24"/>
          <w:lang w:val="zh-CN"/>
        </w:rPr>
        <w:t>响应</w:t>
      </w:r>
      <w:r>
        <w:rPr>
          <w:rFonts w:cs="Helvetica"/>
          <w:b/>
          <w:szCs w:val="24"/>
          <w:lang w:val="zh-CN"/>
        </w:rPr>
        <w:t>处理</w:t>
      </w:r>
      <w:r>
        <w:rPr>
          <w:rFonts w:cs="Helvetica"/>
          <w:szCs w:val="24"/>
          <w:lang w:val="zh-CN"/>
        </w:rPr>
        <w:t>。</w:t>
      </w:r>
    </w:p>
    <w:p w14:paraId="67A87807">
      <w:pPr>
        <w:wordWrap w:val="0"/>
        <w:adjustRightInd w:val="0"/>
        <w:snapToGrid w:val="0"/>
        <w:spacing w:line="360" w:lineRule="auto"/>
        <w:ind w:left="422" w:leftChars="-1" w:hanging="424" w:hangingChars="177"/>
        <w:rPr>
          <w:szCs w:val="24"/>
          <w:lang w:val="zh-CN"/>
        </w:rPr>
      </w:pPr>
      <w:r>
        <w:rPr>
          <w:rFonts w:hint="eastAsia"/>
          <w:szCs w:val="24"/>
        </w:rPr>
        <w:t>4.2</w:t>
      </w:r>
      <w:r>
        <w:rPr>
          <w:rFonts w:hint="eastAsia"/>
          <w:szCs w:val="24"/>
          <w:lang w:val="zh-CN"/>
        </w:rPr>
        <w:t>价格</w:t>
      </w:r>
      <w:r>
        <w:rPr>
          <w:rFonts w:hint="eastAsia" w:cs="Helvetica"/>
          <w:szCs w:val="24"/>
          <w:lang w:val="zh-CN"/>
        </w:rPr>
        <w:t>扣除</w:t>
      </w:r>
      <w:r>
        <w:rPr>
          <w:rFonts w:hint="eastAsia"/>
          <w:szCs w:val="24"/>
          <w:lang w:val="zh-CN"/>
        </w:rPr>
        <w:t>：</w:t>
      </w:r>
      <w:r>
        <w:rPr>
          <w:szCs w:val="24"/>
          <w:lang w:val="zh-CN"/>
        </w:rPr>
        <w:t xml:space="preserve"> </w:t>
      </w:r>
    </w:p>
    <w:p w14:paraId="5B589FD7">
      <w:pPr>
        <w:wordWrap w:val="0"/>
        <w:adjustRightInd w:val="0"/>
        <w:snapToGrid w:val="0"/>
        <w:spacing w:line="360" w:lineRule="auto"/>
        <w:ind w:left="1052" w:leftChars="202" w:hanging="567"/>
        <w:rPr>
          <w:bCs/>
          <w:szCs w:val="24"/>
          <w:lang w:val="zh-CN"/>
        </w:rPr>
      </w:pPr>
      <w:r>
        <w:rPr>
          <w:rFonts w:hint="eastAsia"/>
          <w:bCs/>
          <w:szCs w:val="24"/>
          <w:lang w:val="zh-CN"/>
        </w:rPr>
        <w:t>（1）非专门面向中小企业的采购项目或采购包，对符合规定的小微企业</w:t>
      </w:r>
      <w:r>
        <w:rPr>
          <w:rFonts w:hint="eastAsia" w:ascii="楷体" w:hAnsi="楷体" w:eastAsia="楷体"/>
          <w:bCs/>
          <w:szCs w:val="24"/>
          <w:lang w:val="zh-CN"/>
        </w:rPr>
        <w:t>（监狱企业、残疾人福利性单位、联合体各方均为小微企业的联合体、符合小微企业划分标准的个体工商户视同小微企业）</w:t>
      </w:r>
      <w:r>
        <w:rPr>
          <w:rFonts w:hint="eastAsia"/>
          <w:bCs/>
          <w:szCs w:val="24"/>
          <w:lang w:val="zh-CN"/>
        </w:rPr>
        <w:t>报价给予</w:t>
      </w:r>
      <w:r>
        <w:rPr>
          <w:rFonts w:hint="eastAsia"/>
          <w:b/>
          <w:bCs/>
          <w:szCs w:val="24"/>
          <w:lang w:val="zh-CN"/>
        </w:rPr>
        <w:t>10%（工程</w:t>
      </w:r>
      <w:r>
        <w:rPr>
          <w:b/>
          <w:bCs/>
          <w:szCs w:val="24"/>
          <w:lang w:val="zh-CN"/>
        </w:rPr>
        <w:t>3%</w:t>
      </w:r>
      <w:r>
        <w:rPr>
          <w:rFonts w:hint="eastAsia"/>
          <w:b/>
          <w:bCs/>
          <w:szCs w:val="24"/>
          <w:lang w:val="zh-CN"/>
        </w:rPr>
        <w:t>）</w:t>
      </w:r>
      <w:r>
        <w:rPr>
          <w:rFonts w:hint="eastAsia"/>
          <w:bCs/>
          <w:szCs w:val="24"/>
          <w:lang w:val="zh-CN"/>
        </w:rPr>
        <w:t>的扣除，对小微企业中的监狱企业、残疾人福利性单位、采购产品纳入创新产品应用示范推荐目录内企业、采购产品获得节能产品或环境标志产品认证证书的企业报价给予</w:t>
      </w:r>
      <w:r>
        <w:rPr>
          <w:rFonts w:hint="eastAsia"/>
          <w:b/>
          <w:bCs/>
          <w:szCs w:val="24"/>
          <w:lang w:val="zh-CN"/>
        </w:rPr>
        <w:t>20%（工程</w:t>
      </w:r>
      <w:r>
        <w:rPr>
          <w:b/>
          <w:bCs/>
          <w:szCs w:val="24"/>
          <w:lang w:val="zh-CN"/>
        </w:rPr>
        <w:t>5%</w:t>
      </w:r>
      <w:r>
        <w:rPr>
          <w:rFonts w:hint="eastAsia"/>
          <w:b/>
          <w:bCs/>
          <w:szCs w:val="24"/>
          <w:lang w:val="zh-CN"/>
        </w:rPr>
        <w:t>）</w:t>
      </w:r>
      <w:r>
        <w:rPr>
          <w:rFonts w:hint="eastAsia"/>
          <w:bCs/>
          <w:szCs w:val="24"/>
          <w:lang w:val="zh-CN"/>
        </w:rPr>
        <w:t>的价格扣除，用扣除后的价格参加评审。</w:t>
      </w:r>
    </w:p>
    <w:p w14:paraId="19F27065">
      <w:pPr>
        <w:wordWrap w:val="0"/>
        <w:adjustRightInd w:val="0"/>
        <w:snapToGrid w:val="0"/>
        <w:spacing w:line="360" w:lineRule="auto"/>
        <w:ind w:left="1052" w:leftChars="202" w:hanging="567"/>
        <w:rPr>
          <w:bCs/>
          <w:szCs w:val="24"/>
          <w:lang w:val="zh-CN"/>
        </w:rPr>
      </w:pPr>
      <w:r>
        <w:rPr>
          <w:rFonts w:hint="eastAsia"/>
          <w:bCs/>
          <w:szCs w:val="24"/>
          <w:lang w:val="zh-CN"/>
        </w:rPr>
        <w:t>（2）接受大中型企业与小微企业组成联合体或者允许大中型企业向一家或者多家小微企业分包的采购项目，对于联合磋商协议或者分包意向协议约定小微企业的合同份额占到合同总金额30%以上的，对联合体或者大中型企业的报价给予</w:t>
      </w:r>
      <w:r>
        <w:rPr>
          <w:rFonts w:hint="eastAsia"/>
          <w:b/>
          <w:bCs/>
          <w:szCs w:val="24"/>
          <w:lang w:val="zh-CN"/>
        </w:rPr>
        <w:t>4%（工程1</w:t>
      </w:r>
      <w:r>
        <w:rPr>
          <w:b/>
          <w:bCs/>
          <w:szCs w:val="24"/>
          <w:lang w:val="zh-CN"/>
        </w:rPr>
        <w:t>%）</w:t>
      </w:r>
      <w:r>
        <w:rPr>
          <w:rFonts w:hint="eastAsia"/>
          <w:bCs/>
          <w:szCs w:val="24"/>
          <w:lang w:val="zh-CN"/>
        </w:rPr>
        <w:t>的扣除，用扣除后的价格参加评审。</w:t>
      </w:r>
    </w:p>
    <w:p w14:paraId="631D0054">
      <w:pPr>
        <w:wordWrap w:val="0"/>
        <w:adjustRightInd w:val="0"/>
        <w:snapToGrid w:val="0"/>
        <w:spacing w:line="360" w:lineRule="auto"/>
        <w:ind w:left="1052" w:leftChars="202" w:hanging="567"/>
        <w:rPr>
          <w:bCs/>
          <w:szCs w:val="24"/>
          <w:lang w:val="zh-CN"/>
        </w:rPr>
      </w:pPr>
      <w:r>
        <w:rPr>
          <w:rFonts w:hint="eastAsia"/>
          <w:bCs/>
          <w:szCs w:val="24"/>
          <w:lang w:val="zh-CN"/>
        </w:rPr>
        <w:t>（3）参加政府采购活动的小微企业（含节能环保、创新产品企业）未提供“中小企业声明函”的；</w:t>
      </w:r>
      <w:r>
        <w:rPr>
          <w:rFonts w:hint="eastAsia"/>
          <w:szCs w:val="24"/>
          <w:lang w:val="zh-CN"/>
        </w:rPr>
        <w:t>监狱企业未提供</w:t>
      </w:r>
      <w:r>
        <w:rPr>
          <w:rFonts w:hint="eastAsia"/>
          <w:bCs/>
          <w:szCs w:val="24"/>
          <w:lang w:val="zh-CN"/>
        </w:rPr>
        <w:t>“监狱企业证明文件”的；监狱企业中的小微企业未提供“中小企业声明函”的；残疾人福利性单位未提供“残疾人福利性单位声明函”的；残疾人福利性单位中的小微企业未提供“中小企业声明函”的；</w:t>
      </w:r>
      <w:r>
        <w:rPr>
          <w:rFonts w:hint="eastAsia"/>
          <w:b/>
          <w:bCs/>
          <w:szCs w:val="24"/>
          <w:lang w:val="zh-CN"/>
        </w:rPr>
        <w:t>不得享受相应的价格扣除优惠</w:t>
      </w:r>
      <w:r>
        <w:rPr>
          <w:rFonts w:hint="eastAsia"/>
          <w:bCs/>
          <w:szCs w:val="24"/>
          <w:lang w:val="zh-CN"/>
        </w:rPr>
        <w:t>。组成联合体或者接受分包的小微企业与联合体内其他企业、分包企业之间存在直接控股、管理关系的，</w:t>
      </w:r>
      <w:r>
        <w:rPr>
          <w:rFonts w:hint="eastAsia"/>
          <w:b/>
          <w:bCs/>
          <w:szCs w:val="24"/>
          <w:lang w:val="zh-CN"/>
        </w:rPr>
        <w:t>不得享受价格扣除优惠</w:t>
      </w:r>
      <w:r>
        <w:rPr>
          <w:rFonts w:hint="eastAsia"/>
          <w:bCs/>
          <w:szCs w:val="24"/>
          <w:lang w:val="zh-CN"/>
        </w:rPr>
        <w:t>。</w:t>
      </w:r>
    </w:p>
    <w:p w14:paraId="659058F2">
      <w:pPr>
        <w:wordWrap w:val="0"/>
        <w:adjustRightInd w:val="0"/>
        <w:snapToGrid w:val="0"/>
        <w:spacing w:line="360" w:lineRule="auto"/>
        <w:ind w:left="1052" w:leftChars="202" w:hanging="567"/>
        <w:rPr>
          <w:szCs w:val="24"/>
          <w:lang w:val="zh-CN"/>
        </w:rPr>
      </w:pPr>
      <w:r>
        <w:rPr>
          <w:rFonts w:hint="eastAsia"/>
          <w:szCs w:val="24"/>
          <w:lang w:val="zh-CN"/>
        </w:rPr>
        <w:t>（4）</w:t>
      </w:r>
      <w:r>
        <w:rPr>
          <w:rFonts w:hint="eastAsia"/>
          <w:bCs/>
          <w:szCs w:val="24"/>
          <w:lang w:val="zh-CN"/>
        </w:rPr>
        <w:t>专门面向中小企业</w:t>
      </w:r>
      <w:r>
        <w:rPr>
          <w:rFonts w:hint="eastAsia"/>
          <w:bCs/>
          <w:lang w:val="zh-CN"/>
        </w:rPr>
        <w:t>、</w:t>
      </w:r>
      <w:r>
        <w:rPr>
          <w:rFonts w:hint="eastAsia"/>
          <w:szCs w:val="24"/>
          <w:lang w:val="zh-CN"/>
        </w:rPr>
        <w:t>预留部分采购份额面向中小企业采购的项目或采购包</w:t>
      </w:r>
      <w:r>
        <w:rPr>
          <w:rFonts w:hint="eastAsia"/>
          <w:bCs/>
          <w:lang w:val="zh-CN"/>
        </w:rPr>
        <w:t>，</w:t>
      </w:r>
      <w:r>
        <w:rPr>
          <w:rFonts w:hint="eastAsia"/>
          <w:bCs/>
          <w:szCs w:val="24"/>
          <w:lang w:val="zh-CN"/>
        </w:rPr>
        <w:t>评审时不再进行价格扣除</w:t>
      </w:r>
      <w:r>
        <w:rPr>
          <w:rFonts w:hint="eastAsia"/>
          <w:b/>
          <w:bCs/>
          <w:lang w:val="zh-CN"/>
        </w:rPr>
        <w:t>。</w:t>
      </w:r>
    </w:p>
    <w:p w14:paraId="7FC0F95F">
      <w:pPr>
        <w:pStyle w:val="44"/>
        <w:spacing w:line="360" w:lineRule="auto"/>
        <w:ind w:firstLine="0" w:firstLineChars="0"/>
        <w:rPr>
          <w:b/>
          <w:szCs w:val="24"/>
          <w:lang w:val="zh-CN"/>
        </w:rPr>
      </w:pPr>
      <w:bookmarkStart w:id="365" w:name="_Toc102114952"/>
      <w:bookmarkStart w:id="366" w:name="_Toc102116184"/>
      <w:bookmarkStart w:id="367" w:name="_Toc102056250"/>
      <w:bookmarkStart w:id="368" w:name="_Toc102116054"/>
      <w:bookmarkStart w:id="369" w:name="_Toc102057750"/>
      <w:bookmarkStart w:id="370" w:name="_Toc102119885"/>
      <w:r>
        <w:rPr>
          <w:rFonts w:hint="eastAsia"/>
          <w:b/>
          <w:szCs w:val="24"/>
        </w:rPr>
        <w:t>5.</w:t>
      </w:r>
      <w:r>
        <w:rPr>
          <w:rFonts w:hint="eastAsia"/>
          <w:b/>
          <w:szCs w:val="24"/>
          <w:lang w:val="zh-CN"/>
        </w:rPr>
        <w:t>评审报告</w:t>
      </w:r>
      <w:bookmarkEnd w:id="365"/>
      <w:bookmarkEnd w:id="366"/>
      <w:bookmarkEnd w:id="367"/>
      <w:bookmarkEnd w:id="368"/>
      <w:bookmarkEnd w:id="369"/>
      <w:bookmarkEnd w:id="370"/>
    </w:p>
    <w:p w14:paraId="756EA0BB">
      <w:pPr>
        <w:wordWrap w:val="0"/>
        <w:adjustRightInd w:val="0"/>
        <w:snapToGrid w:val="0"/>
        <w:spacing w:line="360" w:lineRule="auto"/>
        <w:ind w:left="422" w:leftChars="-1" w:hanging="424" w:hangingChars="177"/>
        <w:rPr>
          <w:rFonts w:cs="Helvetica"/>
          <w:szCs w:val="24"/>
          <w:lang w:val="zh-CN"/>
        </w:rPr>
      </w:pPr>
      <w:r>
        <w:rPr>
          <w:rFonts w:hint="eastAsia" w:cs="Helvetica"/>
          <w:szCs w:val="24"/>
        </w:rPr>
        <w:t>5.1</w:t>
      </w:r>
      <w:r>
        <w:rPr>
          <w:rFonts w:hint="eastAsia" w:cs="Helvetica"/>
          <w:szCs w:val="24"/>
          <w:lang w:val="zh-CN"/>
        </w:rPr>
        <w:t>磋商小组</w:t>
      </w:r>
      <w:r>
        <w:rPr>
          <w:rFonts w:hint="eastAsia"/>
          <w:szCs w:val="21"/>
        </w:rPr>
        <w:t>从质量和服务均能满足磋商文件实质性要求的供应商中，按照综合得分由高到低的顺序提出3名以上成交候选人，也可按事先授权直接确定成交供应商，并编写评审报告。当出现两个及以上相同最高分时，</w:t>
      </w:r>
      <w:r>
        <w:rPr>
          <w:rFonts w:hint="eastAsia" w:cs="Helvetica"/>
          <w:szCs w:val="24"/>
          <w:lang w:val="zh-CN"/>
        </w:rPr>
        <w:t>磋商小组</w:t>
      </w:r>
      <w:r>
        <w:rPr>
          <w:rFonts w:hint="eastAsia"/>
          <w:szCs w:val="21"/>
        </w:rPr>
        <w:t>按照最后报价由低到高确定评审结果排序；得分相同，且最后报价也相同的，</w:t>
      </w:r>
      <w:r>
        <w:rPr>
          <w:rFonts w:hint="eastAsia" w:cs="Helvetica"/>
          <w:szCs w:val="24"/>
          <w:lang w:val="zh-CN"/>
        </w:rPr>
        <w:t>磋商小组</w:t>
      </w:r>
      <w:r>
        <w:rPr>
          <w:rFonts w:hint="eastAsia"/>
          <w:szCs w:val="21"/>
        </w:rPr>
        <w:t>按技术优劣或投票确定评审结果排序</w:t>
      </w:r>
      <w:r>
        <w:rPr>
          <w:rFonts w:hint="eastAsia" w:cs="Helvetica"/>
          <w:szCs w:val="24"/>
          <w:lang w:val="zh-CN"/>
        </w:rPr>
        <w:t>。</w:t>
      </w:r>
    </w:p>
    <w:p w14:paraId="38731C91">
      <w:pPr>
        <w:wordWrap w:val="0"/>
        <w:adjustRightInd w:val="0"/>
        <w:snapToGrid w:val="0"/>
        <w:spacing w:line="360" w:lineRule="auto"/>
        <w:ind w:left="422" w:leftChars="-1" w:hanging="424" w:hangingChars="177"/>
        <w:rPr>
          <w:rFonts w:cs="Helvetica"/>
          <w:szCs w:val="24"/>
          <w:lang w:val="zh-CN"/>
        </w:rPr>
      </w:pPr>
      <w:r>
        <w:rPr>
          <w:rFonts w:hint="eastAsia" w:cs="Helvetica"/>
          <w:szCs w:val="24"/>
        </w:rPr>
        <w:t>5.2</w:t>
      </w:r>
      <w:r>
        <w:rPr>
          <w:rFonts w:hint="eastAsia" w:cs="Helvetica"/>
          <w:szCs w:val="24"/>
          <w:lang w:val="zh-CN"/>
        </w:rPr>
        <w:t>磋商小组应当在评审报告上签名，对自己的评审意见承担法律责任。对需要共同认定的事项存在争议的，应当按照少数服从多数的原则作出结论。持不同意见的磋商小组成员应当在评审报告上签署不同意见，并说明理由，否则视为同意评审报告。</w:t>
      </w:r>
      <w:bookmarkStart w:id="371" w:name="_Toc511894519"/>
      <w:bookmarkStart w:id="372" w:name="_Toc494561963"/>
    </w:p>
    <w:p w14:paraId="24D397F3">
      <w:pPr>
        <w:pStyle w:val="44"/>
        <w:spacing w:line="360" w:lineRule="auto"/>
        <w:ind w:firstLine="0" w:firstLineChars="0"/>
        <w:rPr>
          <w:b/>
          <w:szCs w:val="24"/>
          <w:lang w:val="zh-CN"/>
        </w:rPr>
      </w:pPr>
      <w:bookmarkStart w:id="373" w:name="_Toc102116021"/>
      <w:bookmarkStart w:id="374" w:name="_Toc102056217"/>
      <w:bookmarkStart w:id="375" w:name="_Toc102114919"/>
      <w:bookmarkStart w:id="376" w:name="_Toc102116151"/>
      <w:bookmarkStart w:id="377" w:name="_Toc102057717"/>
      <w:bookmarkStart w:id="378" w:name="_Toc102119852"/>
      <w:r>
        <w:rPr>
          <w:rFonts w:hint="eastAsia"/>
          <w:b/>
          <w:szCs w:val="24"/>
        </w:rPr>
        <w:t>6.</w:t>
      </w:r>
      <w:r>
        <w:rPr>
          <w:rFonts w:hint="eastAsia"/>
          <w:b/>
          <w:szCs w:val="24"/>
          <w:lang w:val="zh-CN"/>
        </w:rPr>
        <w:t>应予废标的情形</w:t>
      </w:r>
      <w:bookmarkEnd w:id="373"/>
      <w:bookmarkEnd w:id="374"/>
      <w:bookmarkEnd w:id="375"/>
      <w:bookmarkEnd w:id="376"/>
      <w:bookmarkEnd w:id="377"/>
      <w:bookmarkEnd w:id="378"/>
    </w:p>
    <w:p w14:paraId="4D6E9D79">
      <w:pPr>
        <w:wordWrap w:val="0"/>
        <w:adjustRightInd w:val="0"/>
        <w:snapToGrid w:val="0"/>
        <w:spacing w:line="360" w:lineRule="auto"/>
        <w:ind w:left="422" w:leftChars="-1" w:hanging="424" w:hangingChars="177"/>
        <w:rPr>
          <w:szCs w:val="24"/>
          <w:lang w:val="zh-CN"/>
        </w:rPr>
      </w:pPr>
      <w:r>
        <w:rPr>
          <w:rFonts w:hint="eastAsia"/>
          <w:szCs w:val="24"/>
        </w:rPr>
        <w:t>6.1</w:t>
      </w:r>
      <w:r>
        <w:rPr>
          <w:rFonts w:hint="eastAsia"/>
          <w:szCs w:val="24"/>
          <w:lang w:val="zh-CN"/>
        </w:rPr>
        <w:t>在竞争性</w:t>
      </w:r>
      <w:r>
        <w:rPr>
          <w:rFonts w:hint="eastAsia" w:cs="Helvetica"/>
          <w:szCs w:val="24"/>
          <w:lang w:val="zh-CN"/>
        </w:rPr>
        <w:t>磋商</w:t>
      </w:r>
      <w:r>
        <w:rPr>
          <w:rFonts w:hint="eastAsia"/>
          <w:szCs w:val="24"/>
          <w:lang w:val="zh-CN"/>
        </w:rPr>
        <w:t>采购</w:t>
      </w:r>
      <w:r>
        <w:rPr>
          <w:rFonts w:hint="eastAsia" w:cs="Helvetica"/>
          <w:szCs w:val="24"/>
          <w:lang w:val="zh-CN"/>
        </w:rPr>
        <w:t>过程</w:t>
      </w:r>
      <w:r>
        <w:rPr>
          <w:rFonts w:hint="eastAsia"/>
          <w:szCs w:val="24"/>
          <w:lang w:val="zh-CN"/>
        </w:rPr>
        <w:t>中，出现下列情形之一的，应予废标：</w:t>
      </w:r>
    </w:p>
    <w:p w14:paraId="6BF0158A">
      <w:pPr>
        <w:pStyle w:val="11"/>
        <w:wordWrap w:val="0"/>
        <w:adjustRightInd w:val="0"/>
        <w:snapToGrid w:val="0"/>
        <w:spacing w:line="360" w:lineRule="auto"/>
        <w:ind w:firstLine="480" w:firstLineChars="200"/>
        <w:rPr>
          <w:szCs w:val="24"/>
          <w:lang w:val="zh-CN"/>
        </w:rPr>
      </w:pPr>
      <w:r>
        <w:rPr>
          <w:rFonts w:hint="eastAsia"/>
          <w:szCs w:val="24"/>
          <w:lang w:val="zh-CN"/>
        </w:rPr>
        <w:t>（1）符合专业条件的供应商或者对竞争性磋商文件作实质响应的供应商不足三家的；</w:t>
      </w:r>
      <w:r>
        <w:rPr>
          <w:szCs w:val="24"/>
          <w:lang w:val="zh-CN"/>
        </w:rPr>
        <w:t xml:space="preserve"> </w:t>
      </w:r>
    </w:p>
    <w:p w14:paraId="2CAED98C">
      <w:pPr>
        <w:pStyle w:val="11"/>
        <w:wordWrap w:val="0"/>
        <w:adjustRightInd w:val="0"/>
        <w:snapToGrid w:val="0"/>
        <w:spacing w:line="360" w:lineRule="auto"/>
        <w:ind w:firstLine="480" w:firstLineChars="200"/>
        <w:rPr>
          <w:szCs w:val="24"/>
          <w:lang w:val="zh-CN"/>
        </w:rPr>
      </w:pPr>
      <w:r>
        <w:rPr>
          <w:rFonts w:hint="eastAsia"/>
          <w:szCs w:val="24"/>
          <w:lang w:val="zh-CN"/>
        </w:rPr>
        <w:t>（2）出现影响采购公正的违法、违规行为的；</w:t>
      </w:r>
    </w:p>
    <w:p w14:paraId="43996580">
      <w:pPr>
        <w:pStyle w:val="11"/>
        <w:wordWrap w:val="0"/>
        <w:adjustRightInd w:val="0"/>
        <w:snapToGrid w:val="0"/>
        <w:spacing w:line="360" w:lineRule="auto"/>
        <w:ind w:firstLine="480" w:firstLineChars="200"/>
        <w:rPr>
          <w:szCs w:val="24"/>
          <w:lang w:val="zh-CN"/>
        </w:rPr>
      </w:pPr>
      <w:r>
        <w:rPr>
          <w:rFonts w:hint="eastAsia"/>
          <w:szCs w:val="24"/>
          <w:lang w:val="zh-CN"/>
        </w:rPr>
        <w:t>（3）因情况变化，不再符合规定的竞争性磋商采购方式适用情形的；</w:t>
      </w:r>
    </w:p>
    <w:p w14:paraId="4A5BD9E0">
      <w:pPr>
        <w:pStyle w:val="11"/>
        <w:wordWrap w:val="0"/>
        <w:adjustRightInd w:val="0"/>
        <w:snapToGrid w:val="0"/>
        <w:spacing w:line="360" w:lineRule="auto"/>
        <w:ind w:firstLine="480" w:firstLineChars="200"/>
        <w:rPr>
          <w:szCs w:val="24"/>
          <w:lang w:val="zh-CN"/>
        </w:rPr>
      </w:pPr>
      <w:r>
        <w:rPr>
          <w:rFonts w:hint="eastAsia"/>
          <w:szCs w:val="24"/>
          <w:lang w:val="zh-CN"/>
        </w:rPr>
        <w:t>（4）因重大变故，采购任务取消的。</w:t>
      </w:r>
    </w:p>
    <w:p w14:paraId="4F725382">
      <w:pPr>
        <w:wordWrap w:val="0"/>
        <w:adjustRightInd w:val="0"/>
        <w:snapToGrid w:val="0"/>
        <w:spacing w:line="360" w:lineRule="auto"/>
        <w:ind w:left="422" w:leftChars="-1" w:hanging="424" w:hangingChars="177"/>
        <w:rPr>
          <w:szCs w:val="24"/>
          <w:lang w:val="zh-CN"/>
        </w:rPr>
      </w:pPr>
      <w:r>
        <w:rPr>
          <w:rFonts w:hint="eastAsia"/>
          <w:szCs w:val="24"/>
        </w:rPr>
        <w:t>6.2</w:t>
      </w:r>
      <w:r>
        <w:rPr>
          <w:rFonts w:hint="eastAsia"/>
          <w:szCs w:val="24"/>
          <w:lang w:val="zh-CN"/>
        </w:rPr>
        <w:t>废</w:t>
      </w:r>
      <w:r>
        <w:rPr>
          <w:rFonts w:hint="eastAsia" w:cs="Helvetica"/>
          <w:szCs w:val="24"/>
          <w:lang w:val="zh-CN"/>
        </w:rPr>
        <w:t>标</w:t>
      </w:r>
      <w:r>
        <w:rPr>
          <w:rFonts w:hint="eastAsia"/>
          <w:szCs w:val="24"/>
          <w:lang w:val="zh-CN"/>
        </w:rPr>
        <w:t>后，采购人应当将废标理由通知所有供应商。</w:t>
      </w:r>
    </w:p>
    <w:p w14:paraId="29928527">
      <w:pPr>
        <w:pStyle w:val="44"/>
        <w:spacing w:line="360" w:lineRule="auto"/>
        <w:ind w:firstLine="0" w:firstLineChars="0"/>
        <w:rPr>
          <w:b/>
          <w:szCs w:val="24"/>
          <w:lang w:val="zh-CN"/>
        </w:rPr>
      </w:pPr>
      <w:bookmarkStart w:id="379" w:name="_Toc102056218"/>
      <w:bookmarkStart w:id="380" w:name="_Toc102114920"/>
      <w:bookmarkStart w:id="381" w:name="_Toc102119853"/>
      <w:bookmarkStart w:id="382" w:name="_Toc102116022"/>
      <w:bookmarkStart w:id="383" w:name="_Toc102116152"/>
      <w:bookmarkStart w:id="384" w:name="_Toc102057718"/>
      <w:r>
        <w:rPr>
          <w:rFonts w:hint="eastAsia"/>
          <w:b/>
          <w:szCs w:val="24"/>
        </w:rPr>
        <w:t>7.</w:t>
      </w:r>
      <w:r>
        <w:rPr>
          <w:rFonts w:hint="eastAsia"/>
          <w:b/>
          <w:szCs w:val="24"/>
          <w:lang w:val="zh-CN"/>
        </w:rPr>
        <w:t>停止评审的情形</w:t>
      </w:r>
      <w:bookmarkEnd w:id="379"/>
      <w:bookmarkEnd w:id="380"/>
      <w:bookmarkEnd w:id="381"/>
      <w:bookmarkEnd w:id="382"/>
      <w:bookmarkEnd w:id="383"/>
      <w:bookmarkEnd w:id="384"/>
    </w:p>
    <w:p w14:paraId="1810D536">
      <w:pPr>
        <w:pStyle w:val="11"/>
        <w:wordWrap w:val="0"/>
        <w:adjustRightInd w:val="0"/>
        <w:snapToGrid w:val="0"/>
        <w:spacing w:line="360" w:lineRule="auto"/>
        <w:ind w:firstLine="480" w:firstLineChars="200"/>
        <w:rPr>
          <w:szCs w:val="24"/>
          <w:lang w:val="zh-CN"/>
        </w:rPr>
      </w:pPr>
      <w:r>
        <w:rPr>
          <w:rFonts w:hint="eastAsia"/>
          <w:szCs w:val="24"/>
          <w:lang w:val="zh-CN"/>
        </w:rPr>
        <w:t>磋商小组发现竞争性磋商文件存在歧义、重大缺陷导致评审工作无法进行，或者竞争性磋商文件内容违反国家有关强制性规定的，应当停止评审工作，与采购人或者采购代理机构沟通并作书面记录。采购人或者采购代理机构确认后，应当修改竞争性磋商文件，重新组织采购活动。</w:t>
      </w:r>
    </w:p>
    <w:p w14:paraId="31BC27EF">
      <w:pPr>
        <w:pStyle w:val="4"/>
        <w:numPr>
          <w:ilvl w:val="0"/>
          <w:numId w:val="42"/>
        </w:numPr>
        <w:wordWrap w:val="0"/>
        <w:spacing w:before="0" w:after="0" w:line="360" w:lineRule="auto"/>
        <w:ind w:left="616" w:hanging="616"/>
        <w:jc w:val="left"/>
        <w:rPr>
          <w:rFonts w:ascii="宋体" w:hAnsi="宋体" w:eastAsia="宋体" w:cs="Times New Roman"/>
          <w:bCs w:val="0"/>
          <w:sz w:val="28"/>
          <w:szCs w:val="28"/>
          <w:lang w:val="zh-CN"/>
        </w:rPr>
      </w:pPr>
      <w:bookmarkStart w:id="385" w:name="_Toc117244480"/>
      <w:bookmarkStart w:id="386" w:name="_Toc102116055"/>
      <w:bookmarkStart w:id="387" w:name="_Toc102056251"/>
      <w:bookmarkStart w:id="388" w:name="_Toc122527543"/>
      <w:bookmarkStart w:id="389" w:name="_Toc102116185"/>
      <w:bookmarkStart w:id="390" w:name="_Toc102114953"/>
      <w:bookmarkStart w:id="391" w:name="_Toc117244365"/>
      <w:bookmarkStart w:id="392" w:name="_Toc102119886"/>
      <w:bookmarkStart w:id="393" w:name="_Toc102057751"/>
      <w:r>
        <w:rPr>
          <w:rFonts w:hint="eastAsia" w:ascii="宋体" w:hAnsi="宋体" w:eastAsia="宋体" w:cs="Times New Roman"/>
          <w:bCs w:val="0"/>
          <w:sz w:val="28"/>
          <w:szCs w:val="28"/>
          <w:lang w:val="zh-CN"/>
        </w:rPr>
        <w:t>评审标准</w:t>
      </w:r>
      <w:bookmarkEnd w:id="385"/>
      <w:bookmarkEnd w:id="386"/>
      <w:bookmarkEnd w:id="387"/>
      <w:bookmarkEnd w:id="388"/>
      <w:bookmarkEnd w:id="389"/>
      <w:bookmarkEnd w:id="390"/>
      <w:bookmarkEnd w:id="391"/>
      <w:bookmarkEnd w:id="392"/>
      <w:bookmarkEnd w:id="393"/>
    </w:p>
    <w:bookmarkEnd w:id="371"/>
    <w:bookmarkEnd w:id="372"/>
    <w:p w14:paraId="6788E305">
      <w:pPr>
        <w:pStyle w:val="44"/>
        <w:numPr>
          <w:ilvl w:val="0"/>
          <w:numId w:val="44"/>
        </w:numPr>
        <w:spacing w:line="360" w:lineRule="auto"/>
        <w:ind w:left="567" w:hanging="283" w:firstLineChars="0"/>
        <w:rPr>
          <w:b/>
          <w:szCs w:val="24"/>
          <w:lang w:val="zh-CN"/>
        </w:rPr>
      </w:pPr>
      <w:bookmarkStart w:id="394" w:name="_Toc102056252"/>
      <w:bookmarkStart w:id="395" w:name="_Toc102119887"/>
      <w:bookmarkStart w:id="396" w:name="_Toc102116056"/>
      <w:bookmarkStart w:id="397" w:name="_Toc102114954"/>
      <w:bookmarkStart w:id="398" w:name="_Toc102116186"/>
      <w:bookmarkStart w:id="399" w:name="_Toc102057752"/>
      <w:r>
        <w:rPr>
          <w:rFonts w:hint="eastAsia"/>
          <w:b/>
          <w:szCs w:val="24"/>
        </w:rPr>
        <w:t>资格性检查和符合性检查表</w:t>
      </w:r>
    </w:p>
    <w:tbl>
      <w:tblPr>
        <w:tblStyle w:val="31"/>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863"/>
      </w:tblGrid>
      <w:tr w14:paraId="16C4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17" w:type="dxa"/>
            <w:shd w:val="pct10" w:color="C3BD96" w:themeColor="background2" w:themeShade="BF" w:fill="DDD9C4" w:themeFill="background2" w:themeFillShade="E6"/>
          </w:tcPr>
          <w:p w14:paraId="0FA44CC1">
            <w:pPr>
              <w:wordWrap w:val="0"/>
              <w:spacing w:line="360" w:lineRule="auto"/>
              <w:jc w:val="center"/>
              <w:rPr>
                <w:b/>
                <w:bCs/>
                <w:szCs w:val="24"/>
                <w:lang w:val="zh-CN"/>
              </w:rPr>
            </w:pPr>
            <w:r>
              <w:rPr>
                <w:rFonts w:hint="eastAsia"/>
                <w:b/>
                <w:bCs/>
                <w:szCs w:val="24"/>
                <w:lang w:val="zh-CN"/>
              </w:rPr>
              <w:t>序号</w:t>
            </w:r>
          </w:p>
        </w:tc>
        <w:tc>
          <w:tcPr>
            <w:tcW w:w="8863" w:type="dxa"/>
            <w:shd w:val="pct10" w:color="C3BD96" w:themeColor="background2" w:themeShade="BF" w:fill="DDD9C4" w:themeFill="background2" w:themeFillShade="E6"/>
          </w:tcPr>
          <w:p w14:paraId="7BE91EE0">
            <w:pPr>
              <w:wordWrap w:val="0"/>
              <w:spacing w:line="360" w:lineRule="auto"/>
              <w:jc w:val="center"/>
              <w:rPr>
                <w:b/>
                <w:bCs/>
                <w:szCs w:val="24"/>
                <w:lang w:val="zh-CN"/>
              </w:rPr>
            </w:pPr>
            <w:r>
              <w:rPr>
                <w:rFonts w:hint="eastAsia"/>
                <w:b/>
                <w:bCs/>
                <w:szCs w:val="24"/>
                <w:lang w:val="zh-CN"/>
              </w:rPr>
              <w:t>评审内容</w:t>
            </w:r>
          </w:p>
        </w:tc>
      </w:tr>
      <w:tr w14:paraId="0E3EA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0BB14E0">
            <w:pPr>
              <w:pStyle w:val="44"/>
              <w:numPr>
                <w:ilvl w:val="0"/>
                <w:numId w:val="45"/>
              </w:numPr>
              <w:tabs>
                <w:tab w:val="left" w:pos="284"/>
              </w:tabs>
              <w:wordWrap w:val="0"/>
              <w:spacing w:line="360" w:lineRule="auto"/>
              <w:ind w:left="382" w:leftChars="0" w:hanging="142" w:firstLineChars="0"/>
              <w:jc w:val="center"/>
              <w:rPr>
                <w:bCs/>
                <w:szCs w:val="24"/>
                <w:lang w:val="zh-CN"/>
              </w:rPr>
            </w:pPr>
          </w:p>
        </w:tc>
        <w:tc>
          <w:tcPr>
            <w:tcW w:w="8863" w:type="dxa"/>
          </w:tcPr>
          <w:p w14:paraId="7402A216">
            <w:pPr>
              <w:wordWrap w:val="0"/>
              <w:spacing w:line="360" w:lineRule="auto"/>
              <w:rPr>
                <w:szCs w:val="24"/>
                <w:lang w:val="zh-CN"/>
              </w:rPr>
            </w:pPr>
            <w:r>
              <w:rPr>
                <w:rFonts w:hint="eastAsia"/>
                <w:szCs w:val="24"/>
                <w:lang w:val="zh-CN"/>
              </w:rPr>
              <w:t>法人、其他组织未提供营业执照或执业许可证等证明文件，自然人未提供身份证明文件（仅限中国公民）</w:t>
            </w:r>
          </w:p>
        </w:tc>
      </w:tr>
      <w:tr w14:paraId="452B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612F0C6">
            <w:pPr>
              <w:pStyle w:val="44"/>
              <w:numPr>
                <w:ilvl w:val="0"/>
                <w:numId w:val="45"/>
              </w:numPr>
              <w:tabs>
                <w:tab w:val="left" w:pos="284"/>
              </w:tabs>
              <w:wordWrap w:val="0"/>
              <w:spacing w:line="360" w:lineRule="auto"/>
              <w:ind w:left="382" w:leftChars="0" w:hanging="142" w:firstLineChars="0"/>
              <w:jc w:val="center"/>
              <w:rPr>
                <w:bCs/>
                <w:szCs w:val="24"/>
                <w:lang w:val="zh-CN"/>
              </w:rPr>
            </w:pPr>
          </w:p>
        </w:tc>
        <w:tc>
          <w:tcPr>
            <w:tcW w:w="8863" w:type="dxa"/>
            <w:vAlign w:val="center"/>
          </w:tcPr>
          <w:p w14:paraId="6BBC566B">
            <w:pPr>
              <w:wordWrap w:val="0"/>
              <w:spacing w:line="360" w:lineRule="auto"/>
              <w:rPr>
                <w:szCs w:val="24"/>
                <w:lang w:val="zh-CN"/>
              </w:rPr>
            </w:pPr>
            <w:r>
              <w:rPr>
                <w:rFonts w:hint="eastAsia"/>
                <w:szCs w:val="24"/>
                <w:lang w:val="zh-CN"/>
              </w:rPr>
              <w:t>未提供“财务状况报告，依法缴纳税收和社会保障资金的声明函”；</w:t>
            </w:r>
          </w:p>
        </w:tc>
      </w:tr>
      <w:tr w14:paraId="4BF2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7844DE6">
            <w:pPr>
              <w:pStyle w:val="44"/>
              <w:numPr>
                <w:ilvl w:val="0"/>
                <w:numId w:val="45"/>
              </w:numPr>
              <w:tabs>
                <w:tab w:val="left" w:pos="284"/>
              </w:tabs>
              <w:wordWrap w:val="0"/>
              <w:spacing w:line="360" w:lineRule="auto"/>
              <w:ind w:left="382" w:leftChars="0" w:hanging="142" w:firstLineChars="0"/>
              <w:jc w:val="center"/>
              <w:rPr>
                <w:bCs/>
                <w:szCs w:val="24"/>
                <w:lang w:val="zh-CN"/>
              </w:rPr>
            </w:pPr>
          </w:p>
        </w:tc>
        <w:tc>
          <w:tcPr>
            <w:tcW w:w="8863" w:type="dxa"/>
            <w:vAlign w:val="center"/>
          </w:tcPr>
          <w:p w14:paraId="5D3525A4">
            <w:pPr>
              <w:wordWrap w:val="0"/>
              <w:spacing w:line="360" w:lineRule="auto"/>
              <w:rPr>
                <w:szCs w:val="24"/>
                <w:lang w:val="zh-CN"/>
              </w:rPr>
            </w:pPr>
            <w:r>
              <w:rPr>
                <w:rFonts w:hint="eastAsia"/>
                <w:szCs w:val="24"/>
                <w:lang w:val="zh-CN"/>
              </w:rPr>
              <w:t>未提供“具备履行合同所必需的设备和专业技术能力的声明函”；</w:t>
            </w:r>
          </w:p>
        </w:tc>
      </w:tr>
      <w:tr w14:paraId="42DD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78C8E97">
            <w:pPr>
              <w:pStyle w:val="44"/>
              <w:numPr>
                <w:ilvl w:val="0"/>
                <w:numId w:val="45"/>
              </w:numPr>
              <w:tabs>
                <w:tab w:val="left" w:pos="284"/>
              </w:tabs>
              <w:wordWrap w:val="0"/>
              <w:spacing w:line="360" w:lineRule="auto"/>
              <w:ind w:left="382" w:leftChars="0" w:hanging="142" w:firstLineChars="0"/>
              <w:jc w:val="center"/>
              <w:rPr>
                <w:bCs/>
                <w:szCs w:val="24"/>
                <w:lang w:val="zh-CN"/>
              </w:rPr>
            </w:pPr>
          </w:p>
        </w:tc>
        <w:tc>
          <w:tcPr>
            <w:tcW w:w="8863" w:type="dxa"/>
            <w:vAlign w:val="center"/>
          </w:tcPr>
          <w:p w14:paraId="73FC0C22">
            <w:pPr>
              <w:wordWrap w:val="0"/>
              <w:spacing w:line="360" w:lineRule="auto"/>
              <w:rPr>
                <w:szCs w:val="24"/>
                <w:lang w:val="zh-CN"/>
              </w:rPr>
            </w:pPr>
            <w:r>
              <w:rPr>
                <w:rFonts w:hint="eastAsia"/>
                <w:szCs w:val="24"/>
                <w:lang w:val="zh-CN"/>
              </w:rPr>
              <w:t>未提供“无重大违法记录的声明函”；</w:t>
            </w:r>
          </w:p>
        </w:tc>
      </w:tr>
      <w:tr w14:paraId="6547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641614D">
            <w:pPr>
              <w:pStyle w:val="44"/>
              <w:numPr>
                <w:ilvl w:val="0"/>
                <w:numId w:val="45"/>
              </w:numPr>
              <w:tabs>
                <w:tab w:val="left" w:pos="284"/>
              </w:tabs>
              <w:wordWrap w:val="0"/>
              <w:spacing w:line="360" w:lineRule="auto"/>
              <w:ind w:left="382" w:leftChars="0" w:hanging="142" w:firstLineChars="0"/>
              <w:jc w:val="center"/>
              <w:rPr>
                <w:bCs/>
                <w:szCs w:val="24"/>
                <w:lang w:val="zh-CN"/>
              </w:rPr>
            </w:pPr>
          </w:p>
        </w:tc>
        <w:tc>
          <w:tcPr>
            <w:tcW w:w="8863" w:type="dxa"/>
            <w:vAlign w:val="center"/>
          </w:tcPr>
          <w:p w14:paraId="1D1BDD3C">
            <w:pPr>
              <w:wordWrap w:val="0"/>
              <w:spacing w:line="360" w:lineRule="auto"/>
              <w:rPr>
                <w:szCs w:val="24"/>
                <w:lang w:val="zh-CN"/>
              </w:rPr>
            </w:pPr>
            <w:r>
              <w:rPr>
                <w:rFonts w:hint="eastAsia"/>
                <w:szCs w:val="24"/>
                <w:lang w:val="zh-CN"/>
              </w:rPr>
              <w:t>国家对生产和销售相关产品或提供相关服务有专门法律、行政法规规定的，未提供取得国家有关主管部门行政许可的证明材料。</w:t>
            </w:r>
          </w:p>
        </w:tc>
      </w:tr>
      <w:tr w14:paraId="1C0E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41E39DC">
            <w:pPr>
              <w:pStyle w:val="44"/>
              <w:numPr>
                <w:ilvl w:val="0"/>
                <w:numId w:val="45"/>
              </w:numPr>
              <w:tabs>
                <w:tab w:val="left" w:pos="284"/>
              </w:tabs>
              <w:wordWrap w:val="0"/>
              <w:spacing w:line="360" w:lineRule="auto"/>
              <w:ind w:left="382" w:leftChars="0" w:hanging="142" w:firstLineChars="0"/>
              <w:jc w:val="center"/>
              <w:rPr>
                <w:bCs/>
                <w:szCs w:val="24"/>
                <w:lang w:val="zh-CN"/>
              </w:rPr>
            </w:pPr>
          </w:p>
        </w:tc>
        <w:tc>
          <w:tcPr>
            <w:tcW w:w="8863" w:type="dxa"/>
            <w:vAlign w:val="center"/>
          </w:tcPr>
          <w:p w14:paraId="027C7E1B">
            <w:pPr>
              <w:wordWrap w:val="0"/>
              <w:spacing w:line="360" w:lineRule="auto"/>
              <w:rPr>
                <w:szCs w:val="24"/>
                <w:lang w:val="zh-CN"/>
              </w:rPr>
            </w:pPr>
            <w:r>
              <w:rPr>
                <w:rFonts w:hint="eastAsia"/>
                <w:szCs w:val="24"/>
                <w:lang w:val="zh-CN"/>
              </w:rPr>
              <w:t>未提供“未与有关系的其它投标人参加同一合同采购活动的声明函”。</w:t>
            </w:r>
          </w:p>
        </w:tc>
      </w:tr>
      <w:tr w14:paraId="58008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0F69778">
            <w:pPr>
              <w:pStyle w:val="44"/>
              <w:numPr>
                <w:ilvl w:val="0"/>
                <w:numId w:val="45"/>
              </w:numPr>
              <w:tabs>
                <w:tab w:val="left" w:pos="284"/>
              </w:tabs>
              <w:wordWrap w:val="0"/>
              <w:spacing w:line="360" w:lineRule="auto"/>
              <w:ind w:left="382" w:leftChars="0" w:hanging="142" w:firstLineChars="0"/>
              <w:jc w:val="center"/>
              <w:rPr>
                <w:bCs/>
                <w:szCs w:val="24"/>
                <w:lang w:val="zh-CN"/>
              </w:rPr>
            </w:pPr>
          </w:p>
        </w:tc>
        <w:tc>
          <w:tcPr>
            <w:tcW w:w="8863" w:type="dxa"/>
            <w:vAlign w:val="center"/>
          </w:tcPr>
          <w:p w14:paraId="4C154DFB">
            <w:pPr>
              <w:wordWrap w:val="0"/>
              <w:spacing w:line="360" w:lineRule="auto"/>
              <w:rPr>
                <w:szCs w:val="24"/>
                <w:lang w:val="zh-CN"/>
              </w:rPr>
            </w:pPr>
            <w:r>
              <w:rPr>
                <w:rFonts w:hint="eastAsia"/>
                <w:szCs w:val="24"/>
                <w:lang w:val="zh-CN"/>
              </w:rPr>
              <w:t>未提供“未为本项目提供相关服务的声明函”。</w:t>
            </w:r>
          </w:p>
        </w:tc>
      </w:tr>
      <w:tr w14:paraId="4F1C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C346F1A">
            <w:pPr>
              <w:pStyle w:val="44"/>
              <w:numPr>
                <w:ilvl w:val="0"/>
                <w:numId w:val="45"/>
              </w:numPr>
              <w:tabs>
                <w:tab w:val="left" w:pos="284"/>
              </w:tabs>
              <w:wordWrap w:val="0"/>
              <w:spacing w:line="360" w:lineRule="auto"/>
              <w:ind w:left="382" w:leftChars="0" w:hanging="142" w:firstLineChars="0"/>
              <w:jc w:val="center"/>
              <w:rPr>
                <w:bCs/>
                <w:szCs w:val="24"/>
                <w:lang w:val="zh-CN"/>
              </w:rPr>
            </w:pPr>
          </w:p>
        </w:tc>
        <w:tc>
          <w:tcPr>
            <w:tcW w:w="8863" w:type="dxa"/>
            <w:vAlign w:val="center"/>
          </w:tcPr>
          <w:p w14:paraId="792A1ED7">
            <w:pPr>
              <w:wordWrap w:val="0"/>
              <w:spacing w:line="360" w:lineRule="auto"/>
              <w:rPr>
                <w:i w:val="0"/>
                <w:iCs w:val="0"/>
                <w:szCs w:val="24"/>
                <w:lang w:val="zh-CN"/>
              </w:rPr>
            </w:pPr>
            <w:r>
              <w:rPr>
                <w:rFonts w:hint="eastAsia"/>
                <w:i w:val="0"/>
                <w:iCs w:val="0"/>
                <w:szCs w:val="24"/>
                <w:lang w:val="zh-CN"/>
              </w:rPr>
              <w:t>未提供“未被列入违法失信行为记录名单的声明函”。</w:t>
            </w:r>
          </w:p>
        </w:tc>
      </w:tr>
      <w:tr w14:paraId="0AD4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85B29B4">
            <w:pPr>
              <w:pStyle w:val="44"/>
              <w:numPr>
                <w:ilvl w:val="0"/>
                <w:numId w:val="45"/>
              </w:numPr>
              <w:tabs>
                <w:tab w:val="left" w:pos="284"/>
              </w:tabs>
              <w:wordWrap w:val="0"/>
              <w:spacing w:line="360" w:lineRule="auto"/>
              <w:ind w:left="382" w:leftChars="0" w:hanging="142" w:firstLineChars="0"/>
              <w:jc w:val="center"/>
              <w:rPr>
                <w:bCs/>
                <w:i/>
                <w:szCs w:val="24"/>
                <w:lang w:val="zh-CN"/>
              </w:rPr>
            </w:pPr>
          </w:p>
        </w:tc>
        <w:tc>
          <w:tcPr>
            <w:tcW w:w="8863" w:type="dxa"/>
            <w:vAlign w:val="center"/>
          </w:tcPr>
          <w:p w14:paraId="77FA97F4">
            <w:pPr>
              <w:wordWrap w:val="0"/>
              <w:spacing w:line="360" w:lineRule="auto"/>
              <w:rPr>
                <w:rFonts w:hint="eastAsia" w:eastAsia="宋体"/>
                <w:i w:val="0"/>
                <w:iCs w:val="0"/>
                <w:szCs w:val="24"/>
                <w:lang w:val="zh-CN" w:eastAsia="zh-CN"/>
              </w:rPr>
            </w:pPr>
            <w:r>
              <w:rPr>
                <w:rFonts w:hint="eastAsia"/>
                <w:i w:val="0"/>
                <w:iCs w:val="0"/>
                <w:szCs w:val="24"/>
              </w:rPr>
              <w:t>落实政府采购政策</w:t>
            </w:r>
            <w:r>
              <w:rPr>
                <w:i w:val="0"/>
                <w:iCs w:val="0"/>
                <w:szCs w:val="24"/>
              </w:rPr>
              <w:t>需满足的资格要求</w:t>
            </w:r>
            <w:r>
              <w:rPr>
                <w:rFonts w:hint="eastAsia"/>
                <w:i w:val="0"/>
                <w:iCs w:val="0"/>
                <w:szCs w:val="24"/>
                <w:lang w:eastAsia="zh-CN"/>
              </w:rPr>
              <w:t>，专门面向中小微企业</w:t>
            </w:r>
          </w:p>
        </w:tc>
      </w:tr>
      <w:tr w14:paraId="3D312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826B1C6">
            <w:pPr>
              <w:pStyle w:val="44"/>
              <w:numPr>
                <w:ilvl w:val="0"/>
                <w:numId w:val="45"/>
              </w:numPr>
              <w:tabs>
                <w:tab w:val="left" w:pos="284"/>
              </w:tabs>
              <w:wordWrap w:val="0"/>
              <w:spacing w:line="360" w:lineRule="auto"/>
              <w:ind w:left="382" w:leftChars="0" w:hanging="142" w:firstLineChars="0"/>
              <w:jc w:val="center"/>
              <w:rPr>
                <w:bCs/>
                <w:i/>
                <w:szCs w:val="24"/>
                <w:lang w:val="zh-CN"/>
              </w:rPr>
            </w:pPr>
          </w:p>
        </w:tc>
        <w:tc>
          <w:tcPr>
            <w:tcW w:w="8863" w:type="dxa"/>
            <w:vAlign w:val="center"/>
          </w:tcPr>
          <w:p w14:paraId="12D40BD2">
            <w:pPr>
              <w:wordWrap w:val="0"/>
              <w:spacing w:line="360" w:lineRule="auto"/>
              <w:rPr>
                <w:rFonts w:hint="eastAsia" w:eastAsia="宋体"/>
                <w:i w:val="0"/>
                <w:iCs w:val="0"/>
                <w:szCs w:val="24"/>
                <w:lang w:val="zh-CN" w:eastAsia="zh-CN"/>
              </w:rPr>
            </w:pPr>
            <w:r>
              <w:rPr>
                <w:rFonts w:hint="eastAsia"/>
                <w:i w:val="0"/>
                <w:iCs w:val="0"/>
                <w:szCs w:val="24"/>
              </w:rPr>
              <w:t>项目</w:t>
            </w:r>
            <w:r>
              <w:rPr>
                <w:i w:val="0"/>
                <w:iCs w:val="0"/>
                <w:szCs w:val="24"/>
              </w:rPr>
              <w:t>特定资格要求</w:t>
            </w:r>
            <w:r>
              <w:rPr>
                <w:rFonts w:hint="eastAsia"/>
                <w:i w:val="0"/>
                <w:iCs w:val="0"/>
                <w:szCs w:val="24"/>
                <w:lang w:eastAsia="zh-CN"/>
              </w:rPr>
              <w:t>：无</w:t>
            </w:r>
          </w:p>
        </w:tc>
      </w:tr>
      <w:tr w14:paraId="4B7C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80D3E65">
            <w:pPr>
              <w:pStyle w:val="44"/>
              <w:numPr>
                <w:ilvl w:val="0"/>
                <w:numId w:val="45"/>
              </w:numPr>
              <w:tabs>
                <w:tab w:val="left" w:pos="284"/>
              </w:tabs>
              <w:wordWrap w:val="0"/>
              <w:spacing w:line="360" w:lineRule="auto"/>
              <w:ind w:left="382" w:leftChars="0" w:hanging="142" w:firstLineChars="0"/>
              <w:jc w:val="center"/>
              <w:rPr>
                <w:bCs/>
                <w:szCs w:val="24"/>
                <w:lang w:val="zh-CN"/>
              </w:rPr>
            </w:pPr>
          </w:p>
        </w:tc>
        <w:tc>
          <w:tcPr>
            <w:tcW w:w="8863" w:type="dxa"/>
          </w:tcPr>
          <w:p w14:paraId="18EA1B94">
            <w:pPr>
              <w:wordWrap w:val="0"/>
              <w:spacing w:line="360" w:lineRule="auto"/>
              <w:rPr>
                <w:bCs/>
                <w:szCs w:val="24"/>
                <w:lang w:val="zh-CN"/>
              </w:rPr>
            </w:pPr>
            <w:r>
              <w:rPr>
                <w:rFonts w:hint="eastAsia"/>
                <w:szCs w:val="24"/>
                <w:lang w:val="zh-CN"/>
              </w:rPr>
              <w:t>磋商报价超过项目（分包）预算金额或最高限价的；</w:t>
            </w:r>
          </w:p>
        </w:tc>
      </w:tr>
      <w:tr w14:paraId="62FA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6645F14">
            <w:pPr>
              <w:pStyle w:val="44"/>
              <w:numPr>
                <w:ilvl w:val="0"/>
                <w:numId w:val="45"/>
              </w:numPr>
              <w:wordWrap w:val="0"/>
              <w:spacing w:line="360" w:lineRule="auto"/>
              <w:ind w:left="382" w:leftChars="0" w:hanging="142" w:firstLineChars="0"/>
              <w:jc w:val="center"/>
              <w:rPr>
                <w:bCs/>
                <w:szCs w:val="24"/>
                <w:lang w:val="zh-CN"/>
              </w:rPr>
            </w:pPr>
          </w:p>
        </w:tc>
        <w:tc>
          <w:tcPr>
            <w:tcW w:w="8863" w:type="dxa"/>
          </w:tcPr>
          <w:p w14:paraId="6EA64F6E">
            <w:pPr>
              <w:wordWrap w:val="0"/>
              <w:spacing w:line="360" w:lineRule="auto"/>
              <w:rPr>
                <w:bCs/>
                <w:szCs w:val="24"/>
                <w:lang w:val="zh-CN"/>
              </w:rPr>
            </w:pPr>
            <w:r>
              <w:rPr>
                <w:rFonts w:hint="eastAsia"/>
                <w:szCs w:val="24"/>
                <w:lang w:val="zh-CN"/>
              </w:rPr>
              <w:t>《磋商书》、《磋商报价明细表》未提供或不符合竞争性磋商文件要求的；</w:t>
            </w:r>
          </w:p>
        </w:tc>
      </w:tr>
      <w:tr w14:paraId="29CF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523633D">
            <w:pPr>
              <w:pStyle w:val="44"/>
              <w:numPr>
                <w:ilvl w:val="0"/>
                <w:numId w:val="45"/>
              </w:numPr>
              <w:wordWrap w:val="0"/>
              <w:spacing w:line="360" w:lineRule="auto"/>
              <w:ind w:left="382" w:leftChars="0" w:hanging="142" w:firstLineChars="0"/>
              <w:jc w:val="center"/>
              <w:rPr>
                <w:bCs/>
                <w:szCs w:val="24"/>
                <w:lang w:val="zh-CN"/>
              </w:rPr>
            </w:pPr>
          </w:p>
        </w:tc>
        <w:tc>
          <w:tcPr>
            <w:tcW w:w="8863" w:type="dxa"/>
          </w:tcPr>
          <w:p w14:paraId="069E029D">
            <w:pPr>
              <w:wordWrap w:val="0"/>
              <w:spacing w:line="360" w:lineRule="auto"/>
              <w:rPr>
                <w:bCs/>
                <w:szCs w:val="24"/>
                <w:lang w:val="zh-CN"/>
              </w:rPr>
            </w:pPr>
            <w:r>
              <w:rPr>
                <w:rFonts w:hint="eastAsia"/>
                <w:szCs w:val="24"/>
                <w:lang w:val="zh-CN"/>
              </w:rPr>
              <w:t>工期（服务期限）、质保期不符合竞争性磋商文件要求的；</w:t>
            </w:r>
          </w:p>
        </w:tc>
      </w:tr>
      <w:tr w14:paraId="13A4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DB13041">
            <w:pPr>
              <w:pStyle w:val="44"/>
              <w:numPr>
                <w:ilvl w:val="0"/>
                <w:numId w:val="45"/>
              </w:numPr>
              <w:wordWrap w:val="0"/>
              <w:spacing w:line="360" w:lineRule="auto"/>
              <w:ind w:left="382" w:leftChars="0" w:hanging="142" w:firstLineChars="0"/>
              <w:jc w:val="center"/>
              <w:rPr>
                <w:bCs/>
                <w:szCs w:val="24"/>
                <w:lang w:val="zh-CN"/>
              </w:rPr>
            </w:pPr>
          </w:p>
        </w:tc>
        <w:tc>
          <w:tcPr>
            <w:tcW w:w="8863" w:type="dxa"/>
          </w:tcPr>
          <w:p w14:paraId="7F04AF07">
            <w:pPr>
              <w:wordWrap w:val="0"/>
              <w:spacing w:line="360" w:lineRule="auto"/>
              <w:rPr>
                <w:bCs/>
                <w:szCs w:val="24"/>
                <w:lang w:val="zh-CN"/>
              </w:rPr>
            </w:pPr>
            <w:r>
              <w:rPr>
                <w:rFonts w:hint="eastAsia"/>
                <w:szCs w:val="24"/>
                <w:lang w:val="zh-CN"/>
              </w:rPr>
              <w:t>出现两个或两个以上磋商方案的；</w:t>
            </w:r>
          </w:p>
        </w:tc>
      </w:tr>
      <w:tr w14:paraId="12BA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74B88DD">
            <w:pPr>
              <w:pStyle w:val="44"/>
              <w:numPr>
                <w:ilvl w:val="0"/>
                <w:numId w:val="45"/>
              </w:numPr>
              <w:wordWrap w:val="0"/>
              <w:spacing w:line="360" w:lineRule="auto"/>
              <w:ind w:left="382" w:leftChars="0" w:hanging="142" w:firstLineChars="0"/>
              <w:jc w:val="center"/>
              <w:rPr>
                <w:bCs/>
                <w:szCs w:val="24"/>
                <w:lang w:val="zh-CN"/>
              </w:rPr>
            </w:pPr>
          </w:p>
        </w:tc>
        <w:tc>
          <w:tcPr>
            <w:tcW w:w="8863" w:type="dxa"/>
          </w:tcPr>
          <w:p w14:paraId="394A7C36">
            <w:pPr>
              <w:wordWrap w:val="0"/>
              <w:spacing w:line="360" w:lineRule="auto"/>
              <w:rPr>
                <w:bCs/>
                <w:szCs w:val="24"/>
                <w:lang w:val="zh-CN"/>
              </w:rPr>
            </w:pPr>
            <w:r>
              <w:rPr>
                <w:rFonts w:hint="eastAsia"/>
                <w:szCs w:val="24"/>
                <w:lang w:val="zh-CN"/>
              </w:rPr>
              <w:t>磋商报价存在缺项、漏项的；</w:t>
            </w:r>
          </w:p>
        </w:tc>
      </w:tr>
      <w:tr w14:paraId="5F7F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17" w:type="dxa"/>
            <w:vAlign w:val="center"/>
          </w:tcPr>
          <w:p w14:paraId="21510FDC">
            <w:pPr>
              <w:pStyle w:val="44"/>
              <w:numPr>
                <w:ilvl w:val="0"/>
                <w:numId w:val="45"/>
              </w:numPr>
              <w:wordWrap w:val="0"/>
              <w:spacing w:line="360" w:lineRule="auto"/>
              <w:ind w:left="382" w:leftChars="0" w:hanging="142" w:firstLineChars="0"/>
              <w:jc w:val="center"/>
              <w:rPr>
                <w:bCs/>
                <w:szCs w:val="24"/>
                <w:lang w:val="zh-CN"/>
              </w:rPr>
            </w:pPr>
          </w:p>
        </w:tc>
        <w:tc>
          <w:tcPr>
            <w:tcW w:w="8863" w:type="dxa"/>
          </w:tcPr>
          <w:p w14:paraId="5F182627">
            <w:pPr>
              <w:wordWrap w:val="0"/>
              <w:spacing w:line="360" w:lineRule="auto"/>
              <w:rPr>
                <w:bCs/>
                <w:szCs w:val="24"/>
                <w:lang w:val="zh-CN"/>
              </w:rPr>
            </w:pPr>
            <w:r>
              <w:rPr>
                <w:rFonts w:hint="eastAsia"/>
                <w:szCs w:val="24"/>
                <w:lang w:val="zh-CN"/>
              </w:rPr>
              <w:t>磋商有效期不足的；</w:t>
            </w:r>
          </w:p>
        </w:tc>
      </w:tr>
      <w:tr w14:paraId="5D81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89124DB">
            <w:pPr>
              <w:pStyle w:val="44"/>
              <w:numPr>
                <w:ilvl w:val="0"/>
                <w:numId w:val="45"/>
              </w:numPr>
              <w:wordWrap w:val="0"/>
              <w:spacing w:line="360" w:lineRule="auto"/>
              <w:ind w:left="382" w:leftChars="0" w:hanging="142" w:firstLineChars="0"/>
              <w:jc w:val="center"/>
              <w:rPr>
                <w:bCs/>
                <w:szCs w:val="24"/>
                <w:lang w:val="zh-CN"/>
              </w:rPr>
            </w:pPr>
          </w:p>
        </w:tc>
        <w:tc>
          <w:tcPr>
            <w:tcW w:w="8863" w:type="dxa"/>
          </w:tcPr>
          <w:p w14:paraId="24833628">
            <w:pPr>
              <w:wordWrap w:val="0"/>
              <w:spacing w:line="360" w:lineRule="auto"/>
              <w:rPr>
                <w:bCs/>
                <w:i w:val="0"/>
                <w:iCs w:val="0"/>
                <w:szCs w:val="24"/>
                <w:lang w:val="zh-CN"/>
              </w:rPr>
            </w:pPr>
            <w:r>
              <w:rPr>
                <w:rFonts w:hint="eastAsia" w:cstheme="minorEastAsia"/>
                <w:i w:val="0"/>
                <w:iCs w:val="0"/>
                <w:szCs w:val="24"/>
              </w:rPr>
              <w:t>《法定代表人授权书》无法定代表人签字（签章）和加盖公章的；以分公司形式参与磋商的，法定代表人授权书未由其总公司法定代表人签字（签章）并加盖公章的；</w:t>
            </w:r>
          </w:p>
        </w:tc>
      </w:tr>
      <w:tr w14:paraId="1D80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ED7C191">
            <w:pPr>
              <w:pStyle w:val="44"/>
              <w:numPr>
                <w:ilvl w:val="0"/>
                <w:numId w:val="45"/>
              </w:numPr>
              <w:wordWrap w:val="0"/>
              <w:spacing w:line="360" w:lineRule="auto"/>
              <w:ind w:left="382" w:leftChars="0" w:hanging="142" w:firstLineChars="0"/>
              <w:jc w:val="center"/>
              <w:rPr>
                <w:bCs/>
                <w:szCs w:val="24"/>
                <w:lang w:val="zh-CN"/>
              </w:rPr>
            </w:pPr>
          </w:p>
        </w:tc>
        <w:tc>
          <w:tcPr>
            <w:tcW w:w="8863" w:type="dxa"/>
          </w:tcPr>
          <w:p w14:paraId="09A882AE">
            <w:pPr>
              <w:wordWrap w:val="0"/>
              <w:spacing w:line="360" w:lineRule="auto"/>
              <w:rPr>
                <w:i w:val="0"/>
                <w:iCs w:val="0"/>
                <w:szCs w:val="24"/>
                <w:lang w:val="zh-CN"/>
              </w:rPr>
            </w:pPr>
            <w:r>
              <w:rPr>
                <w:rFonts w:hint="eastAsia" w:cstheme="minorEastAsia"/>
                <w:i w:val="0"/>
                <w:iCs w:val="0"/>
                <w:szCs w:val="24"/>
              </w:rPr>
              <w:t>未按磋商文件要求盖章或签字（签章）的；</w:t>
            </w:r>
          </w:p>
        </w:tc>
      </w:tr>
      <w:tr w14:paraId="78730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ADF9AF9">
            <w:pPr>
              <w:pStyle w:val="44"/>
              <w:numPr>
                <w:ilvl w:val="0"/>
                <w:numId w:val="45"/>
              </w:numPr>
              <w:wordWrap w:val="0"/>
              <w:spacing w:line="360" w:lineRule="auto"/>
              <w:ind w:left="382" w:leftChars="0" w:hanging="142" w:firstLineChars="0"/>
              <w:jc w:val="center"/>
              <w:rPr>
                <w:bCs/>
                <w:szCs w:val="24"/>
                <w:lang w:val="zh-CN"/>
              </w:rPr>
            </w:pPr>
          </w:p>
        </w:tc>
        <w:tc>
          <w:tcPr>
            <w:tcW w:w="8863" w:type="dxa"/>
          </w:tcPr>
          <w:p w14:paraId="207FB29D">
            <w:pPr>
              <w:wordWrap w:val="0"/>
              <w:spacing w:line="360" w:lineRule="auto"/>
              <w:rPr>
                <w:bCs/>
                <w:i w:val="0"/>
                <w:iCs w:val="0"/>
                <w:szCs w:val="24"/>
                <w:lang w:val="zh-CN"/>
              </w:rPr>
            </w:pPr>
            <w:r>
              <w:rPr>
                <w:rFonts w:hint="eastAsia"/>
                <w:i w:val="0"/>
                <w:iCs w:val="0"/>
                <w:szCs w:val="24"/>
                <w:lang w:val="zh-CN"/>
              </w:rPr>
              <w:t>未提供所投货物（或服务）确定的参数值或功能表述，或未明确响应竞争性磋商文件采购需求的；</w:t>
            </w:r>
          </w:p>
        </w:tc>
      </w:tr>
      <w:tr w14:paraId="3AE9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9FBA623">
            <w:pPr>
              <w:pStyle w:val="44"/>
              <w:numPr>
                <w:ilvl w:val="0"/>
                <w:numId w:val="45"/>
              </w:numPr>
              <w:wordWrap w:val="0"/>
              <w:spacing w:line="360" w:lineRule="auto"/>
              <w:ind w:left="382" w:leftChars="0" w:hanging="142" w:firstLineChars="0"/>
              <w:jc w:val="center"/>
              <w:rPr>
                <w:bCs/>
                <w:szCs w:val="24"/>
                <w:lang w:val="zh-CN"/>
              </w:rPr>
            </w:pPr>
          </w:p>
        </w:tc>
        <w:tc>
          <w:tcPr>
            <w:tcW w:w="8863" w:type="dxa"/>
          </w:tcPr>
          <w:p w14:paraId="4AB9EC23">
            <w:pPr>
              <w:wordWrap w:val="0"/>
              <w:spacing w:line="360" w:lineRule="auto"/>
              <w:rPr>
                <w:bCs/>
                <w:i w:val="0"/>
                <w:iCs w:val="0"/>
                <w:szCs w:val="24"/>
                <w:lang w:val="zh-CN"/>
              </w:rPr>
            </w:pPr>
            <w:r>
              <w:rPr>
                <w:rFonts w:hint="eastAsia"/>
                <w:i w:val="0"/>
                <w:iCs w:val="0"/>
                <w:szCs w:val="24"/>
                <w:lang w:val="zh-CN"/>
              </w:rPr>
              <w:t>未按要求提供《商务要求响应偏离说明表》、《技术要求响应偏离说明表》的；</w:t>
            </w:r>
          </w:p>
        </w:tc>
      </w:tr>
      <w:tr w14:paraId="3107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309FA0D">
            <w:pPr>
              <w:pStyle w:val="44"/>
              <w:numPr>
                <w:ilvl w:val="0"/>
                <w:numId w:val="45"/>
              </w:numPr>
              <w:wordWrap w:val="0"/>
              <w:spacing w:line="360" w:lineRule="auto"/>
              <w:ind w:left="382" w:leftChars="0" w:hanging="142" w:firstLineChars="0"/>
              <w:jc w:val="center"/>
              <w:rPr>
                <w:bCs/>
                <w:szCs w:val="24"/>
                <w:lang w:val="zh-CN"/>
              </w:rPr>
            </w:pPr>
          </w:p>
        </w:tc>
        <w:tc>
          <w:tcPr>
            <w:tcW w:w="8863" w:type="dxa"/>
          </w:tcPr>
          <w:p w14:paraId="5B157F4E">
            <w:pPr>
              <w:wordWrap w:val="0"/>
              <w:spacing w:line="360" w:lineRule="auto"/>
              <w:rPr>
                <w:bCs/>
                <w:i w:val="0"/>
                <w:iCs w:val="0"/>
                <w:strike/>
                <w:szCs w:val="24"/>
                <w:lang w:val="zh-CN"/>
              </w:rPr>
            </w:pPr>
            <w:r>
              <w:rPr>
                <w:rFonts w:hint="eastAsia"/>
                <w:i w:val="0"/>
                <w:iCs w:val="0"/>
                <w:szCs w:val="24"/>
                <w:lang w:val="zh-CN"/>
              </w:rPr>
              <w:t>供应商有磋商文件第二章</w:t>
            </w:r>
            <w:r>
              <w:rPr>
                <w:rFonts w:hint="eastAsia"/>
                <w:b/>
                <w:i w:val="0"/>
                <w:iCs w:val="0"/>
                <w:szCs w:val="24"/>
                <w:lang w:val="zh-CN"/>
              </w:rPr>
              <w:t>2</w:t>
            </w:r>
            <w:r>
              <w:rPr>
                <w:b/>
                <w:i w:val="0"/>
                <w:iCs w:val="0"/>
                <w:szCs w:val="24"/>
                <w:lang w:val="zh-CN"/>
              </w:rPr>
              <w:t>8</w:t>
            </w:r>
            <w:r>
              <w:rPr>
                <w:rFonts w:hint="eastAsia"/>
                <w:b/>
                <w:i w:val="0"/>
                <w:iCs w:val="0"/>
                <w:szCs w:val="24"/>
                <w:lang w:val="zh-CN"/>
              </w:rPr>
              <w:t>.1条</w:t>
            </w:r>
            <w:r>
              <w:rPr>
                <w:rFonts w:hint="eastAsia"/>
                <w:i w:val="0"/>
                <w:iCs w:val="0"/>
                <w:szCs w:val="24"/>
                <w:lang w:val="zh-CN"/>
              </w:rPr>
              <w:t>规定的串通磋商行为的；</w:t>
            </w:r>
          </w:p>
        </w:tc>
      </w:tr>
      <w:tr w14:paraId="2627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59BEC6E">
            <w:pPr>
              <w:pStyle w:val="44"/>
              <w:numPr>
                <w:ilvl w:val="0"/>
                <w:numId w:val="45"/>
              </w:numPr>
              <w:wordWrap w:val="0"/>
              <w:spacing w:line="360" w:lineRule="auto"/>
              <w:ind w:left="382" w:leftChars="0" w:hanging="142" w:firstLineChars="0"/>
              <w:jc w:val="center"/>
              <w:rPr>
                <w:bCs/>
                <w:szCs w:val="24"/>
                <w:lang w:val="zh-CN"/>
              </w:rPr>
            </w:pPr>
          </w:p>
        </w:tc>
        <w:tc>
          <w:tcPr>
            <w:tcW w:w="8863" w:type="dxa"/>
          </w:tcPr>
          <w:p w14:paraId="5111C81F">
            <w:pPr>
              <w:wordWrap w:val="0"/>
              <w:spacing w:line="360" w:lineRule="auto"/>
              <w:rPr>
                <w:bCs/>
                <w:i w:val="0"/>
                <w:iCs w:val="0"/>
                <w:szCs w:val="24"/>
                <w:lang w:val="zh-CN"/>
              </w:rPr>
            </w:pPr>
            <w:r>
              <w:rPr>
                <w:i w:val="0"/>
                <w:iCs w:val="0"/>
                <w:szCs w:val="24"/>
                <w:lang w:val="zh-CN"/>
              </w:rPr>
              <w:t>法律、法规</w:t>
            </w:r>
            <w:r>
              <w:rPr>
                <w:rFonts w:hint="eastAsia"/>
                <w:i w:val="0"/>
                <w:iCs w:val="0"/>
                <w:szCs w:val="24"/>
                <w:lang w:val="zh-CN"/>
              </w:rPr>
              <w:t>和磋商文件</w:t>
            </w:r>
            <w:r>
              <w:rPr>
                <w:i w:val="0"/>
                <w:iCs w:val="0"/>
                <w:szCs w:val="24"/>
                <w:lang w:val="zh-CN"/>
              </w:rPr>
              <w:t>规定的其他</w:t>
            </w:r>
            <w:r>
              <w:rPr>
                <w:rFonts w:hint="eastAsia"/>
                <w:i w:val="0"/>
                <w:iCs w:val="0"/>
                <w:szCs w:val="24"/>
                <w:lang w:val="zh-CN"/>
              </w:rPr>
              <w:t>无效磋商</w:t>
            </w:r>
            <w:r>
              <w:rPr>
                <w:i w:val="0"/>
                <w:iCs w:val="0"/>
                <w:szCs w:val="24"/>
                <w:lang w:val="zh-CN"/>
              </w:rPr>
              <w:t>情形。</w:t>
            </w:r>
          </w:p>
        </w:tc>
      </w:tr>
    </w:tbl>
    <w:p w14:paraId="154F117E">
      <w:pPr>
        <w:pStyle w:val="44"/>
        <w:spacing w:line="360" w:lineRule="auto"/>
        <w:ind w:left="567" w:firstLine="0" w:firstLineChars="0"/>
        <w:rPr>
          <w:b/>
          <w:szCs w:val="24"/>
        </w:rPr>
      </w:pPr>
    </w:p>
    <w:bookmarkEnd w:id="394"/>
    <w:bookmarkEnd w:id="395"/>
    <w:bookmarkEnd w:id="396"/>
    <w:bookmarkEnd w:id="397"/>
    <w:bookmarkEnd w:id="398"/>
    <w:bookmarkEnd w:id="399"/>
    <w:p w14:paraId="64FC5E86">
      <w:pPr>
        <w:pStyle w:val="44"/>
        <w:numPr>
          <w:ilvl w:val="0"/>
          <w:numId w:val="44"/>
        </w:numPr>
        <w:spacing w:line="360" w:lineRule="auto"/>
        <w:ind w:left="240" w:hanging="247" w:firstLineChars="0"/>
        <w:rPr>
          <w:b/>
          <w:szCs w:val="24"/>
          <w:lang w:val="zh-CN"/>
        </w:rPr>
      </w:pPr>
      <w:bookmarkStart w:id="400" w:name="_Toc102057755"/>
      <w:bookmarkStart w:id="401" w:name="_Toc102116059"/>
      <w:bookmarkStart w:id="402" w:name="_Toc117244487"/>
      <w:bookmarkStart w:id="403" w:name="_Toc117244372"/>
      <w:bookmarkStart w:id="404" w:name="_Toc102056255"/>
      <w:bookmarkStart w:id="405" w:name="_Toc102116189"/>
      <w:bookmarkStart w:id="406" w:name="_Toc102119890"/>
      <w:bookmarkStart w:id="407" w:name="_Toc102114957"/>
      <w:bookmarkStart w:id="408" w:name="_Toc511894520"/>
      <w:r>
        <w:rPr>
          <w:rFonts w:hint="eastAsia"/>
          <w:b/>
          <w:szCs w:val="24"/>
          <w:lang w:val="zh-CN"/>
        </w:rPr>
        <w:t>商务评分（</w:t>
      </w:r>
      <w:r>
        <w:rPr>
          <w:rFonts w:hint="eastAsia"/>
          <w:b/>
          <w:szCs w:val="24"/>
          <w:lang w:val="en-US" w:eastAsia="zh-CN"/>
        </w:rPr>
        <w:t>45</w:t>
      </w:r>
      <w:r>
        <w:rPr>
          <w:rFonts w:hint="eastAsia"/>
          <w:b/>
          <w:szCs w:val="24"/>
          <w:lang w:val="zh-CN"/>
        </w:rPr>
        <w:t xml:space="preserve"> 分）</w:t>
      </w:r>
    </w:p>
    <w:tbl>
      <w:tblPr>
        <w:tblStyle w:val="30"/>
        <w:tblW w:w="4969"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21"/>
        <w:gridCol w:w="1099"/>
        <w:gridCol w:w="772"/>
        <w:gridCol w:w="5728"/>
        <w:gridCol w:w="1260"/>
      </w:tblGrid>
      <w:tr w14:paraId="069C47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821" w:type="dxa"/>
            <w:tcBorders>
              <w:top w:val="single" w:color="auto" w:sz="12" w:space="0"/>
              <w:bottom w:val="single" w:color="auto" w:sz="2" w:space="0"/>
            </w:tcBorders>
            <w:shd w:val="pct10" w:color="C3BD96" w:themeColor="background2" w:themeShade="BF" w:fill="DDD9C4" w:themeFill="background2" w:themeFillShade="E6"/>
            <w:vAlign w:val="center"/>
          </w:tcPr>
          <w:p w14:paraId="07AA3EB4">
            <w:pPr>
              <w:wordWrap w:val="0"/>
              <w:spacing w:line="360" w:lineRule="auto"/>
              <w:ind w:left="-89" w:leftChars="-37" w:right="-98" w:rightChars="-41"/>
              <w:jc w:val="center"/>
              <w:rPr>
                <w:b/>
                <w:szCs w:val="24"/>
              </w:rPr>
            </w:pPr>
            <w:r>
              <w:rPr>
                <w:rFonts w:hint="eastAsia"/>
                <w:b/>
                <w:szCs w:val="24"/>
              </w:rPr>
              <w:t>序号</w:t>
            </w:r>
          </w:p>
        </w:tc>
        <w:tc>
          <w:tcPr>
            <w:tcW w:w="1099" w:type="dxa"/>
            <w:tcBorders>
              <w:top w:val="single" w:color="auto" w:sz="12" w:space="0"/>
              <w:bottom w:val="single" w:color="auto" w:sz="2" w:space="0"/>
            </w:tcBorders>
            <w:shd w:val="pct10" w:color="C3BD96" w:themeColor="background2" w:themeShade="BF" w:fill="DDD9C4" w:themeFill="background2" w:themeFillShade="E6"/>
            <w:vAlign w:val="center"/>
          </w:tcPr>
          <w:p w14:paraId="317B7B84">
            <w:pPr>
              <w:wordWrap w:val="0"/>
              <w:spacing w:line="360" w:lineRule="auto"/>
              <w:ind w:left="-89" w:leftChars="-37" w:right="-98" w:rightChars="-41"/>
              <w:jc w:val="center"/>
              <w:rPr>
                <w:b/>
                <w:szCs w:val="24"/>
              </w:rPr>
            </w:pPr>
            <w:r>
              <w:rPr>
                <w:rFonts w:hint="eastAsia"/>
                <w:b/>
                <w:szCs w:val="24"/>
              </w:rPr>
              <w:t>评审因素</w:t>
            </w:r>
          </w:p>
        </w:tc>
        <w:tc>
          <w:tcPr>
            <w:tcW w:w="772" w:type="dxa"/>
            <w:tcBorders>
              <w:top w:val="single" w:color="auto" w:sz="12" w:space="0"/>
              <w:bottom w:val="single" w:color="auto" w:sz="2" w:space="0"/>
            </w:tcBorders>
            <w:shd w:val="pct10" w:color="C3BD96" w:themeColor="background2" w:themeShade="BF" w:fill="DDD9C4" w:themeFill="background2" w:themeFillShade="E6"/>
            <w:vAlign w:val="center"/>
          </w:tcPr>
          <w:p w14:paraId="5FF228C1">
            <w:pPr>
              <w:wordWrap w:val="0"/>
              <w:spacing w:line="360" w:lineRule="auto"/>
              <w:ind w:left="-84" w:leftChars="-35" w:right="-91" w:rightChars="-38"/>
              <w:jc w:val="center"/>
              <w:rPr>
                <w:b/>
                <w:szCs w:val="24"/>
              </w:rPr>
            </w:pPr>
            <w:r>
              <w:rPr>
                <w:rFonts w:hint="eastAsia"/>
                <w:b/>
                <w:szCs w:val="24"/>
              </w:rPr>
              <w:t>分值</w:t>
            </w:r>
          </w:p>
        </w:tc>
        <w:tc>
          <w:tcPr>
            <w:tcW w:w="5728" w:type="dxa"/>
            <w:tcBorders>
              <w:top w:val="single" w:color="auto" w:sz="12" w:space="0"/>
              <w:bottom w:val="single" w:color="auto" w:sz="2" w:space="0"/>
            </w:tcBorders>
            <w:shd w:val="pct10" w:color="C3BD96" w:themeColor="background2" w:themeShade="BF" w:fill="DDD9C4" w:themeFill="background2" w:themeFillShade="E6"/>
            <w:vAlign w:val="center"/>
          </w:tcPr>
          <w:p w14:paraId="7FB9A83F">
            <w:pPr>
              <w:wordWrap w:val="0"/>
              <w:spacing w:line="360" w:lineRule="auto"/>
              <w:jc w:val="center"/>
              <w:rPr>
                <w:b/>
                <w:szCs w:val="24"/>
              </w:rPr>
            </w:pPr>
            <w:r>
              <w:rPr>
                <w:rFonts w:hint="eastAsia"/>
                <w:b/>
                <w:szCs w:val="24"/>
              </w:rPr>
              <w:t>评分标准</w:t>
            </w:r>
          </w:p>
        </w:tc>
        <w:tc>
          <w:tcPr>
            <w:tcW w:w="1260" w:type="dxa"/>
            <w:tcBorders>
              <w:top w:val="single" w:color="auto" w:sz="12" w:space="0"/>
              <w:bottom w:val="single" w:color="auto" w:sz="2" w:space="0"/>
            </w:tcBorders>
            <w:shd w:val="pct10" w:color="C3BD96" w:themeColor="background2" w:themeShade="BF" w:fill="DDD9C4" w:themeFill="background2" w:themeFillShade="E6"/>
            <w:vAlign w:val="center"/>
          </w:tcPr>
          <w:p w14:paraId="75786B38">
            <w:pPr>
              <w:wordWrap w:val="0"/>
              <w:spacing w:line="360" w:lineRule="auto"/>
              <w:jc w:val="center"/>
              <w:rPr>
                <w:b/>
                <w:szCs w:val="24"/>
              </w:rPr>
            </w:pPr>
            <w:r>
              <w:rPr>
                <w:rFonts w:hint="eastAsia"/>
                <w:b/>
                <w:szCs w:val="24"/>
              </w:rPr>
              <w:t>因素来源</w:t>
            </w:r>
          </w:p>
        </w:tc>
      </w:tr>
      <w:tr w14:paraId="36714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821" w:type="dxa"/>
            <w:tcBorders>
              <w:top w:val="single" w:color="auto" w:sz="2" w:space="0"/>
            </w:tcBorders>
            <w:vAlign w:val="center"/>
          </w:tcPr>
          <w:p w14:paraId="59D55928">
            <w:pPr>
              <w:numPr>
                <w:ilvl w:val="0"/>
                <w:numId w:val="0"/>
              </w:numPr>
              <w:tabs>
                <w:tab w:val="left" w:pos="447"/>
              </w:tabs>
              <w:wordWrap w:val="0"/>
              <w:spacing w:line="360" w:lineRule="auto"/>
              <w:ind w:left="240" w:leftChars="0" w:right="-48" w:rightChars="-20"/>
              <w:jc w:val="both"/>
              <w:rPr>
                <w:rFonts w:hint="default" w:eastAsia="宋体"/>
                <w:b/>
                <w:lang w:val="en-US" w:eastAsia="zh-CN"/>
              </w:rPr>
            </w:pPr>
            <w:r>
              <w:rPr>
                <w:rFonts w:hint="eastAsia"/>
                <w:b w:val="0"/>
                <w:bCs/>
                <w:lang w:val="en-US" w:eastAsia="zh-CN"/>
              </w:rPr>
              <w:t>2.1</w:t>
            </w:r>
          </w:p>
        </w:tc>
        <w:tc>
          <w:tcPr>
            <w:tcW w:w="1099" w:type="dxa"/>
            <w:tcBorders>
              <w:top w:val="single" w:color="auto" w:sz="2" w:space="0"/>
            </w:tcBorders>
            <w:vAlign w:val="center"/>
          </w:tcPr>
          <w:p w14:paraId="561B2352">
            <w:pPr>
              <w:wordWrap w:val="0"/>
              <w:spacing w:line="360" w:lineRule="auto"/>
              <w:rPr>
                <w:rFonts w:hint="eastAsia" w:ascii="宋体" w:hAnsi="宋体" w:eastAsia="宋体" w:cs="宋体"/>
                <w:color w:val="auto"/>
                <w:kern w:val="0"/>
                <w:sz w:val="20"/>
                <w:szCs w:val="20"/>
                <w:lang w:eastAsia="zh-CN" w:bidi="ar"/>
              </w:rPr>
            </w:pPr>
          </w:p>
          <w:p w14:paraId="614C1D67">
            <w:pPr>
              <w:wordWrap w:val="0"/>
              <w:spacing w:line="360" w:lineRule="auto"/>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eastAsia="zh-CN" w:bidi="ar"/>
              </w:rPr>
              <w:t>拟投入项目人员</w:t>
            </w:r>
          </w:p>
          <w:p w14:paraId="4DA6B0A9">
            <w:pPr>
              <w:wordWrap w:val="0"/>
              <w:spacing w:line="360" w:lineRule="auto"/>
              <w:rPr>
                <w:szCs w:val="24"/>
              </w:rPr>
            </w:pPr>
          </w:p>
        </w:tc>
        <w:tc>
          <w:tcPr>
            <w:tcW w:w="772" w:type="dxa"/>
            <w:tcBorders>
              <w:top w:val="single" w:color="auto" w:sz="2" w:space="0"/>
            </w:tcBorders>
            <w:vAlign w:val="center"/>
          </w:tcPr>
          <w:p w14:paraId="208DC2AE">
            <w:pPr>
              <w:wordWrap w:val="0"/>
              <w:spacing w:line="360" w:lineRule="auto"/>
              <w:ind w:left="-55" w:leftChars="-23" w:right="-41" w:rightChars="-17"/>
              <w:jc w:val="center"/>
              <w:rPr>
                <w:rFonts w:hint="default" w:eastAsia="宋体"/>
                <w:lang w:val="en-US" w:eastAsia="zh-CN"/>
              </w:rPr>
            </w:pPr>
            <w:r>
              <w:rPr>
                <w:rFonts w:hint="eastAsia"/>
                <w:lang w:val="en-US" w:eastAsia="zh-CN"/>
              </w:rPr>
              <w:t>15</w:t>
            </w:r>
          </w:p>
        </w:tc>
        <w:tc>
          <w:tcPr>
            <w:tcW w:w="5728" w:type="dxa"/>
            <w:tcBorders>
              <w:top w:val="single" w:color="auto" w:sz="2" w:space="0"/>
            </w:tcBorders>
            <w:vAlign w:val="center"/>
          </w:tcPr>
          <w:p w14:paraId="2795A00C">
            <w:pPr>
              <w:wordWrap w:val="0"/>
              <w:spacing w:line="360" w:lineRule="auto"/>
            </w:pPr>
            <w:r>
              <w:rPr>
                <w:rFonts w:hint="eastAsia" w:ascii="宋体" w:hAnsi="宋体" w:eastAsia="宋体" w:cs="宋体"/>
                <w:color w:val="auto"/>
                <w:kern w:val="0"/>
                <w:sz w:val="20"/>
                <w:szCs w:val="20"/>
                <w:lang w:eastAsia="zh-CN" w:bidi="ar"/>
              </w:rPr>
              <w:t>拟派项目组成员中资产评估师2人及以上得5分；注册房地产估价师2人及以上得5分；土地估价师2人及以上得5分；专业人员配备齐全得15分。每一项少一个人扣2.5分，不提供不得分。（复印件加盖公章，否则不得分。）</w:t>
            </w:r>
          </w:p>
        </w:tc>
        <w:tc>
          <w:tcPr>
            <w:tcW w:w="1260" w:type="dxa"/>
            <w:tcBorders>
              <w:top w:val="single" w:color="auto" w:sz="2" w:space="0"/>
            </w:tcBorders>
            <w:vAlign w:val="center"/>
          </w:tcPr>
          <w:p w14:paraId="6BC66D71">
            <w:pPr>
              <w:wordWrap w:val="0"/>
              <w:spacing w:line="360" w:lineRule="auto"/>
              <w:ind w:left="-74" w:leftChars="-31" w:right="-41" w:rightChars="-17"/>
              <w:jc w:val="center"/>
              <w:rPr>
                <w:szCs w:val="24"/>
              </w:rPr>
            </w:pPr>
            <w:r>
              <w:rPr>
                <w:rFonts w:hint="eastAsia"/>
                <w:szCs w:val="24"/>
              </w:rPr>
              <w:t>商务要求</w:t>
            </w:r>
          </w:p>
        </w:tc>
      </w:tr>
      <w:tr w14:paraId="092286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821" w:type="dxa"/>
            <w:vAlign w:val="center"/>
          </w:tcPr>
          <w:p w14:paraId="0CCCAA72">
            <w:pPr>
              <w:tabs>
                <w:tab w:val="left" w:pos="447"/>
              </w:tabs>
              <w:wordWrap w:val="0"/>
              <w:spacing w:line="360" w:lineRule="auto"/>
              <w:ind w:right="-48" w:rightChars="-20" w:firstLine="240" w:firstLineChars="100"/>
              <w:rPr>
                <w:rFonts w:hint="default" w:eastAsia="宋体"/>
                <w:b w:val="0"/>
                <w:bCs/>
                <w:lang w:val="en-US" w:eastAsia="zh-CN"/>
              </w:rPr>
            </w:pPr>
            <w:r>
              <w:rPr>
                <w:rFonts w:hint="eastAsia"/>
                <w:b w:val="0"/>
                <w:bCs/>
                <w:szCs w:val="24"/>
                <w:lang w:val="en-US" w:eastAsia="zh-CN"/>
              </w:rPr>
              <w:t>2.2</w:t>
            </w:r>
          </w:p>
        </w:tc>
        <w:tc>
          <w:tcPr>
            <w:tcW w:w="1099" w:type="dxa"/>
            <w:vAlign w:val="center"/>
          </w:tcPr>
          <w:p w14:paraId="45642969">
            <w:pPr>
              <w:wordWrap w:val="0"/>
              <w:spacing w:line="360" w:lineRule="auto"/>
              <w:ind w:left="-24" w:leftChars="-10" w:right="-24" w:rightChars="-10"/>
              <w:jc w:val="both"/>
              <w:rPr>
                <w:b w:val="0"/>
                <w:bCs/>
                <w:szCs w:val="24"/>
              </w:rPr>
            </w:pPr>
            <w:r>
              <w:rPr>
                <w:rFonts w:hint="eastAsia" w:ascii="宋体" w:hAnsi="宋体" w:eastAsia="宋体" w:cs="宋体"/>
                <w:color w:val="auto"/>
                <w:kern w:val="0"/>
                <w:sz w:val="20"/>
                <w:szCs w:val="20"/>
                <w:lang w:eastAsia="zh-CN" w:bidi="ar"/>
              </w:rPr>
              <w:t>企业实力</w:t>
            </w:r>
          </w:p>
        </w:tc>
        <w:tc>
          <w:tcPr>
            <w:tcW w:w="772" w:type="dxa"/>
            <w:vAlign w:val="center"/>
          </w:tcPr>
          <w:p w14:paraId="550E9FD0">
            <w:pPr>
              <w:wordWrap w:val="0"/>
              <w:spacing w:line="360" w:lineRule="auto"/>
              <w:ind w:left="-55" w:leftChars="-23" w:right="-41" w:rightChars="-17"/>
              <w:jc w:val="center"/>
              <w:rPr>
                <w:rFonts w:hint="eastAsia" w:eastAsia="宋体"/>
                <w:lang w:val="en-US" w:eastAsia="zh-CN"/>
              </w:rPr>
            </w:pPr>
            <w:r>
              <w:rPr>
                <w:rFonts w:hint="eastAsia"/>
                <w:lang w:val="en-US" w:eastAsia="zh-CN"/>
              </w:rPr>
              <w:t>3</w:t>
            </w:r>
          </w:p>
        </w:tc>
        <w:tc>
          <w:tcPr>
            <w:tcW w:w="5728" w:type="dxa"/>
            <w:vAlign w:val="center"/>
          </w:tcPr>
          <w:p w14:paraId="38B5BB5A">
            <w:pPr>
              <w:wordWrap w:val="0"/>
              <w:spacing w:line="360" w:lineRule="auto"/>
            </w:pPr>
            <w:r>
              <w:rPr>
                <w:rFonts w:hint="eastAsia" w:ascii="宋体" w:hAnsi="宋体" w:eastAsia="宋体" w:cs="宋体"/>
                <w:color w:val="auto"/>
                <w:kern w:val="0"/>
                <w:sz w:val="20"/>
                <w:szCs w:val="20"/>
                <w:lang w:eastAsia="zh-CN" w:bidi="ar"/>
              </w:rPr>
              <w:t>供应商获得由主管部门或行业协会颁发的荣誉证书的，1个得1分，最多3分。</w:t>
            </w:r>
          </w:p>
        </w:tc>
        <w:tc>
          <w:tcPr>
            <w:tcW w:w="1260" w:type="dxa"/>
            <w:vAlign w:val="center"/>
          </w:tcPr>
          <w:p w14:paraId="7317F364">
            <w:pPr>
              <w:wordWrap w:val="0"/>
              <w:spacing w:line="360" w:lineRule="auto"/>
              <w:ind w:left="-74" w:leftChars="-31" w:right="-41" w:rightChars="-17"/>
              <w:jc w:val="center"/>
              <w:rPr>
                <w:szCs w:val="24"/>
              </w:rPr>
            </w:pPr>
            <w:r>
              <w:rPr>
                <w:rFonts w:hint="eastAsia"/>
                <w:szCs w:val="24"/>
              </w:rPr>
              <w:t>商务要求</w:t>
            </w:r>
          </w:p>
        </w:tc>
      </w:tr>
      <w:tr w14:paraId="0FAB4C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821" w:type="dxa"/>
            <w:vAlign w:val="center"/>
          </w:tcPr>
          <w:p w14:paraId="3AA1627E">
            <w:pPr>
              <w:tabs>
                <w:tab w:val="left" w:pos="447"/>
              </w:tabs>
              <w:wordWrap w:val="0"/>
              <w:spacing w:line="360" w:lineRule="auto"/>
              <w:ind w:right="-48" w:rightChars="-20" w:firstLine="240" w:firstLineChars="100"/>
              <w:rPr>
                <w:rFonts w:hint="default"/>
                <w:b w:val="0"/>
                <w:bCs/>
                <w:szCs w:val="24"/>
                <w:lang w:val="en-US" w:eastAsia="zh-CN"/>
              </w:rPr>
            </w:pPr>
            <w:r>
              <w:rPr>
                <w:rFonts w:hint="eastAsia"/>
                <w:b w:val="0"/>
                <w:bCs/>
                <w:szCs w:val="24"/>
                <w:lang w:val="en-US" w:eastAsia="zh-CN"/>
              </w:rPr>
              <w:t>2.3</w:t>
            </w:r>
          </w:p>
        </w:tc>
        <w:tc>
          <w:tcPr>
            <w:tcW w:w="1099" w:type="dxa"/>
            <w:vAlign w:val="center"/>
          </w:tcPr>
          <w:p w14:paraId="2C9C3253">
            <w:pPr>
              <w:wordWrap w:val="0"/>
              <w:spacing w:line="360" w:lineRule="auto"/>
              <w:ind w:left="-24" w:leftChars="-10" w:right="-24" w:rightChars="-10"/>
              <w:jc w:val="both"/>
              <w:rPr>
                <w:rFonts w:hint="eastAsia" w:ascii="宋体" w:hAnsi="宋体" w:eastAsia="宋体" w:cs="宋体"/>
                <w:color w:val="000000"/>
                <w:kern w:val="0"/>
                <w:sz w:val="20"/>
                <w:szCs w:val="20"/>
                <w:lang w:eastAsia="zh-CN" w:bidi="ar"/>
              </w:rPr>
            </w:pPr>
            <w:r>
              <w:rPr>
                <w:rFonts w:hint="eastAsia" w:ascii="宋体" w:hAnsi="宋体" w:eastAsia="宋体" w:cs="宋体"/>
                <w:color w:val="auto"/>
                <w:kern w:val="0"/>
                <w:sz w:val="20"/>
                <w:szCs w:val="20"/>
                <w:lang w:eastAsia="zh-CN" w:bidi="ar"/>
              </w:rPr>
              <w:t>专业设备</w:t>
            </w:r>
          </w:p>
        </w:tc>
        <w:tc>
          <w:tcPr>
            <w:tcW w:w="772" w:type="dxa"/>
            <w:vAlign w:val="center"/>
          </w:tcPr>
          <w:p w14:paraId="2A36E44E">
            <w:pPr>
              <w:wordWrap w:val="0"/>
              <w:spacing w:line="360" w:lineRule="auto"/>
              <w:ind w:left="-55" w:leftChars="-23" w:right="-41" w:rightChars="-17"/>
              <w:jc w:val="center"/>
              <w:rPr>
                <w:rFonts w:hint="default"/>
                <w:lang w:val="en-US" w:eastAsia="zh-CN"/>
              </w:rPr>
            </w:pPr>
            <w:r>
              <w:rPr>
                <w:rFonts w:hint="eastAsia"/>
                <w:lang w:val="en-US" w:eastAsia="zh-CN"/>
              </w:rPr>
              <w:t>3</w:t>
            </w:r>
          </w:p>
        </w:tc>
        <w:tc>
          <w:tcPr>
            <w:tcW w:w="5728" w:type="dxa"/>
            <w:vAlign w:val="center"/>
          </w:tcPr>
          <w:p w14:paraId="56409DB4">
            <w:pPr>
              <w:spacing w:line="440" w:lineRule="exact"/>
              <w:jc w:val="left"/>
              <w:rPr>
                <w:rFonts w:hint="eastAsia" w:ascii="宋体" w:hAnsi="宋体" w:eastAsia="宋体" w:cs="Times New Roman"/>
                <w:sz w:val="24"/>
                <w:lang w:val="en-US" w:eastAsia="zh-CN" w:bidi="ar-SA"/>
              </w:rPr>
            </w:pPr>
            <w:r>
              <w:rPr>
                <w:rFonts w:hint="eastAsia" w:ascii="宋体" w:hAnsi="宋体" w:eastAsia="宋体" w:cs="宋体"/>
                <w:color w:val="auto"/>
                <w:kern w:val="0"/>
                <w:sz w:val="20"/>
                <w:szCs w:val="20"/>
                <w:lang w:eastAsia="zh-CN" w:bidi="ar"/>
              </w:rPr>
              <w:t>供应商提供本项目评估所需的管线探测仪的得</w:t>
            </w:r>
            <w:r>
              <w:rPr>
                <w:rFonts w:hint="eastAsia" w:cs="宋体"/>
                <w:color w:val="auto"/>
                <w:kern w:val="0"/>
                <w:sz w:val="20"/>
                <w:szCs w:val="20"/>
                <w:lang w:val="en-US" w:eastAsia="zh-CN" w:bidi="ar"/>
              </w:rPr>
              <w:t>3</w:t>
            </w:r>
            <w:r>
              <w:rPr>
                <w:rFonts w:hint="eastAsia" w:ascii="宋体" w:hAnsi="宋体" w:eastAsia="宋体" w:cs="宋体"/>
                <w:color w:val="auto"/>
                <w:kern w:val="0"/>
                <w:sz w:val="20"/>
                <w:szCs w:val="20"/>
                <w:lang w:eastAsia="zh-CN" w:bidi="ar"/>
              </w:rPr>
              <w:t>分（须提供签订的发票和设备图片，复印件加盖公章，不提供不得分。）</w:t>
            </w:r>
          </w:p>
        </w:tc>
        <w:tc>
          <w:tcPr>
            <w:tcW w:w="1260" w:type="dxa"/>
            <w:vAlign w:val="center"/>
          </w:tcPr>
          <w:p w14:paraId="3C1C50C5">
            <w:pPr>
              <w:wordWrap w:val="0"/>
              <w:spacing w:line="360" w:lineRule="auto"/>
              <w:ind w:left="-74" w:leftChars="-31" w:right="-41" w:rightChars="-17"/>
              <w:jc w:val="center"/>
              <w:rPr>
                <w:szCs w:val="24"/>
              </w:rPr>
            </w:pPr>
            <w:r>
              <w:rPr>
                <w:rFonts w:hint="eastAsia"/>
                <w:szCs w:val="24"/>
              </w:rPr>
              <w:t>商务要求</w:t>
            </w:r>
          </w:p>
        </w:tc>
      </w:tr>
      <w:tr w14:paraId="6E8C81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821" w:type="dxa"/>
            <w:vAlign w:val="center"/>
          </w:tcPr>
          <w:p w14:paraId="55864E3A">
            <w:pPr>
              <w:numPr>
                <w:ilvl w:val="0"/>
                <w:numId w:val="0"/>
              </w:numPr>
              <w:tabs>
                <w:tab w:val="left" w:pos="447"/>
              </w:tabs>
              <w:wordWrap w:val="0"/>
              <w:spacing w:line="360" w:lineRule="auto"/>
              <w:ind w:left="240" w:leftChars="0" w:right="-48" w:rightChars="-20"/>
              <w:jc w:val="both"/>
              <w:rPr>
                <w:rFonts w:hint="default"/>
                <w:b w:val="0"/>
                <w:bCs/>
                <w:lang w:val="en-US" w:eastAsia="zh-CN"/>
              </w:rPr>
            </w:pPr>
            <w:r>
              <w:rPr>
                <w:rFonts w:hint="eastAsia"/>
                <w:b w:val="0"/>
                <w:bCs/>
                <w:lang w:val="en-US" w:eastAsia="zh-CN"/>
              </w:rPr>
              <w:t>2.4</w:t>
            </w:r>
          </w:p>
        </w:tc>
        <w:tc>
          <w:tcPr>
            <w:tcW w:w="1099" w:type="dxa"/>
            <w:vAlign w:val="center"/>
          </w:tcPr>
          <w:p w14:paraId="2A6E90EF">
            <w:pPr>
              <w:spacing w:line="440" w:lineRule="exact"/>
              <w:jc w:val="left"/>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eastAsia="zh-CN" w:bidi="ar"/>
              </w:rPr>
              <w:t>类似业绩</w:t>
            </w:r>
          </w:p>
        </w:tc>
        <w:tc>
          <w:tcPr>
            <w:tcW w:w="772" w:type="dxa"/>
            <w:vAlign w:val="center"/>
          </w:tcPr>
          <w:p w14:paraId="1832D78E">
            <w:pPr>
              <w:wordWrap w:val="0"/>
              <w:spacing w:line="360" w:lineRule="auto"/>
              <w:ind w:left="-55" w:leftChars="-23" w:right="-41" w:rightChars="-17"/>
              <w:jc w:val="center"/>
              <w:rPr>
                <w:rFonts w:hint="default"/>
                <w:lang w:val="en-US" w:eastAsia="zh-CN"/>
              </w:rPr>
            </w:pPr>
            <w:r>
              <w:rPr>
                <w:rFonts w:hint="eastAsia"/>
                <w:lang w:val="en-US" w:eastAsia="zh-CN"/>
              </w:rPr>
              <w:t>9</w:t>
            </w:r>
          </w:p>
        </w:tc>
        <w:tc>
          <w:tcPr>
            <w:tcW w:w="5728" w:type="dxa"/>
            <w:vAlign w:val="center"/>
          </w:tcPr>
          <w:p w14:paraId="7AF5918F">
            <w:pPr>
              <w:spacing w:line="440" w:lineRule="exact"/>
              <w:jc w:val="left"/>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eastAsia="zh-CN" w:bidi="ar"/>
              </w:rPr>
              <w:t>近三年（以合同时间为准）承担与本项目相关的类似业绩，1项得3分，最多得9分，不提供不得分。【须提供签订的合同或协议（并提供相符的评估报告）复印件加盖公章，否则不得分。】</w:t>
            </w:r>
          </w:p>
        </w:tc>
        <w:tc>
          <w:tcPr>
            <w:tcW w:w="1260" w:type="dxa"/>
            <w:vAlign w:val="center"/>
          </w:tcPr>
          <w:p w14:paraId="492D7781">
            <w:pPr>
              <w:wordWrap w:val="0"/>
              <w:spacing w:line="360" w:lineRule="auto"/>
              <w:ind w:left="-74" w:leftChars="-31" w:right="-41" w:rightChars="-17"/>
              <w:jc w:val="center"/>
              <w:rPr>
                <w:rFonts w:hint="eastAsia"/>
                <w:szCs w:val="24"/>
              </w:rPr>
            </w:pPr>
            <w:r>
              <w:rPr>
                <w:rFonts w:hint="eastAsia"/>
                <w:szCs w:val="24"/>
              </w:rPr>
              <w:t>商务要求</w:t>
            </w:r>
          </w:p>
        </w:tc>
      </w:tr>
      <w:tr w14:paraId="6747F4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821" w:type="dxa"/>
            <w:vAlign w:val="center"/>
          </w:tcPr>
          <w:p w14:paraId="3815EE97">
            <w:pPr>
              <w:numPr>
                <w:ilvl w:val="0"/>
                <w:numId w:val="0"/>
              </w:numPr>
              <w:tabs>
                <w:tab w:val="left" w:pos="447"/>
              </w:tabs>
              <w:wordWrap w:val="0"/>
              <w:spacing w:line="360" w:lineRule="auto"/>
              <w:ind w:left="240" w:leftChars="0" w:right="-48" w:rightChars="-20"/>
              <w:jc w:val="both"/>
              <w:rPr>
                <w:rFonts w:hint="default"/>
                <w:b w:val="0"/>
                <w:bCs/>
                <w:lang w:val="en-US" w:eastAsia="zh-CN"/>
              </w:rPr>
            </w:pPr>
            <w:r>
              <w:rPr>
                <w:rFonts w:hint="eastAsia"/>
                <w:b w:val="0"/>
                <w:bCs/>
                <w:lang w:val="en-US" w:eastAsia="zh-CN"/>
              </w:rPr>
              <w:t>2.5</w:t>
            </w:r>
          </w:p>
        </w:tc>
        <w:tc>
          <w:tcPr>
            <w:tcW w:w="1099" w:type="dxa"/>
            <w:vAlign w:val="center"/>
          </w:tcPr>
          <w:p w14:paraId="72EF7634">
            <w:pPr>
              <w:spacing w:line="440" w:lineRule="exact"/>
              <w:jc w:val="left"/>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eastAsia="zh-CN" w:bidi="ar"/>
              </w:rPr>
              <w:t>客户评价</w:t>
            </w:r>
          </w:p>
        </w:tc>
        <w:tc>
          <w:tcPr>
            <w:tcW w:w="772" w:type="dxa"/>
            <w:vAlign w:val="center"/>
          </w:tcPr>
          <w:p w14:paraId="317E7611">
            <w:pPr>
              <w:wordWrap w:val="0"/>
              <w:spacing w:line="360" w:lineRule="auto"/>
              <w:ind w:left="-55" w:leftChars="-23" w:right="-41" w:rightChars="-17"/>
              <w:jc w:val="center"/>
              <w:rPr>
                <w:rFonts w:hint="default"/>
                <w:lang w:val="en-US" w:eastAsia="zh-CN"/>
              </w:rPr>
            </w:pPr>
            <w:r>
              <w:rPr>
                <w:rFonts w:hint="eastAsia"/>
                <w:lang w:val="en-US" w:eastAsia="zh-CN"/>
              </w:rPr>
              <w:t>9</w:t>
            </w:r>
          </w:p>
        </w:tc>
        <w:tc>
          <w:tcPr>
            <w:tcW w:w="5728" w:type="dxa"/>
            <w:vAlign w:val="center"/>
          </w:tcPr>
          <w:p w14:paraId="528B0FF8">
            <w:pPr>
              <w:spacing w:line="440" w:lineRule="exact"/>
              <w:jc w:val="left"/>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eastAsia="zh-CN" w:bidi="ar"/>
              </w:rPr>
              <w:t>所提供的合同或协议有客户服务满意评价的，客户服务评价满意及以上的1项得3分，客户服务评价一般的1项得2分，本项最多9分，不提供不得分。（复印件加盖公章，否则不得分。）</w:t>
            </w:r>
          </w:p>
        </w:tc>
        <w:tc>
          <w:tcPr>
            <w:tcW w:w="1260" w:type="dxa"/>
            <w:vAlign w:val="center"/>
          </w:tcPr>
          <w:p w14:paraId="1E387BC1">
            <w:pPr>
              <w:wordWrap w:val="0"/>
              <w:spacing w:line="360" w:lineRule="auto"/>
              <w:ind w:left="-74" w:leftChars="-31" w:right="-41" w:rightChars="-17"/>
              <w:jc w:val="center"/>
              <w:rPr>
                <w:rFonts w:hint="eastAsia"/>
                <w:szCs w:val="24"/>
              </w:rPr>
            </w:pPr>
            <w:r>
              <w:rPr>
                <w:rFonts w:hint="eastAsia"/>
                <w:szCs w:val="24"/>
              </w:rPr>
              <w:t>商务要求</w:t>
            </w:r>
          </w:p>
        </w:tc>
      </w:tr>
      <w:tr w14:paraId="183B87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821" w:type="dxa"/>
            <w:vAlign w:val="center"/>
          </w:tcPr>
          <w:p w14:paraId="3DCFB505">
            <w:pPr>
              <w:numPr>
                <w:ilvl w:val="0"/>
                <w:numId w:val="0"/>
              </w:numPr>
              <w:tabs>
                <w:tab w:val="left" w:pos="447"/>
              </w:tabs>
              <w:wordWrap w:val="0"/>
              <w:spacing w:line="360" w:lineRule="auto"/>
              <w:ind w:left="240" w:leftChars="0" w:right="-48" w:rightChars="-20"/>
              <w:jc w:val="both"/>
              <w:rPr>
                <w:rFonts w:hint="default"/>
                <w:b w:val="0"/>
                <w:bCs/>
                <w:lang w:val="en-US" w:eastAsia="zh-CN"/>
              </w:rPr>
            </w:pPr>
            <w:r>
              <w:rPr>
                <w:rFonts w:hint="eastAsia"/>
                <w:b w:val="0"/>
                <w:bCs/>
                <w:lang w:val="en-US" w:eastAsia="zh-CN"/>
              </w:rPr>
              <w:t>2.6</w:t>
            </w:r>
          </w:p>
        </w:tc>
        <w:tc>
          <w:tcPr>
            <w:tcW w:w="1099" w:type="dxa"/>
            <w:vAlign w:val="center"/>
          </w:tcPr>
          <w:p w14:paraId="2AB35BF8">
            <w:pPr>
              <w:spacing w:line="440" w:lineRule="exact"/>
              <w:jc w:val="left"/>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eastAsia="zh-CN" w:bidi="ar"/>
              </w:rPr>
              <w:t>工期承诺</w:t>
            </w:r>
          </w:p>
        </w:tc>
        <w:tc>
          <w:tcPr>
            <w:tcW w:w="772" w:type="dxa"/>
            <w:vAlign w:val="center"/>
          </w:tcPr>
          <w:p w14:paraId="0E38EDD5">
            <w:pPr>
              <w:wordWrap w:val="0"/>
              <w:spacing w:line="360" w:lineRule="auto"/>
              <w:ind w:left="-55" w:leftChars="-23" w:right="-41" w:rightChars="-17"/>
              <w:jc w:val="center"/>
              <w:rPr>
                <w:rFonts w:hint="default"/>
                <w:lang w:val="en-US" w:eastAsia="zh-CN"/>
              </w:rPr>
            </w:pPr>
            <w:r>
              <w:rPr>
                <w:rFonts w:hint="eastAsia"/>
                <w:lang w:val="en-US" w:eastAsia="zh-CN"/>
              </w:rPr>
              <w:t>3</w:t>
            </w:r>
          </w:p>
        </w:tc>
        <w:tc>
          <w:tcPr>
            <w:tcW w:w="5728" w:type="dxa"/>
            <w:vAlign w:val="center"/>
          </w:tcPr>
          <w:p w14:paraId="5DC16A41">
            <w:pPr>
              <w:spacing w:line="440" w:lineRule="exact"/>
              <w:jc w:val="left"/>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eastAsia="zh-CN" w:bidi="ar"/>
              </w:rPr>
              <w:t>对服务期有承诺，能够严格按照时间节点完成服务期进度。提供服务期承诺函的得</w:t>
            </w:r>
            <w:r>
              <w:rPr>
                <w:rFonts w:hint="eastAsia" w:ascii="宋体" w:hAnsi="宋体" w:eastAsia="宋体" w:cs="宋体"/>
                <w:color w:val="auto"/>
                <w:kern w:val="0"/>
                <w:sz w:val="20"/>
                <w:szCs w:val="20"/>
                <w:lang w:val="en-US" w:eastAsia="zh-CN" w:bidi="ar"/>
              </w:rPr>
              <w:t>3</w:t>
            </w:r>
            <w:r>
              <w:rPr>
                <w:rFonts w:hint="eastAsia" w:ascii="宋体" w:hAnsi="宋体" w:eastAsia="宋体" w:cs="宋体"/>
                <w:color w:val="auto"/>
                <w:kern w:val="0"/>
                <w:sz w:val="20"/>
                <w:szCs w:val="20"/>
                <w:lang w:eastAsia="zh-CN" w:bidi="ar"/>
              </w:rPr>
              <w:t>分，不提供不得分。</w:t>
            </w:r>
          </w:p>
        </w:tc>
        <w:tc>
          <w:tcPr>
            <w:tcW w:w="1260" w:type="dxa"/>
            <w:vAlign w:val="center"/>
          </w:tcPr>
          <w:p w14:paraId="46073342">
            <w:pPr>
              <w:wordWrap w:val="0"/>
              <w:spacing w:line="360" w:lineRule="auto"/>
              <w:ind w:left="-74" w:leftChars="-31" w:right="-41" w:rightChars="-17"/>
              <w:jc w:val="center"/>
              <w:rPr>
                <w:rFonts w:hint="eastAsia"/>
                <w:szCs w:val="24"/>
              </w:rPr>
            </w:pPr>
            <w:r>
              <w:rPr>
                <w:rFonts w:hint="eastAsia"/>
                <w:szCs w:val="24"/>
              </w:rPr>
              <w:t>商务要求</w:t>
            </w:r>
          </w:p>
        </w:tc>
      </w:tr>
      <w:tr w14:paraId="640D20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821" w:type="dxa"/>
            <w:vAlign w:val="center"/>
          </w:tcPr>
          <w:p w14:paraId="7831BAB8">
            <w:pPr>
              <w:numPr>
                <w:ilvl w:val="0"/>
                <w:numId w:val="0"/>
              </w:numPr>
              <w:tabs>
                <w:tab w:val="left" w:pos="447"/>
              </w:tabs>
              <w:wordWrap w:val="0"/>
              <w:spacing w:line="360" w:lineRule="auto"/>
              <w:ind w:left="240" w:leftChars="0" w:right="-48" w:rightChars="-20"/>
              <w:jc w:val="both"/>
              <w:rPr>
                <w:rFonts w:hint="default"/>
                <w:b w:val="0"/>
                <w:bCs/>
                <w:lang w:val="en-US" w:eastAsia="zh-CN"/>
              </w:rPr>
            </w:pPr>
            <w:r>
              <w:rPr>
                <w:rFonts w:hint="eastAsia"/>
                <w:b w:val="0"/>
                <w:bCs/>
                <w:lang w:val="en-US" w:eastAsia="zh-CN"/>
              </w:rPr>
              <w:t>2.7</w:t>
            </w:r>
          </w:p>
        </w:tc>
        <w:tc>
          <w:tcPr>
            <w:tcW w:w="1099" w:type="dxa"/>
            <w:vAlign w:val="center"/>
          </w:tcPr>
          <w:p w14:paraId="392E12FA">
            <w:pPr>
              <w:spacing w:line="440" w:lineRule="exact"/>
              <w:jc w:val="left"/>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eastAsia="zh-CN" w:bidi="ar"/>
              </w:rPr>
              <w:t>驻场承诺</w:t>
            </w:r>
          </w:p>
        </w:tc>
        <w:tc>
          <w:tcPr>
            <w:tcW w:w="772" w:type="dxa"/>
            <w:vAlign w:val="center"/>
          </w:tcPr>
          <w:p w14:paraId="3F692BE2">
            <w:pPr>
              <w:wordWrap w:val="0"/>
              <w:spacing w:line="360" w:lineRule="auto"/>
              <w:ind w:left="-55" w:leftChars="-23" w:right="-41" w:rightChars="-17"/>
              <w:jc w:val="center"/>
              <w:rPr>
                <w:rFonts w:hint="default"/>
                <w:lang w:val="en-US" w:eastAsia="zh-CN"/>
              </w:rPr>
            </w:pPr>
            <w:r>
              <w:rPr>
                <w:rFonts w:hint="eastAsia"/>
                <w:lang w:val="en-US" w:eastAsia="zh-CN"/>
              </w:rPr>
              <w:t>3</w:t>
            </w:r>
          </w:p>
        </w:tc>
        <w:tc>
          <w:tcPr>
            <w:tcW w:w="5728" w:type="dxa"/>
            <w:vAlign w:val="center"/>
          </w:tcPr>
          <w:p w14:paraId="2D2A4478">
            <w:pPr>
              <w:spacing w:line="440" w:lineRule="exact"/>
              <w:jc w:val="left"/>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eastAsia="zh-CN" w:bidi="ar"/>
              </w:rPr>
              <w:t>中标单位需根据拟派人员派驻相关人员驻场（随县）服务，承诺服务期内项目负责人及项目主要参与人员驻场，并有切实可行的违约处罚承诺的得3分。（提供驻场办公地点产权证明或意向租赁合同）</w:t>
            </w:r>
          </w:p>
        </w:tc>
        <w:tc>
          <w:tcPr>
            <w:tcW w:w="1260" w:type="dxa"/>
            <w:vAlign w:val="center"/>
          </w:tcPr>
          <w:p w14:paraId="17E23E82">
            <w:pPr>
              <w:wordWrap w:val="0"/>
              <w:spacing w:line="360" w:lineRule="auto"/>
              <w:ind w:left="-74" w:leftChars="-31" w:right="-41" w:rightChars="-17"/>
              <w:jc w:val="center"/>
              <w:rPr>
                <w:rFonts w:hint="eastAsia"/>
                <w:szCs w:val="24"/>
              </w:rPr>
            </w:pPr>
            <w:r>
              <w:rPr>
                <w:rFonts w:hint="eastAsia"/>
                <w:szCs w:val="24"/>
              </w:rPr>
              <w:t>商务要求</w:t>
            </w:r>
          </w:p>
        </w:tc>
      </w:tr>
    </w:tbl>
    <w:p w14:paraId="33C563F8">
      <w:pPr>
        <w:pStyle w:val="44"/>
        <w:wordWrap w:val="0"/>
        <w:spacing w:line="360" w:lineRule="auto"/>
        <w:ind w:left="390" w:firstLine="0" w:firstLineChars="0"/>
        <w:rPr>
          <w:b/>
          <w:bCs/>
          <w:sz w:val="28"/>
          <w:szCs w:val="28"/>
        </w:rPr>
      </w:pPr>
    </w:p>
    <w:p w14:paraId="3F6FFE72">
      <w:pPr>
        <w:pStyle w:val="44"/>
        <w:numPr>
          <w:ilvl w:val="0"/>
          <w:numId w:val="44"/>
        </w:numPr>
        <w:spacing w:line="360" w:lineRule="auto"/>
        <w:ind w:left="240" w:hanging="247" w:firstLineChars="0"/>
        <w:rPr>
          <w:b/>
          <w:szCs w:val="24"/>
          <w:lang w:val="zh-CN"/>
        </w:rPr>
      </w:pPr>
      <w:bookmarkStart w:id="409" w:name="_Toc102119888"/>
      <w:bookmarkStart w:id="410" w:name="_Toc102116057"/>
      <w:bookmarkStart w:id="411" w:name="_Toc102056253"/>
      <w:bookmarkStart w:id="412" w:name="_Toc102116187"/>
      <w:bookmarkStart w:id="413" w:name="_Toc102057753"/>
      <w:bookmarkStart w:id="414" w:name="_Toc102114955"/>
      <w:r>
        <w:rPr>
          <w:rFonts w:hint="eastAsia"/>
          <w:b/>
          <w:szCs w:val="24"/>
          <w:lang w:val="zh-CN"/>
        </w:rPr>
        <w:t>技术评分（</w:t>
      </w:r>
      <w:r>
        <w:rPr>
          <w:rFonts w:hint="eastAsia"/>
          <w:b/>
          <w:szCs w:val="24"/>
          <w:lang w:val="en-US" w:eastAsia="zh-CN"/>
        </w:rPr>
        <w:t>45</w:t>
      </w:r>
      <w:r>
        <w:rPr>
          <w:rFonts w:hint="eastAsia"/>
          <w:b/>
          <w:szCs w:val="24"/>
          <w:lang w:val="zh-CN"/>
        </w:rPr>
        <w:t xml:space="preserve"> 分）</w:t>
      </w:r>
      <w:bookmarkEnd w:id="409"/>
      <w:bookmarkEnd w:id="410"/>
      <w:bookmarkEnd w:id="411"/>
      <w:bookmarkEnd w:id="412"/>
      <w:bookmarkEnd w:id="413"/>
      <w:bookmarkEnd w:id="414"/>
    </w:p>
    <w:tbl>
      <w:tblPr>
        <w:tblStyle w:val="30"/>
        <w:tblW w:w="4969"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32"/>
        <w:gridCol w:w="1138"/>
        <w:gridCol w:w="722"/>
        <w:gridCol w:w="5728"/>
        <w:gridCol w:w="1260"/>
      </w:tblGrid>
      <w:tr w14:paraId="761D4A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2" w:hRule="atLeast"/>
          <w:jc w:val="center"/>
        </w:trPr>
        <w:tc>
          <w:tcPr>
            <w:tcW w:w="832" w:type="dxa"/>
            <w:tcBorders>
              <w:top w:val="single" w:color="auto" w:sz="12" w:space="0"/>
              <w:bottom w:val="single" w:color="auto" w:sz="2" w:space="0"/>
            </w:tcBorders>
            <w:shd w:val="pct10" w:color="C3BD96" w:themeColor="background2" w:themeShade="BF" w:fill="DDD9C4" w:themeFill="background2" w:themeFillShade="E6"/>
            <w:vAlign w:val="center"/>
          </w:tcPr>
          <w:p w14:paraId="582D8A5C">
            <w:pPr>
              <w:wordWrap w:val="0"/>
              <w:spacing w:line="360" w:lineRule="auto"/>
              <w:ind w:left="-89" w:leftChars="-37" w:right="-98" w:rightChars="-41"/>
              <w:jc w:val="center"/>
              <w:rPr>
                <w:b/>
                <w:szCs w:val="24"/>
              </w:rPr>
            </w:pPr>
            <w:r>
              <w:rPr>
                <w:rFonts w:hint="eastAsia"/>
                <w:b/>
                <w:szCs w:val="24"/>
              </w:rPr>
              <w:t>序号</w:t>
            </w:r>
          </w:p>
        </w:tc>
        <w:tc>
          <w:tcPr>
            <w:tcW w:w="1138" w:type="dxa"/>
            <w:tcBorders>
              <w:top w:val="single" w:color="auto" w:sz="12" w:space="0"/>
              <w:bottom w:val="single" w:color="auto" w:sz="2" w:space="0"/>
            </w:tcBorders>
            <w:shd w:val="pct10" w:color="C3BD96" w:themeColor="background2" w:themeShade="BF" w:fill="DDD9C4" w:themeFill="background2" w:themeFillShade="E6"/>
            <w:vAlign w:val="center"/>
          </w:tcPr>
          <w:p w14:paraId="27A35E43">
            <w:pPr>
              <w:wordWrap w:val="0"/>
              <w:spacing w:line="360" w:lineRule="auto"/>
              <w:ind w:left="-89" w:leftChars="-37" w:right="-98" w:rightChars="-41"/>
              <w:jc w:val="center"/>
              <w:rPr>
                <w:b/>
                <w:szCs w:val="24"/>
              </w:rPr>
            </w:pPr>
            <w:r>
              <w:rPr>
                <w:rFonts w:hint="eastAsia"/>
                <w:b/>
                <w:szCs w:val="24"/>
              </w:rPr>
              <w:t>评审因素</w:t>
            </w:r>
          </w:p>
        </w:tc>
        <w:tc>
          <w:tcPr>
            <w:tcW w:w="722" w:type="dxa"/>
            <w:tcBorders>
              <w:top w:val="single" w:color="auto" w:sz="12" w:space="0"/>
              <w:bottom w:val="single" w:color="auto" w:sz="2" w:space="0"/>
            </w:tcBorders>
            <w:shd w:val="pct10" w:color="C3BD96" w:themeColor="background2" w:themeShade="BF" w:fill="DDD9C4" w:themeFill="background2" w:themeFillShade="E6"/>
            <w:vAlign w:val="center"/>
          </w:tcPr>
          <w:p w14:paraId="0BBB534A">
            <w:pPr>
              <w:wordWrap w:val="0"/>
              <w:spacing w:line="360" w:lineRule="auto"/>
              <w:ind w:left="-84" w:leftChars="-35" w:right="-91" w:rightChars="-38"/>
              <w:jc w:val="center"/>
              <w:rPr>
                <w:b/>
                <w:szCs w:val="24"/>
              </w:rPr>
            </w:pPr>
            <w:r>
              <w:rPr>
                <w:rFonts w:hint="eastAsia"/>
                <w:b/>
                <w:szCs w:val="24"/>
              </w:rPr>
              <w:t>分值</w:t>
            </w:r>
          </w:p>
        </w:tc>
        <w:tc>
          <w:tcPr>
            <w:tcW w:w="5728" w:type="dxa"/>
            <w:tcBorders>
              <w:top w:val="single" w:color="auto" w:sz="12" w:space="0"/>
              <w:bottom w:val="single" w:color="auto" w:sz="2" w:space="0"/>
            </w:tcBorders>
            <w:shd w:val="pct10" w:color="C3BD96" w:themeColor="background2" w:themeShade="BF" w:fill="DDD9C4" w:themeFill="background2" w:themeFillShade="E6"/>
            <w:vAlign w:val="center"/>
          </w:tcPr>
          <w:p w14:paraId="008D07EC">
            <w:pPr>
              <w:wordWrap w:val="0"/>
              <w:spacing w:line="360" w:lineRule="auto"/>
              <w:ind w:left="-89" w:leftChars="-37" w:right="-98" w:rightChars="-41"/>
              <w:jc w:val="center"/>
              <w:rPr>
                <w:b/>
                <w:szCs w:val="24"/>
              </w:rPr>
            </w:pPr>
            <w:r>
              <w:rPr>
                <w:rFonts w:hint="eastAsia"/>
                <w:b/>
                <w:szCs w:val="24"/>
              </w:rPr>
              <w:t>评分标准</w:t>
            </w:r>
          </w:p>
        </w:tc>
        <w:tc>
          <w:tcPr>
            <w:tcW w:w="1260" w:type="dxa"/>
            <w:tcBorders>
              <w:top w:val="single" w:color="auto" w:sz="12" w:space="0"/>
              <w:bottom w:val="single" w:color="auto" w:sz="2" w:space="0"/>
            </w:tcBorders>
            <w:shd w:val="pct10" w:color="C3BD96" w:themeColor="background2" w:themeShade="BF" w:fill="DDD9C4" w:themeFill="background2" w:themeFillShade="E6"/>
            <w:vAlign w:val="center"/>
          </w:tcPr>
          <w:p w14:paraId="144B81CC">
            <w:pPr>
              <w:wordWrap w:val="0"/>
              <w:spacing w:line="360" w:lineRule="auto"/>
              <w:jc w:val="center"/>
              <w:rPr>
                <w:b/>
                <w:szCs w:val="24"/>
              </w:rPr>
            </w:pPr>
            <w:r>
              <w:rPr>
                <w:rFonts w:hint="eastAsia"/>
                <w:b/>
                <w:szCs w:val="24"/>
              </w:rPr>
              <w:t>因素来源</w:t>
            </w:r>
          </w:p>
        </w:tc>
      </w:tr>
      <w:tr w14:paraId="6463A2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32" w:type="dxa"/>
            <w:tcBorders>
              <w:top w:val="single" w:color="auto" w:sz="2" w:space="0"/>
            </w:tcBorders>
            <w:vAlign w:val="center"/>
          </w:tcPr>
          <w:p w14:paraId="0AA37288">
            <w:pPr>
              <w:numPr>
                <w:ilvl w:val="0"/>
                <w:numId w:val="46"/>
              </w:numPr>
              <w:tabs>
                <w:tab w:val="left" w:pos="447"/>
              </w:tabs>
              <w:wordWrap w:val="0"/>
              <w:spacing w:line="360" w:lineRule="auto"/>
              <w:ind w:left="240" w:leftChars="0" w:right="-48" w:rightChars="-20" w:firstLine="0" w:firstLineChars="0"/>
              <w:jc w:val="center"/>
              <w:rPr>
                <w:b/>
              </w:rPr>
            </w:pPr>
          </w:p>
        </w:tc>
        <w:tc>
          <w:tcPr>
            <w:tcW w:w="1138" w:type="dxa"/>
            <w:tcBorders>
              <w:top w:val="single" w:color="auto" w:sz="2" w:space="0"/>
            </w:tcBorders>
            <w:vAlign w:val="center"/>
          </w:tcPr>
          <w:p w14:paraId="1ACDD529">
            <w:pPr>
              <w:spacing w:line="440" w:lineRule="exact"/>
              <w:jc w:val="left"/>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eastAsia="zh-CN" w:bidi="ar"/>
              </w:rPr>
              <w:t>实施计划</w:t>
            </w:r>
          </w:p>
        </w:tc>
        <w:tc>
          <w:tcPr>
            <w:tcW w:w="722" w:type="dxa"/>
            <w:tcBorders>
              <w:top w:val="single" w:color="auto" w:sz="2" w:space="0"/>
            </w:tcBorders>
            <w:vAlign w:val="center"/>
          </w:tcPr>
          <w:p w14:paraId="01A99C66">
            <w:pPr>
              <w:wordWrap w:val="0"/>
              <w:spacing w:line="360" w:lineRule="auto"/>
              <w:ind w:left="-55" w:leftChars="-23" w:right="-41" w:rightChars="-17"/>
              <w:jc w:val="center"/>
              <w:rPr>
                <w:rFonts w:hint="default" w:eastAsia="宋体"/>
                <w:lang w:val="en-US" w:eastAsia="zh-CN"/>
              </w:rPr>
            </w:pPr>
            <w:r>
              <w:rPr>
                <w:rFonts w:hint="eastAsia"/>
                <w:lang w:val="en-US" w:eastAsia="zh-CN"/>
              </w:rPr>
              <w:t>15</w:t>
            </w:r>
          </w:p>
        </w:tc>
        <w:tc>
          <w:tcPr>
            <w:tcW w:w="5728" w:type="dxa"/>
            <w:tcBorders>
              <w:top w:val="single" w:color="auto" w:sz="2" w:space="0"/>
            </w:tcBorders>
            <w:vAlign w:val="center"/>
          </w:tcPr>
          <w:p w14:paraId="0C5474AC">
            <w:pPr>
              <w:spacing w:line="440" w:lineRule="exact"/>
              <w:jc w:val="left"/>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eastAsia="zh-CN" w:bidi="ar"/>
              </w:rPr>
              <w:t>项目实施计划：项目实施计划科学、合理、完整、可操作性强的，计划科学、合理、针对性强的得15分，合理、可行得10分，欠合理的得5分。不提供不得分。</w:t>
            </w:r>
          </w:p>
        </w:tc>
        <w:tc>
          <w:tcPr>
            <w:tcW w:w="1260" w:type="dxa"/>
            <w:tcBorders>
              <w:top w:val="single" w:color="auto" w:sz="2" w:space="0"/>
            </w:tcBorders>
            <w:vAlign w:val="center"/>
          </w:tcPr>
          <w:p w14:paraId="184E9328">
            <w:pPr>
              <w:wordWrap w:val="0"/>
              <w:spacing w:line="360" w:lineRule="auto"/>
              <w:ind w:left="-74" w:leftChars="-31" w:right="-41" w:rightChars="-17"/>
              <w:jc w:val="center"/>
              <w:rPr>
                <w:szCs w:val="24"/>
              </w:rPr>
            </w:pPr>
            <w:r>
              <w:rPr>
                <w:rFonts w:hint="eastAsia"/>
                <w:szCs w:val="24"/>
              </w:rPr>
              <w:t>技术要求</w:t>
            </w:r>
          </w:p>
        </w:tc>
      </w:tr>
      <w:tr w14:paraId="680FB1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32" w:type="dxa"/>
            <w:vAlign w:val="center"/>
          </w:tcPr>
          <w:p w14:paraId="5B77C4E7">
            <w:pPr>
              <w:numPr>
                <w:ilvl w:val="0"/>
                <w:numId w:val="46"/>
              </w:numPr>
              <w:tabs>
                <w:tab w:val="left" w:pos="447"/>
              </w:tabs>
              <w:wordWrap w:val="0"/>
              <w:spacing w:line="360" w:lineRule="auto"/>
              <w:ind w:left="240" w:leftChars="0" w:right="-48" w:rightChars="-20" w:firstLine="0" w:firstLineChars="0"/>
              <w:jc w:val="center"/>
              <w:rPr>
                <w:b/>
              </w:rPr>
            </w:pPr>
          </w:p>
        </w:tc>
        <w:tc>
          <w:tcPr>
            <w:tcW w:w="1138" w:type="dxa"/>
            <w:vAlign w:val="center"/>
          </w:tcPr>
          <w:p w14:paraId="68AFC7F4">
            <w:pPr>
              <w:spacing w:line="440" w:lineRule="exact"/>
              <w:jc w:val="left"/>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eastAsia="zh-CN" w:bidi="ar"/>
              </w:rPr>
              <w:t>评估质量控制方案</w:t>
            </w:r>
          </w:p>
          <w:p w14:paraId="4E5A54E5">
            <w:pPr>
              <w:spacing w:line="440" w:lineRule="exact"/>
              <w:jc w:val="left"/>
              <w:rPr>
                <w:rFonts w:hint="eastAsia" w:ascii="宋体" w:hAnsi="宋体" w:eastAsia="宋体" w:cs="宋体"/>
                <w:color w:val="auto"/>
                <w:kern w:val="0"/>
                <w:sz w:val="20"/>
                <w:szCs w:val="20"/>
                <w:lang w:eastAsia="zh-CN" w:bidi="ar"/>
              </w:rPr>
            </w:pPr>
          </w:p>
        </w:tc>
        <w:tc>
          <w:tcPr>
            <w:tcW w:w="722" w:type="dxa"/>
            <w:vAlign w:val="center"/>
          </w:tcPr>
          <w:p w14:paraId="300EB547">
            <w:pPr>
              <w:wordWrap w:val="0"/>
              <w:spacing w:line="360" w:lineRule="auto"/>
              <w:ind w:left="-55" w:leftChars="-23" w:right="-41" w:rightChars="-17"/>
              <w:jc w:val="center"/>
              <w:rPr>
                <w:rFonts w:hint="default" w:eastAsia="宋体"/>
                <w:lang w:val="en-US" w:eastAsia="zh-CN"/>
              </w:rPr>
            </w:pPr>
            <w:r>
              <w:rPr>
                <w:rFonts w:hint="eastAsia"/>
                <w:lang w:val="en-US" w:eastAsia="zh-CN"/>
              </w:rPr>
              <w:t>15</w:t>
            </w:r>
          </w:p>
        </w:tc>
        <w:tc>
          <w:tcPr>
            <w:tcW w:w="5728" w:type="dxa"/>
            <w:vAlign w:val="center"/>
          </w:tcPr>
          <w:p w14:paraId="607C025F">
            <w:pPr>
              <w:spacing w:line="440" w:lineRule="exact"/>
              <w:jc w:val="left"/>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eastAsia="zh-CN" w:bidi="ar"/>
              </w:rPr>
              <w:t>对项目实施过程中各个重要工作节点的把握是否准确，项目质量及进度保障措施，方案科学、合理、针对性强的得15分，合理、可行得10分，欠合理的得5分。不提供不得分。</w:t>
            </w:r>
          </w:p>
        </w:tc>
        <w:tc>
          <w:tcPr>
            <w:tcW w:w="1260" w:type="dxa"/>
            <w:vAlign w:val="center"/>
          </w:tcPr>
          <w:p w14:paraId="5E90D1CF">
            <w:pPr>
              <w:wordWrap w:val="0"/>
              <w:spacing w:line="360" w:lineRule="auto"/>
              <w:ind w:left="-74" w:leftChars="-31" w:right="-41" w:rightChars="-17"/>
              <w:jc w:val="center"/>
              <w:rPr>
                <w:szCs w:val="24"/>
              </w:rPr>
            </w:pPr>
            <w:r>
              <w:rPr>
                <w:rFonts w:hint="eastAsia"/>
                <w:szCs w:val="24"/>
              </w:rPr>
              <w:t>技术要求</w:t>
            </w:r>
          </w:p>
        </w:tc>
      </w:tr>
      <w:tr w14:paraId="3BAE79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32" w:type="dxa"/>
            <w:vAlign w:val="center"/>
          </w:tcPr>
          <w:p w14:paraId="232879DF">
            <w:pPr>
              <w:tabs>
                <w:tab w:val="left" w:pos="447"/>
              </w:tabs>
              <w:wordWrap w:val="0"/>
              <w:spacing w:line="360" w:lineRule="auto"/>
              <w:ind w:left="-42" w:right="-48" w:rightChars="-20"/>
              <w:jc w:val="right"/>
              <w:rPr>
                <w:rFonts w:hint="default" w:eastAsia="宋体"/>
                <w:b/>
                <w:szCs w:val="24"/>
                <w:lang w:val="en-US" w:eastAsia="zh-CN"/>
              </w:rPr>
            </w:pPr>
            <w:r>
              <w:rPr>
                <w:rFonts w:hint="eastAsia"/>
                <w:b w:val="0"/>
                <w:bCs/>
                <w:szCs w:val="24"/>
                <w:lang w:val="en-US" w:eastAsia="zh-CN"/>
              </w:rPr>
              <w:t>3.3</w:t>
            </w:r>
          </w:p>
        </w:tc>
        <w:tc>
          <w:tcPr>
            <w:tcW w:w="1138" w:type="dxa"/>
            <w:vAlign w:val="center"/>
          </w:tcPr>
          <w:p w14:paraId="5EC7D9E5">
            <w:pPr>
              <w:spacing w:line="440" w:lineRule="exact"/>
              <w:jc w:val="left"/>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eastAsia="zh-CN" w:bidi="ar"/>
              </w:rPr>
              <w:t>评估风险控制方案</w:t>
            </w:r>
          </w:p>
        </w:tc>
        <w:tc>
          <w:tcPr>
            <w:tcW w:w="722" w:type="dxa"/>
            <w:vAlign w:val="center"/>
          </w:tcPr>
          <w:p w14:paraId="0FCD87F3">
            <w:pPr>
              <w:wordWrap w:val="0"/>
              <w:spacing w:line="360" w:lineRule="auto"/>
              <w:ind w:left="-55" w:leftChars="-23" w:right="-41" w:rightChars="-17"/>
              <w:jc w:val="center"/>
              <w:rPr>
                <w:rFonts w:hint="default" w:eastAsia="宋体"/>
                <w:i/>
                <w:lang w:val="en-US" w:eastAsia="zh-CN"/>
              </w:rPr>
            </w:pPr>
            <w:r>
              <w:rPr>
                <w:rFonts w:hint="eastAsia"/>
                <w:i w:val="0"/>
                <w:iCs/>
                <w:lang w:val="en-US" w:eastAsia="zh-CN"/>
              </w:rPr>
              <w:t>15</w:t>
            </w:r>
          </w:p>
        </w:tc>
        <w:tc>
          <w:tcPr>
            <w:tcW w:w="5728" w:type="dxa"/>
            <w:vAlign w:val="center"/>
          </w:tcPr>
          <w:p w14:paraId="69D575AC">
            <w:pPr>
              <w:spacing w:line="440" w:lineRule="exact"/>
              <w:jc w:val="left"/>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eastAsia="zh-CN" w:bidi="ar"/>
              </w:rPr>
              <w:t>根据投标人项目咨询活动的风险控制措施及风险控制方案的科学性、合理性、可行性、针对性等方面进行评审：方案科学、合理、针对性强的得15分，合理、可行得10分，欠合理的得5分。不提供不得分。</w:t>
            </w:r>
          </w:p>
        </w:tc>
        <w:tc>
          <w:tcPr>
            <w:tcW w:w="1260" w:type="dxa"/>
            <w:vAlign w:val="center"/>
          </w:tcPr>
          <w:p w14:paraId="3F66B64F">
            <w:pPr>
              <w:wordWrap w:val="0"/>
              <w:spacing w:line="360" w:lineRule="auto"/>
              <w:ind w:left="-74" w:leftChars="-31" w:right="-41" w:rightChars="-17"/>
              <w:jc w:val="center"/>
              <w:rPr>
                <w:i/>
                <w:szCs w:val="24"/>
              </w:rPr>
            </w:pPr>
            <w:r>
              <w:rPr>
                <w:rFonts w:hint="eastAsia"/>
                <w:szCs w:val="24"/>
              </w:rPr>
              <w:t>技术要求</w:t>
            </w:r>
          </w:p>
        </w:tc>
      </w:tr>
    </w:tbl>
    <w:p w14:paraId="1B73A2F9">
      <w:pPr>
        <w:pStyle w:val="44"/>
        <w:spacing w:line="360" w:lineRule="auto"/>
        <w:ind w:left="284" w:firstLine="0" w:firstLineChars="0"/>
        <w:rPr>
          <w:b/>
          <w:szCs w:val="24"/>
          <w:lang w:val="zh-CN"/>
        </w:rPr>
      </w:pPr>
      <w:bookmarkStart w:id="415" w:name="_Toc102119889"/>
      <w:bookmarkStart w:id="416" w:name="_Toc102116058"/>
      <w:bookmarkStart w:id="417" w:name="_Toc102056254"/>
      <w:bookmarkStart w:id="418" w:name="_Toc102116188"/>
      <w:bookmarkStart w:id="419" w:name="_Toc102114956"/>
      <w:bookmarkStart w:id="420" w:name="_Toc102057754"/>
    </w:p>
    <w:p w14:paraId="02746793">
      <w:pPr>
        <w:pStyle w:val="44"/>
        <w:numPr>
          <w:ilvl w:val="0"/>
          <w:numId w:val="44"/>
        </w:numPr>
        <w:spacing w:line="360" w:lineRule="auto"/>
        <w:ind w:left="240" w:hanging="247" w:firstLineChars="0"/>
        <w:rPr>
          <w:b/>
          <w:szCs w:val="24"/>
          <w:lang w:val="zh-CN"/>
        </w:rPr>
      </w:pPr>
      <w:r>
        <w:rPr>
          <w:rFonts w:hint="eastAsia"/>
          <w:b/>
          <w:szCs w:val="24"/>
          <w:lang w:val="zh-CN"/>
        </w:rPr>
        <w:t>报价评分（</w:t>
      </w:r>
      <w:r>
        <w:rPr>
          <w:rFonts w:hint="eastAsia"/>
          <w:b/>
          <w:szCs w:val="24"/>
          <w:lang w:val="en-US" w:eastAsia="zh-CN"/>
        </w:rPr>
        <w:t>10</w:t>
      </w:r>
      <w:r>
        <w:rPr>
          <w:rFonts w:hint="eastAsia"/>
          <w:b/>
          <w:szCs w:val="24"/>
          <w:lang w:val="zh-CN"/>
        </w:rPr>
        <w:t xml:space="preserve"> 分</w:t>
      </w:r>
      <w:bookmarkEnd w:id="415"/>
      <w:bookmarkEnd w:id="416"/>
      <w:bookmarkEnd w:id="417"/>
      <w:bookmarkEnd w:id="418"/>
      <w:bookmarkEnd w:id="419"/>
      <w:bookmarkEnd w:id="420"/>
      <w:r>
        <w:rPr>
          <w:rFonts w:hint="eastAsia"/>
          <w:b/>
          <w:szCs w:val="24"/>
          <w:lang w:val="zh-CN"/>
        </w:rPr>
        <w:t>）</w:t>
      </w:r>
    </w:p>
    <w:tbl>
      <w:tblPr>
        <w:tblStyle w:val="30"/>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5"/>
        <w:gridCol w:w="1150"/>
        <w:gridCol w:w="643"/>
        <w:gridCol w:w="7152"/>
      </w:tblGrid>
      <w:tr w14:paraId="2AC791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0" w:hRule="exact"/>
          <w:tblHeader/>
          <w:jc w:val="center"/>
        </w:trPr>
        <w:tc>
          <w:tcPr>
            <w:tcW w:w="796" w:type="dxa"/>
            <w:tcBorders>
              <w:top w:val="single" w:color="auto" w:sz="12" w:space="0"/>
              <w:bottom w:val="single" w:color="auto" w:sz="2" w:space="0"/>
            </w:tcBorders>
            <w:shd w:val="pct10" w:color="C3BD96" w:themeColor="background2" w:themeShade="BF" w:fill="DDD9C4" w:themeFill="background2" w:themeFillShade="E6"/>
            <w:vAlign w:val="center"/>
          </w:tcPr>
          <w:p w14:paraId="40FCFDFE">
            <w:pPr>
              <w:wordWrap w:val="0"/>
              <w:spacing w:line="360" w:lineRule="auto"/>
              <w:ind w:left="-89" w:leftChars="-37" w:right="-98" w:rightChars="-41"/>
              <w:jc w:val="center"/>
              <w:rPr>
                <w:rFonts w:cs="Courier New"/>
                <w:b/>
                <w:bCs/>
                <w:szCs w:val="24"/>
              </w:rPr>
            </w:pPr>
            <w:r>
              <w:rPr>
                <w:rFonts w:hint="eastAsia"/>
                <w:b/>
                <w:szCs w:val="24"/>
              </w:rPr>
              <w:t>序号</w:t>
            </w:r>
          </w:p>
        </w:tc>
        <w:tc>
          <w:tcPr>
            <w:tcW w:w="1155" w:type="dxa"/>
            <w:tcBorders>
              <w:top w:val="single" w:color="auto" w:sz="12" w:space="0"/>
              <w:bottom w:val="single" w:color="auto" w:sz="2" w:space="0"/>
            </w:tcBorders>
            <w:shd w:val="pct10" w:color="C3BD96" w:themeColor="background2" w:themeShade="BF" w:fill="DDD9C4" w:themeFill="background2" w:themeFillShade="E6"/>
            <w:vAlign w:val="center"/>
          </w:tcPr>
          <w:p w14:paraId="7826C761">
            <w:pPr>
              <w:wordWrap w:val="0"/>
              <w:spacing w:line="360" w:lineRule="auto"/>
              <w:ind w:left="-89" w:leftChars="-37" w:right="-98" w:rightChars="-41"/>
              <w:jc w:val="center"/>
              <w:rPr>
                <w:rFonts w:cs="Courier New"/>
                <w:b/>
                <w:bCs/>
                <w:szCs w:val="24"/>
              </w:rPr>
            </w:pPr>
            <w:r>
              <w:rPr>
                <w:rFonts w:hint="eastAsia"/>
                <w:b/>
                <w:szCs w:val="24"/>
              </w:rPr>
              <w:t>评审因素</w:t>
            </w:r>
          </w:p>
        </w:tc>
        <w:tc>
          <w:tcPr>
            <w:tcW w:w="642" w:type="dxa"/>
            <w:tcBorders>
              <w:top w:val="single" w:color="auto" w:sz="12" w:space="0"/>
              <w:bottom w:val="single" w:color="auto" w:sz="2" w:space="0"/>
            </w:tcBorders>
            <w:shd w:val="pct10" w:color="C3BD96" w:themeColor="background2" w:themeShade="BF" w:fill="DDD9C4" w:themeFill="background2" w:themeFillShade="E6"/>
            <w:vAlign w:val="center"/>
          </w:tcPr>
          <w:p w14:paraId="1CE0D78D">
            <w:pPr>
              <w:wordWrap w:val="0"/>
              <w:spacing w:line="360" w:lineRule="auto"/>
              <w:ind w:left="-84" w:leftChars="-35" w:right="-91" w:rightChars="-38"/>
              <w:jc w:val="center"/>
              <w:rPr>
                <w:rFonts w:cs="Courier New"/>
                <w:b/>
                <w:bCs/>
                <w:szCs w:val="24"/>
              </w:rPr>
            </w:pPr>
            <w:r>
              <w:rPr>
                <w:rFonts w:cs="Courier New"/>
                <w:b/>
                <w:bCs/>
                <w:szCs w:val="24"/>
              </w:rPr>
              <w:t>分值</w:t>
            </w:r>
          </w:p>
        </w:tc>
        <w:tc>
          <w:tcPr>
            <w:tcW w:w="7229" w:type="dxa"/>
            <w:tcBorders>
              <w:top w:val="single" w:color="auto" w:sz="12" w:space="0"/>
              <w:bottom w:val="single" w:color="auto" w:sz="2" w:space="0"/>
            </w:tcBorders>
            <w:shd w:val="pct10" w:color="C3BD96" w:themeColor="background2" w:themeShade="BF" w:fill="DDD9C4" w:themeFill="background2" w:themeFillShade="E6"/>
            <w:vAlign w:val="center"/>
          </w:tcPr>
          <w:p w14:paraId="30AA7C58">
            <w:pPr>
              <w:wordWrap w:val="0"/>
              <w:spacing w:line="360" w:lineRule="auto"/>
              <w:jc w:val="center"/>
              <w:rPr>
                <w:rFonts w:cs="Courier New"/>
                <w:b/>
                <w:bCs/>
                <w:szCs w:val="24"/>
              </w:rPr>
            </w:pPr>
            <w:r>
              <w:rPr>
                <w:rFonts w:hint="eastAsia" w:cs="Courier New"/>
                <w:b/>
                <w:bCs/>
                <w:szCs w:val="24"/>
              </w:rPr>
              <w:t>评分标准</w:t>
            </w:r>
          </w:p>
        </w:tc>
      </w:tr>
      <w:tr w14:paraId="73DFFE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9" w:hRule="atLeast"/>
          <w:jc w:val="center"/>
        </w:trPr>
        <w:tc>
          <w:tcPr>
            <w:tcW w:w="796" w:type="dxa"/>
            <w:tcBorders>
              <w:top w:val="single" w:color="auto" w:sz="2" w:space="0"/>
            </w:tcBorders>
            <w:vAlign w:val="center"/>
          </w:tcPr>
          <w:p w14:paraId="4DA4BEE5">
            <w:pPr>
              <w:numPr>
                <w:ilvl w:val="0"/>
                <w:numId w:val="47"/>
              </w:numPr>
              <w:tabs>
                <w:tab w:val="left" w:pos="447"/>
              </w:tabs>
              <w:wordWrap w:val="0"/>
              <w:spacing w:line="360" w:lineRule="auto"/>
              <w:ind w:left="-40" w:right="-48" w:rightChars="-20" w:firstLine="0"/>
              <w:jc w:val="center"/>
              <w:rPr>
                <w:b/>
                <w:bCs/>
                <w:szCs w:val="24"/>
              </w:rPr>
            </w:pPr>
          </w:p>
        </w:tc>
        <w:tc>
          <w:tcPr>
            <w:tcW w:w="1155" w:type="dxa"/>
            <w:tcBorders>
              <w:top w:val="single" w:color="auto" w:sz="2" w:space="0"/>
            </w:tcBorders>
            <w:vAlign w:val="center"/>
          </w:tcPr>
          <w:p w14:paraId="6D2B766F">
            <w:pPr>
              <w:wordWrap w:val="0"/>
              <w:spacing w:line="360" w:lineRule="auto"/>
              <w:ind w:left="-89" w:leftChars="-37" w:right="-98" w:rightChars="-41"/>
              <w:jc w:val="center"/>
              <w:rPr>
                <w:bCs/>
                <w:szCs w:val="24"/>
              </w:rPr>
            </w:pPr>
            <w:r>
              <w:rPr>
                <w:rFonts w:hint="eastAsia"/>
                <w:bCs/>
                <w:szCs w:val="24"/>
              </w:rPr>
              <w:t>价格评审</w:t>
            </w:r>
          </w:p>
        </w:tc>
        <w:tc>
          <w:tcPr>
            <w:tcW w:w="642" w:type="dxa"/>
            <w:tcBorders>
              <w:top w:val="single" w:color="auto" w:sz="2" w:space="0"/>
            </w:tcBorders>
            <w:vAlign w:val="center"/>
          </w:tcPr>
          <w:p w14:paraId="16C3F8F8">
            <w:pPr>
              <w:wordWrap w:val="0"/>
              <w:spacing w:line="360" w:lineRule="auto"/>
              <w:jc w:val="center"/>
              <w:rPr>
                <w:rFonts w:hint="default" w:eastAsia="宋体"/>
                <w:szCs w:val="24"/>
                <w:lang w:val="en-US" w:eastAsia="zh-CN"/>
              </w:rPr>
            </w:pPr>
            <w:r>
              <w:rPr>
                <w:rFonts w:hint="eastAsia"/>
                <w:szCs w:val="24"/>
                <w:lang w:val="en-US" w:eastAsia="zh-CN"/>
              </w:rPr>
              <w:t>10</w:t>
            </w:r>
          </w:p>
        </w:tc>
        <w:tc>
          <w:tcPr>
            <w:tcW w:w="7229" w:type="dxa"/>
            <w:tcBorders>
              <w:top w:val="single" w:color="auto" w:sz="2" w:space="0"/>
            </w:tcBorders>
            <w:vAlign w:val="center"/>
          </w:tcPr>
          <w:p w14:paraId="544FC281">
            <w:pPr>
              <w:wordWrap w:val="0"/>
              <w:adjustRightInd w:val="0"/>
              <w:snapToGrid w:val="0"/>
              <w:spacing w:line="360" w:lineRule="auto"/>
              <w:rPr>
                <w:szCs w:val="24"/>
              </w:rPr>
            </w:pPr>
            <w:r>
              <w:rPr>
                <w:rFonts w:hint="eastAsia"/>
                <w:szCs w:val="24"/>
              </w:rPr>
              <w:t>报价分采用低价优先法计算，即满足招标文件要求且投标报价</w:t>
            </w:r>
            <w:r>
              <w:rPr>
                <w:rFonts w:hint="eastAsia"/>
                <w:b/>
                <w:szCs w:val="24"/>
              </w:rPr>
              <w:t>（因落实政府采购政策进行价格扣除的，以扣除后的价格计算）</w:t>
            </w:r>
            <w:r>
              <w:rPr>
                <w:rFonts w:hint="eastAsia"/>
                <w:szCs w:val="24"/>
              </w:rPr>
              <w:t>最低的报价为评标基准价，其报价得分为满分。其他投标人的报价分值按照下列公式计算：报价得分=(评标基准价／投标报价)×</w:t>
            </w:r>
            <w:r>
              <w:rPr>
                <w:rFonts w:hint="eastAsia"/>
                <w:b/>
                <w:szCs w:val="24"/>
                <w:lang w:val="en-US" w:eastAsia="zh-CN"/>
              </w:rPr>
              <w:t>10</w:t>
            </w:r>
            <w:r>
              <w:rPr>
                <w:rFonts w:hint="eastAsia"/>
                <w:b/>
                <w:szCs w:val="24"/>
              </w:rPr>
              <w:t>分</w:t>
            </w:r>
          </w:p>
        </w:tc>
      </w:tr>
    </w:tbl>
    <w:p w14:paraId="5551DBCC">
      <w:pPr>
        <w:pStyle w:val="44"/>
        <w:wordWrap w:val="0"/>
        <w:spacing w:line="360" w:lineRule="auto"/>
        <w:ind w:left="390" w:firstLine="0" w:firstLineChars="0"/>
        <w:rPr>
          <w:sz w:val="36"/>
          <w:szCs w:val="36"/>
        </w:rPr>
      </w:pPr>
    </w:p>
    <w:p w14:paraId="623D648A">
      <w:pPr>
        <w:widowControl/>
        <w:jc w:val="left"/>
        <w:rPr>
          <w:b/>
          <w:bCs/>
          <w:kern w:val="44"/>
          <w:sz w:val="36"/>
          <w:szCs w:val="36"/>
        </w:rPr>
      </w:pPr>
      <w:r>
        <w:rPr>
          <w:sz w:val="36"/>
          <w:szCs w:val="36"/>
        </w:rPr>
        <w:br w:type="page"/>
      </w:r>
    </w:p>
    <w:p w14:paraId="5D240723">
      <w:pPr>
        <w:pStyle w:val="3"/>
        <w:numPr>
          <w:ilvl w:val="0"/>
          <w:numId w:val="1"/>
        </w:numPr>
        <w:tabs>
          <w:tab w:val="left" w:pos="1276"/>
        </w:tabs>
        <w:wordWrap w:val="0"/>
        <w:spacing w:before="120" w:after="120" w:line="360" w:lineRule="auto"/>
        <w:ind w:left="723" w:hanging="723" w:hangingChars="200"/>
        <w:jc w:val="center"/>
        <w:rPr>
          <w:sz w:val="36"/>
          <w:szCs w:val="36"/>
        </w:rPr>
      </w:pPr>
      <w:bookmarkStart w:id="421" w:name="_Toc122527544"/>
      <w:r>
        <w:rPr>
          <w:rFonts w:hint="eastAsia"/>
          <w:sz w:val="36"/>
          <w:szCs w:val="36"/>
        </w:rPr>
        <w:t>合同文本格式（参考）</w:t>
      </w:r>
      <w:bookmarkEnd w:id="400"/>
      <w:bookmarkEnd w:id="401"/>
      <w:bookmarkEnd w:id="402"/>
      <w:bookmarkEnd w:id="403"/>
      <w:bookmarkEnd w:id="404"/>
      <w:bookmarkEnd w:id="405"/>
      <w:bookmarkEnd w:id="406"/>
      <w:bookmarkEnd w:id="407"/>
      <w:bookmarkEnd w:id="408"/>
      <w:bookmarkEnd w:id="421"/>
    </w:p>
    <w:p w14:paraId="5BAAB1A9">
      <w:pPr>
        <w:wordWrap w:val="0"/>
        <w:spacing w:line="360" w:lineRule="auto"/>
        <w:jc w:val="center"/>
        <w:rPr>
          <w:bCs/>
          <w:sz w:val="36"/>
          <w:szCs w:val="36"/>
        </w:rPr>
      </w:pPr>
      <w:r>
        <w:rPr>
          <w:rFonts w:hint="eastAsia"/>
        </w:rPr>
        <w:t>（</w:t>
      </w:r>
      <w:r>
        <w:rPr>
          <w:rFonts w:hint="eastAsia"/>
          <w:szCs w:val="24"/>
        </w:rPr>
        <w:t>此合同书仅作为签订正式合同时的参考，正式合同书应包括本参考格式的内容）</w:t>
      </w:r>
    </w:p>
    <w:p w14:paraId="61D06B04">
      <w:pPr>
        <w:wordWrap w:val="0"/>
        <w:spacing w:line="360" w:lineRule="auto"/>
        <w:jc w:val="left"/>
        <w:rPr>
          <w:bCs/>
          <w:sz w:val="28"/>
          <w:szCs w:val="28"/>
        </w:rPr>
      </w:pPr>
      <w:r>
        <w:rPr>
          <w:rFonts w:hint="eastAsia" w:cs="Helvetica"/>
          <w:bCs/>
          <w:szCs w:val="24"/>
          <w:lang w:val="zh-CN"/>
        </w:rPr>
        <w:t>合同编号：</w:t>
      </w:r>
      <w:r>
        <w:rPr>
          <w:rFonts w:hint="eastAsia" w:cs="Helvetica"/>
          <w:bCs/>
          <w:szCs w:val="24"/>
          <w:u w:val="single"/>
        </w:rPr>
        <w:t xml:space="preserve">              </w:t>
      </w:r>
    </w:p>
    <w:p w14:paraId="471057C0">
      <w:pPr>
        <w:wordWrap w:val="0"/>
        <w:spacing w:line="360" w:lineRule="auto"/>
        <w:jc w:val="center"/>
        <w:rPr>
          <w:bCs/>
          <w:sz w:val="36"/>
          <w:szCs w:val="36"/>
        </w:rPr>
      </w:pPr>
    </w:p>
    <w:p w14:paraId="54C2AE1E">
      <w:pPr>
        <w:wordWrap w:val="0"/>
        <w:spacing w:line="360" w:lineRule="auto"/>
        <w:jc w:val="center"/>
        <w:rPr>
          <w:bCs/>
          <w:sz w:val="36"/>
          <w:szCs w:val="36"/>
        </w:rPr>
      </w:pPr>
    </w:p>
    <w:p w14:paraId="631098A3">
      <w:pPr>
        <w:wordWrap w:val="0"/>
        <w:spacing w:line="360" w:lineRule="auto"/>
        <w:jc w:val="center"/>
        <w:rPr>
          <w:b/>
          <w:bCs/>
          <w:sz w:val="72"/>
          <w:szCs w:val="72"/>
        </w:rPr>
      </w:pPr>
      <w:r>
        <w:rPr>
          <w:rFonts w:hint="eastAsia"/>
          <w:b/>
          <w:bCs/>
          <w:sz w:val="72"/>
          <w:szCs w:val="72"/>
        </w:rPr>
        <w:t>合   同   书</w:t>
      </w:r>
    </w:p>
    <w:p w14:paraId="133D8C03">
      <w:pPr>
        <w:wordWrap w:val="0"/>
        <w:spacing w:line="360" w:lineRule="auto"/>
        <w:jc w:val="center"/>
        <w:rPr>
          <w:bCs/>
          <w:sz w:val="10"/>
          <w:szCs w:val="10"/>
        </w:rPr>
      </w:pPr>
    </w:p>
    <w:p w14:paraId="60C55330">
      <w:pPr>
        <w:wordWrap w:val="0"/>
        <w:spacing w:line="360" w:lineRule="auto"/>
      </w:pPr>
    </w:p>
    <w:p w14:paraId="07A07EDF">
      <w:pPr>
        <w:wordWrap w:val="0"/>
        <w:spacing w:line="360" w:lineRule="auto"/>
      </w:pPr>
    </w:p>
    <w:p w14:paraId="67BD9D40">
      <w:pPr>
        <w:wordWrap w:val="0"/>
        <w:spacing w:line="360" w:lineRule="auto"/>
        <w:rPr>
          <w:sz w:val="28"/>
          <w:szCs w:val="28"/>
        </w:rPr>
      </w:pPr>
    </w:p>
    <w:p w14:paraId="6D68DA4F">
      <w:pPr>
        <w:wordWrap w:val="0"/>
        <w:spacing w:before="78" w:beforeLines="25" w:line="360" w:lineRule="auto"/>
        <w:ind w:firstLine="1124" w:firstLineChars="400"/>
        <w:rPr>
          <w:rFonts w:cs="Helvetica"/>
          <w:sz w:val="28"/>
          <w:szCs w:val="28"/>
          <w:u w:val="single"/>
          <w:lang w:val="zh-CN"/>
        </w:rPr>
      </w:pPr>
      <w:r>
        <w:rPr>
          <w:rFonts w:hint="eastAsia" w:cs="Helvetica"/>
          <w:b/>
          <w:sz w:val="28"/>
          <w:szCs w:val="28"/>
          <w:lang w:val="zh-CN"/>
        </w:rPr>
        <w:t>项目名称：</w:t>
      </w:r>
      <w:r>
        <w:rPr>
          <w:rFonts w:hint="eastAsia" w:cs="Helvetica"/>
          <w:sz w:val="28"/>
          <w:szCs w:val="28"/>
          <w:u w:val="single"/>
          <w:lang w:val="zh-CN"/>
        </w:rPr>
        <w:t xml:space="preserve">                                             </w:t>
      </w:r>
    </w:p>
    <w:p w14:paraId="2629C447">
      <w:pPr>
        <w:wordWrap w:val="0"/>
        <w:spacing w:before="78" w:beforeLines="25" w:line="360" w:lineRule="auto"/>
        <w:rPr>
          <w:rFonts w:cs="Helvetica"/>
          <w:b/>
          <w:sz w:val="28"/>
          <w:szCs w:val="28"/>
          <w:lang w:val="zh-CN"/>
        </w:rPr>
      </w:pPr>
    </w:p>
    <w:p w14:paraId="2D7527BA">
      <w:pPr>
        <w:wordWrap w:val="0"/>
        <w:spacing w:before="78" w:beforeLines="25" w:line="360" w:lineRule="auto"/>
        <w:rPr>
          <w:rFonts w:cs="Helvetica"/>
          <w:b/>
          <w:sz w:val="28"/>
          <w:szCs w:val="28"/>
          <w:lang w:val="zh-CN"/>
        </w:rPr>
      </w:pPr>
    </w:p>
    <w:p w14:paraId="73AAD46B">
      <w:pPr>
        <w:wordWrap w:val="0"/>
        <w:spacing w:before="78" w:beforeLines="25" w:line="360" w:lineRule="auto"/>
        <w:ind w:firstLine="1124" w:firstLineChars="400"/>
        <w:rPr>
          <w:rFonts w:cs="Helvetica"/>
          <w:bCs/>
          <w:sz w:val="28"/>
          <w:szCs w:val="28"/>
          <w:u w:val="single"/>
          <w:lang w:val="zh-CN"/>
        </w:rPr>
      </w:pPr>
      <w:r>
        <w:rPr>
          <w:rFonts w:hint="eastAsia" w:cs="Helvetica"/>
          <w:b/>
          <w:sz w:val="28"/>
          <w:szCs w:val="28"/>
          <w:lang w:val="zh-CN"/>
        </w:rPr>
        <w:t>甲方（采购人）：</w:t>
      </w:r>
      <w:r>
        <w:rPr>
          <w:rFonts w:hint="eastAsia"/>
          <w:bCs/>
          <w:sz w:val="28"/>
          <w:szCs w:val="28"/>
          <w:u w:val="single"/>
        </w:rPr>
        <w:t xml:space="preserve">                                  </w:t>
      </w:r>
      <w:r>
        <w:rPr>
          <w:rFonts w:hint="eastAsia" w:cs="Helvetica"/>
          <w:bCs/>
          <w:sz w:val="28"/>
          <w:szCs w:val="28"/>
          <w:u w:val="single"/>
          <w:lang w:val="zh-CN"/>
        </w:rPr>
        <w:t xml:space="preserve">    </w:t>
      </w:r>
    </w:p>
    <w:p w14:paraId="6968710E">
      <w:pPr>
        <w:wordWrap w:val="0"/>
        <w:spacing w:before="78" w:beforeLines="25" w:line="360" w:lineRule="auto"/>
        <w:rPr>
          <w:rFonts w:cs="Helvetica"/>
          <w:b/>
          <w:sz w:val="28"/>
          <w:szCs w:val="28"/>
          <w:lang w:val="zh-CN"/>
        </w:rPr>
      </w:pPr>
    </w:p>
    <w:p w14:paraId="7752D0CB">
      <w:pPr>
        <w:wordWrap w:val="0"/>
        <w:spacing w:before="78" w:beforeLines="25" w:line="360" w:lineRule="auto"/>
        <w:ind w:firstLine="1124" w:firstLineChars="400"/>
        <w:rPr>
          <w:b/>
          <w:sz w:val="28"/>
          <w:szCs w:val="28"/>
          <w:u w:val="single"/>
        </w:rPr>
      </w:pPr>
      <w:r>
        <w:rPr>
          <w:rFonts w:hint="eastAsia" w:cs="Helvetica"/>
          <w:b/>
          <w:sz w:val="28"/>
          <w:szCs w:val="28"/>
          <w:lang w:val="zh-CN"/>
        </w:rPr>
        <w:t>乙方（成交供应商）：</w:t>
      </w:r>
      <w:r>
        <w:rPr>
          <w:rFonts w:hint="eastAsia"/>
          <w:b/>
          <w:sz w:val="28"/>
          <w:szCs w:val="28"/>
          <w:u w:val="single"/>
        </w:rPr>
        <w:t xml:space="preserve">                                      </w:t>
      </w:r>
    </w:p>
    <w:p w14:paraId="2AA8D1F2">
      <w:pPr>
        <w:wordWrap w:val="0"/>
        <w:spacing w:before="78" w:beforeLines="25" w:line="360" w:lineRule="auto"/>
        <w:rPr>
          <w:b/>
          <w:sz w:val="28"/>
          <w:szCs w:val="28"/>
          <w:u w:val="single"/>
        </w:rPr>
      </w:pPr>
    </w:p>
    <w:p w14:paraId="581832BD">
      <w:pPr>
        <w:wordWrap w:val="0"/>
        <w:spacing w:before="78" w:beforeLines="25" w:line="360" w:lineRule="auto"/>
        <w:ind w:firstLine="1124" w:firstLineChars="400"/>
        <w:rPr>
          <w:sz w:val="28"/>
          <w:szCs w:val="28"/>
          <w:u w:val="single"/>
        </w:rPr>
      </w:pPr>
      <w:r>
        <w:rPr>
          <w:rFonts w:hint="eastAsia" w:cs="Helvetica"/>
          <w:b/>
          <w:sz w:val="28"/>
          <w:szCs w:val="28"/>
          <w:lang w:val="zh-CN"/>
        </w:rPr>
        <w:t>签订地：</w:t>
      </w:r>
      <w:r>
        <w:rPr>
          <w:rFonts w:hint="eastAsia" w:cs="Helvetica"/>
          <w:sz w:val="28"/>
          <w:szCs w:val="28"/>
          <w:u w:val="single"/>
          <w:lang w:val="zh-CN"/>
        </w:rPr>
        <w:t xml:space="preserve">                                               </w:t>
      </w:r>
    </w:p>
    <w:p w14:paraId="10D9E45F">
      <w:pPr>
        <w:wordWrap w:val="0"/>
        <w:spacing w:before="78" w:beforeLines="25" w:line="360" w:lineRule="auto"/>
        <w:rPr>
          <w:u w:val="single"/>
        </w:rPr>
      </w:pPr>
    </w:p>
    <w:p w14:paraId="65F73277">
      <w:pPr>
        <w:pStyle w:val="11"/>
        <w:spacing w:line="360" w:lineRule="auto"/>
      </w:pPr>
    </w:p>
    <w:p w14:paraId="3D44B887">
      <w:pPr>
        <w:wordWrap w:val="0"/>
        <w:spacing w:before="78" w:beforeLines="25" w:line="360" w:lineRule="auto"/>
        <w:ind w:firstLine="1205" w:firstLineChars="500"/>
        <w:rPr>
          <w:b/>
          <w:szCs w:val="24"/>
        </w:rPr>
      </w:pPr>
      <w:r>
        <w:rPr>
          <w:rFonts w:hint="eastAsia" w:cs="Helvetica"/>
          <w:b/>
          <w:szCs w:val="24"/>
          <w:lang w:val="zh-CN"/>
        </w:rPr>
        <w:t>签订</w:t>
      </w:r>
      <w:r>
        <w:rPr>
          <w:rFonts w:hint="eastAsia"/>
          <w:b/>
          <w:szCs w:val="24"/>
        </w:rPr>
        <w:t>日期：</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w:t>
      </w:r>
    </w:p>
    <w:p w14:paraId="10933CA0">
      <w:pPr>
        <w:wordWrap w:val="0"/>
        <w:spacing w:before="78" w:beforeLines="25" w:line="360" w:lineRule="auto"/>
        <w:rPr>
          <w:b/>
        </w:rPr>
      </w:pPr>
      <w:r>
        <w:rPr>
          <w:rFonts w:hint="eastAsia"/>
          <w:b/>
        </w:rPr>
        <w:t xml:space="preserve">                                                 </w:t>
      </w:r>
    </w:p>
    <w:p w14:paraId="0980DE63">
      <w:pPr>
        <w:widowControl/>
        <w:wordWrap w:val="0"/>
        <w:spacing w:line="360" w:lineRule="auto"/>
        <w:jc w:val="left"/>
        <w:rPr>
          <w:rFonts w:cs="宋体"/>
          <w:szCs w:val="24"/>
        </w:rPr>
      </w:pPr>
      <w:r>
        <w:rPr>
          <w:rFonts w:cs="宋体"/>
          <w:szCs w:val="24"/>
        </w:rPr>
        <w:br w:type="page"/>
      </w:r>
    </w:p>
    <w:p w14:paraId="1B667889">
      <w:pPr>
        <w:wordWrap w:val="0"/>
        <w:spacing w:line="360" w:lineRule="auto"/>
        <w:ind w:firstLine="480" w:firstLineChars="200"/>
        <w:rPr>
          <w:szCs w:val="24"/>
        </w:rPr>
      </w:pPr>
      <w:r>
        <w:rPr>
          <w:rFonts w:hint="eastAsia" w:cs="宋体"/>
          <w:szCs w:val="24"/>
        </w:rPr>
        <w:t>本合同由甲乙双方根据《</w:t>
      </w:r>
      <w:r>
        <w:rPr>
          <w:rFonts w:hint="eastAsia" w:cs="宋体"/>
        </w:rPr>
        <w:t>中华人民共和国</w:t>
      </w:r>
      <w:r>
        <w:rPr>
          <w:rFonts w:hint="eastAsia" w:cs="宋体"/>
          <w:szCs w:val="24"/>
        </w:rPr>
        <w:t>政府采购法》《</w:t>
      </w:r>
      <w:r>
        <w:rPr>
          <w:rFonts w:hint="eastAsia" w:cs="宋体"/>
        </w:rPr>
        <w:t>中华人民共和国</w:t>
      </w:r>
      <w:r>
        <w:rPr>
          <w:rFonts w:hint="eastAsia" w:cs="宋体"/>
          <w:szCs w:val="24"/>
        </w:rPr>
        <w:t>政府采购法实施条例》《</w:t>
      </w:r>
      <w:r>
        <w:rPr>
          <w:rFonts w:cs="宋体"/>
          <w:szCs w:val="24"/>
        </w:rPr>
        <w:t>中华人民共和国民法典</w:t>
      </w:r>
      <w:r>
        <w:rPr>
          <w:rFonts w:hint="eastAsia" w:cs="宋体"/>
          <w:szCs w:val="24"/>
        </w:rPr>
        <w:t>》等相关法律法规规定，按</w:t>
      </w:r>
      <w:r>
        <w:rPr>
          <w:rFonts w:hint="eastAsia"/>
          <w:szCs w:val="24"/>
        </w:rPr>
        <w:t>平等、自愿、诚实信用的原则拟定，</w:t>
      </w:r>
      <w:r>
        <w:rPr>
          <w:rFonts w:hint="eastAsia" w:cs="宋体"/>
        </w:rPr>
        <w:t>甲、乙双方均应遵守法律规定和合同约定，并各自履行应负的全部责任和义务。</w:t>
      </w:r>
      <w:r>
        <w:rPr>
          <w:szCs w:val="24"/>
        </w:rPr>
        <w:t xml:space="preserve"> </w:t>
      </w:r>
    </w:p>
    <w:p w14:paraId="7020DEA5">
      <w:pPr>
        <w:pStyle w:val="44"/>
        <w:numPr>
          <w:ilvl w:val="0"/>
          <w:numId w:val="48"/>
        </w:numPr>
        <w:wordWrap w:val="0"/>
        <w:spacing w:before="78" w:beforeLines="25" w:line="360" w:lineRule="auto"/>
        <w:ind w:firstLineChars="0"/>
        <w:rPr>
          <w:rFonts w:cs="Helvetica"/>
          <w:b/>
          <w:szCs w:val="24"/>
          <w:lang w:val="zh-CN"/>
        </w:rPr>
      </w:pPr>
      <w:r>
        <w:rPr>
          <w:rFonts w:hint="eastAsia" w:cs="Helvetica"/>
          <w:b/>
          <w:szCs w:val="24"/>
          <w:lang w:val="zh-CN"/>
        </w:rPr>
        <w:t>项目基本情况</w:t>
      </w:r>
    </w:p>
    <w:p w14:paraId="5CC5476B">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1．项目名称：</w:t>
      </w:r>
      <w:r>
        <w:rPr>
          <w:rFonts w:hint="eastAsia"/>
          <w:u w:val="single"/>
        </w:rPr>
        <w:t xml:space="preserve">         </w:t>
      </w:r>
      <w:r>
        <w:rPr>
          <w:rFonts w:hint="eastAsia" w:cs="Helvetica"/>
          <w:bCs/>
          <w:i/>
          <w:iCs/>
          <w:szCs w:val="24"/>
          <w:u w:val="single"/>
        </w:rPr>
        <w:t>(见竞争性磋商文件)</w:t>
      </w:r>
      <w:r>
        <w:rPr>
          <w:rFonts w:hint="eastAsia"/>
          <w:u w:val="single"/>
        </w:rPr>
        <w:t xml:space="preserve">               </w:t>
      </w:r>
    </w:p>
    <w:p w14:paraId="70038D56">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2．项目编号：</w:t>
      </w:r>
      <w:r>
        <w:rPr>
          <w:rFonts w:hint="eastAsia"/>
          <w:u w:val="single"/>
        </w:rPr>
        <w:t xml:space="preserve">          </w:t>
      </w:r>
      <w:r>
        <w:rPr>
          <w:rFonts w:hint="eastAsia" w:cs="Helvetica"/>
          <w:bCs/>
          <w:i/>
          <w:iCs/>
          <w:szCs w:val="24"/>
          <w:u w:val="single"/>
        </w:rPr>
        <w:t>(见竞争性磋商文件)</w:t>
      </w:r>
      <w:r>
        <w:rPr>
          <w:rFonts w:hint="eastAsia"/>
          <w:u w:val="single"/>
        </w:rPr>
        <w:t xml:space="preserve">             </w:t>
      </w:r>
    </w:p>
    <w:p w14:paraId="7FDCF69B">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3．政府采购计划备案号：</w:t>
      </w:r>
      <w:r>
        <w:rPr>
          <w:rFonts w:hint="eastAsia"/>
          <w:u w:val="single"/>
        </w:rPr>
        <w:t xml:space="preserve">  </w:t>
      </w:r>
      <w:r>
        <w:rPr>
          <w:rFonts w:hint="eastAsia" w:cs="Helvetica"/>
          <w:bCs/>
          <w:i/>
          <w:iCs/>
          <w:szCs w:val="24"/>
          <w:u w:val="single"/>
        </w:rPr>
        <w:t>(见竞争性磋商文件)</w:t>
      </w:r>
      <w:r>
        <w:rPr>
          <w:rFonts w:hint="eastAsia"/>
          <w:u w:val="single"/>
        </w:rPr>
        <w:t xml:space="preserve">            </w:t>
      </w:r>
    </w:p>
    <w:p w14:paraId="71F30C39">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szCs w:val="24"/>
          <w:lang w:val="zh-CN"/>
        </w:rPr>
      </w:pPr>
      <w:r>
        <w:rPr>
          <w:rFonts w:hint="eastAsia"/>
        </w:rPr>
        <w:t>4．项目概况：</w:t>
      </w:r>
      <w:r>
        <w:rPr>
          <w:rFonts w:hint="eastAsia" w:cs="Helvetica"/>
          <w:szCs w:val="24"/>
          <w:u w:val="single"/>
          <w:lang w:val="zh-CN"/>
        </w:rPr>
        <w:t xml:space="preserve">              </w:t>
      </w:r>
      <w:r>
        <w:rPr>
          <w:rFonts w:hint="eastAsia" w:cs="Helvetica"/>
          <w:bCs/>
          <w:i/>
          <w:iCs/>
          <w:szCs w:val="24"/>
          <w:u w:val="single"/>
        </w:rPr>
        <w:t>(见竞争性磋商文件)</w:t>
      </w:r>
      <w:r>
        <w:rPr>
          <w:rFonts w:hint="eastAsia" w:cs="Helvetica"/>
          <w:szCs w:val="24"/>
          <w:u w:val="single"/>
          <w:lang w:val="zh-CN"/>
        </w:rPr>
        <w:t xml:space="preserve">          </w:t>
      </w:r>
      <w:r>
        <w:rPr>
          <w:rFonts w:hint="eastAsia" w:cs="Helvetica"/>
          <w:szCs w:val="24"/>
          <w:lang w:val="zh-CN"/>
        </w:rPr>
        <w:t xml:space="preserve">  </w:t>
      </w:r>
    </w:p>
    <w:p w14:paraId="3D727622">
      <w:pPr>
        <w:pStyle w:val="44"/>
        <w:numPr>
          <w:ilvl w:val="0"/>
          <w:numId w:val="48"/>
        </w:numPr>
        <w:wordWrap w:val="0"/>
        <w:spacing w:before="78" w:beforeLines="25" w:line="360" w:lineRule="auto"/>
        <w:ind w:firstLineChars="0"/>
        <w:rPr>
          <w:rFonts w:cs="Helvetica"/>
          <w:bCs/>
          <w:iCs/>
          <w:szCs w:val="24"/>
        </w:rPr>
      </w:pPr>
      <w:r>
        <w:rPr>
          <w:rFonts w:hint="eastAsia" w:cs="Helvetica"/>
          <w:b/>
          <w:szCs w:val="24"/>
          <w:lang w:val="zh-CN"/>
        </w:rPr>
        <w:t>标的名称、数量（规模）</w:t>
      </w:r>
      <w:r>
        <w:rPr>
          <w:rFonts w:hint="eastAsia" w:cs="Helvetica"/>
          <w:i/>
          <w:iCs/>
          <w:szCs w:val="24"/>
        </w:rPr>
        <w:t xml:space="preserve"> </w:t>
      </w:r>
    </w:p>
    <w:tbl>
      <w:tblPr>
        <w:tblStyle w:val="30"/>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14:paraId="78CA2C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themeColor="background2" w:themeShade="BF" w:fill="DDD9C4" w:themeFill="background2" w:themeFillShade="E6"/>
            <w:vAlign w:val="center"/>
          </w:tcPr>
          <w:p w14:paraId="55DA291F">
            <w:pPr>
              <w:wordWrap w:val="0"/>
              <w:spacing w:line="360" w:lineRule="auto"/>
              <w:ind w:left="-120" w:leftChars="-50" w:right="-120" w:rightChars="-50"/>
              <w:jc w:val="center"/>
              <w:rPr>
                <w:rFonts w:cs="宋体"/>
                <w:b/>
              </w:rPr>
            </w:pPr>
            <w:r>
              <w:rPr>
                <w:rFonts w:hint="eastAsia" w:cs="仿宋_GB2312"/>
                <w:b/>
                <w:szCs w:val="24"/>
              </w:rPr>
              <w:t>序号</w:t>
            </w:r>
          </w:p>
        </w:tc>
        <w:tc>
          <w:tcPr>
            <w:tcW w:w="2378" w:type="dxa"/>
            <w:shd w:val="pct10" w:color="C3BD96" w:themeColor="background2" w:themeShade="BF" w:fill="DDD9C4" w:themeFill="background2" w:themeFillShade="E6"/>
            <w:vAlign w:val="center"/>
          </w:tcPr>
          <w:p w14:paraId="494A27E2">
            <w:pPr>
              <w:wordWrap w:val="0"/>
              <w:spacing w:line="360" w:lineRule="auto"/>
              <w:ind w:left="-55" w:leftChars="-23" w:right="-74" w:rightChars="-31"/>
              <w:jc w:val="center"/>
              <w:rPr>
                <w:rFonts w:cs="宋体"/>
                <w:b/>
              </w:rPr>
            </w:pPr>
            <w:r>
              <w:rPr>
                <w:rFonts w:hint="eastAsia" w:cs="宋体"/>
                <w:b/>
              </w:rPr>
              <w:t>名称</w:t>
            </w:r>
          </w:p>
        </w:tc>
        <w:tc>
          <w:tcPr>
            <w:tcW w:w="1132" w:type="dxa"/>
            <w:shd w:val="pct10" w:color="C3BD96" w:themeColor="background2" w:themeShade="BF" w:fill="DDD9C4" w:themeFill="background2" w:themeFillShade="E6"/>
            <w:vAlign w:val="center"/>
          </w:tcPr>
          <w:p w14:paraId="26F783BB">
            <w:pPr>
              <w:wordWrap w:val="0"/>
              <w:spacing w:line="360" w:lineRule="auto"/>
              <w:ind w:left="-55" w:leftChars="-23" w:right="-74" w:rightChars="-31"/>
              <w:jc w:val="center"/>
              <w:rPr>
                <w:rFonts w:cs="宋体"/>
                <w:b/>
              </w:rPr>
            </w:pPr>
            <w:r>
              <w:rPr>
                <w:rFonts w:hint="eastAsia"/>
                <w:b/>
              </w:rPr>
              <w:t>品牌规格型号</w:t>
            </w:r>
          </w:p>
        </w:tc>
        <w:tc>
          <w:tcPr>
            <w:tcW w:w="655" w:type="dxa"/>
            <w:tcBorders>
              <w:right w:val="single" w:color="auto" w:sz="4" w:space="0"/>
            </w:tcBorders>
            <w:shd w:val="pct10" w:color="C3BD96" w:themeColor="background2" w:themeShade="BF" w:fill="DDD9C4" w:themeFill="background2" w:themeFillShade="E6"/>
            <w:vAlign w:val="center"/>
          </w:tcPr>
          <w:p w14:paraId="06683E5B">
            <w:pPr>
              <w:wordWrap w:val="0"/>
              <w:spacing w:line="360" w:lineRule="auto"/>
              <w:ind w:left="-55" w:leftChars="-23" w:right="-74" w:rightChars="-31"/>
              <w:jc w:val="center"/>
              <w:rPr>
                <w:rFonts w:cs="宋体"/>
                <w:b/>
              </w:rPr>
            </w:pPr>
            <w:r>
              <w:rPr>
                <w:rFonts w:hint="eastAsia" w:cs="宋体"/>
                <w:b/>
              </w:rPr>
              <w:t>数量</w:t>
            </w:r>
          </w:p>
        </w:tc>
        <w:tc>
          <w:tcPr>
            <w:tcW w:w="627" w:type="dxa"/>
            <w:tcBorders>
              <w:left w:val="single" w:color="auto" w:sz="4" w:space="0"/>
            </w:tcBorders>
            <w:shd w:val="pct10" w:color="C3BD96" w:themeColor="background2" w:themeShade="BF" w:fill="DDD9C4" w:themeFill="background2" w:themeFillShade="E6"/>
            <w:vAlign w:val="center"/>
          </w:tcPr>
          <w:p w14:paraId="4B258A8C">
            <w:pPr>
              <w:wordWrap w:val="0"/>
              <w:spacing w:line="360" w:lineRule="auto"/>
              <w:ind w:left="-55" w:leftChars="-23" w:right="-74" w:rightChars="-31"/>
              <w:jc w:val="center"/>
              <w:rPr>
                <w:rFonts w:cs="宋体"/>
                <w:b/>
              </w:rPr>
            </w:pPr>
            <w:r>
              <w:rPr>
                <w:rFonts w:hint="eastAsia" w:cs="宋体"/>
                <w:b/>
              </w:rPr>
              <w:t>单位</w:t>
            </w:r>
          </w:p>
        </w:tc>
        <w:tc>
          <w:tcPr>
            <w:tcW w:w="859" w:type="dxa"/>
            <w:shd w:val="pct10" w:color="C3BD96" w:themeColor="background2" w:themeShade="BF" w:fill="DDD9C4" w:themeFill="background2" w:themeFillShade="E6"/>
            <w:vAlign w:val="center"/>
          </w:tcPr>
          <w:p w14:paraId="7255945F">
            <w:pPr>
              <w:wordWrap w:val="0"/>
              <w:spacing w:line="360" w:lineRule="auto"/>
              <w:ind w:left="-55" w:leftChars="-23" w:right="-74" w:rightChars="-31"/>
              <w:jc w:val="center"/>
              <w:rPr>
                <w:rFonts w:cs="宋体"/>
                <w:b/>
              </w:rPr>
            </w:pPr>
            <w:r>
              <w:rPr>
                <w:rFonts w:hint="eastAsia" w:cs="宋体"/>
                <w:b/>
              </w:rPr>
              <w:t>单价</w:t>
            </w:r>
          </w:p>
        </w:tc>
        <w:tc>
          <w:tcPr>
            <w:tcW w:w="1425" w:type="dxa"/>
            <w:shd w:val="pct10" w:color="C3BD96" w:themeColor="background2" w:themeShade="BF" w:fill="DDD9C4" w:themeFill="background2" w:themeFillShade="E6"/>
            <w:vAlign w:val="center"/>
          </w:tcPr>
          <w:p w14:paraId="3A4587E0">
            <w:pPr>
              <w:wordWrap w:val="0"/>
              <w:adjustRightInd w:val="0"/>
              <w:snapToGrid w:val="0"/>
              <w:spacing w:line="360" w:lineRule="auto"/>
              <w:ind w:left="-26" w:leftChars="-11" w:right="-74" w:rightChars="-31"/>
              <w:jc w:val="center"/>
              <w:rPr>
                <w:rFonts w:cs="宋体"/>
                <w:b/>
              </w:rPr>
            </w:pPr>
            <w:r>
              <w:rPr>
                <w:rFonts w:hint="eastAsia" w:cs="宋体"/>
                <w:b/>
              </w:rPr>
              <w:t>分项合计</w:t>
            </w:r>
          </w:p>
        </w:tc>
        <w:tc>
          <w:tcPr>
            <w:tcW w:w="1134" w:type="dxa"/>
            <w:shd w:val="pct10" w:color="C3BD96" w:themeColor="background2" w:themeShade="BF" w:fill="DDD9C4" w:themeFill="background2" w:themeFillShade="E6"/>
            <w:vAlign w:val="center"/>
          </w:tcPr>
          <w:p w14:paraId="1D1F2799">
            <w:pPr>
              <w:wordWrap w:val="0"/>
              <w:spacing w:line="360" w:lineRule="auto"/>
              <w:ind w:left="-26" w:leftChars="-11" w:right="-74" w:rightChars="-31"/>
              <w:jc w:val="center"/>
              <w:rPr>
                <w:rFonts w:cs="宋体"/>
                <w:b/>
              </w:rPr>
            </w:pPr>
            <w:r>
              <w:rPr>
                <w:rFonts w:hint="eastAsia" w:cs="宋体"/>
                <w:b/>
              </w:rPr>
              <w:t>制造厂家（全称）</w:t>
            </w:r>
          </w:p>
        </w:tc>
      </w:tr>
      <w:tr w14:paraId="396A6F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75AF8E0C">
            <w:pPr>
              <w:wordWrap w:val="0"/>
              <w:spacing w:line="360" w:lineRule="auto"/>
              <w:ind w:left="-55" w:leftChars="-23" w:right="-74" w:rightChars="-31"/>
              <w:jc w:val="center"/>
              <w:rPr>
                <w:b/>
              </w:rPr>
            </w:pPr>
            <w:r>
              <w:rPr>
                <w:rFonts w:hint="eastAsia"/>
                <w:b/>
              </w:rPr>
              <w:t>1</w:t>
            </w:r>
          </w:p>
        </w:tc>
        <w:tc>
          <w:tcPr>
            <w:tcW w:w="2378" w:type="dxa"/>
            <w:shd w:val="clear" w:color="auto" w:fill="auto"/>
            <w:vAlign w:val="center"/>
          </w:tcPr>
          <w:p w14:paraId="32EBBEA7">
            <w:pPr>
              <w:wordWrap w:val="0"/>
              <w:spacing w:line="360" w:lineRule="auto"/>
              <w:ind w:left="-55" w:leftChars="-23" w:right="-74" w:rightChars="-31"/>
              <w:jc w:val="center"/>
            </w:pPr>
            <w:r>
              <w:rPr>
                <w:rFonts w:hint="eastAsia"/>
              </w:rPr>
              <w:t>货物（服务）名称1</w:t>
            </w:r>
          </w:p>
        </w:tc>
        <w:tc>
          <w:tcPr>
            <w:tcW w:w="1132" w:type="dxa"/>
            <w:shd w:val="clear" w:color="auto" w:fill="auto"/>
            <w:vAlign w:val="center"/>
          </w:tcPr>
          <w:p w14:paraId="2306BEB1">
            <w:pPr>
              <w:wordWrap w:val="0"/>
              <w:spacing w:line="360" w:lineRule="auto"/>
              <w:ind w:left="-55" w:leftChars="-23" w:right="-74" w:rightChars="-31"/>
              <w:jc w:val="left"/>
              <w:rPr>
                <w:rFonts w:cs="宋体"/>
                <w:szCs w:val="24"/>
              </w:rPr>
            </w:pPr>
          </w:p>
        </w:tc>
        <w:tc>
          <w:tcPr>
            <w:tcW w:w="655" w:type="dxa"/>
            <w:tcBorders>
              <w:right w:val="single" w:color="auto" w:sz="4" w:space="0"/>
            </w:tcBorders>
            <w:shd w:val="clear" w:color="auto" w:fill="auto"/>
            <w:vAlign w:val="center"/>
          </w:tcPr>
          <w:p w14:paraId="0A97DDD6">
            <w:pPr>
              <w:wordWrap w:val="0"/>
              <w:spacing w:line="360" w:lineRule="auto"/>
              <w:ind w:left="-55" w:leftChars="-23" w:right="-430" w:rightChars="-179"/>
              <w:jc w:val="center"/>
              <w:rPr>
                <w:rFonts w:cs="宋体"/>
                <w:szCs w:val="24"/>
              </w:rPr>
            </w:pPr>
          </w:p>
        </w:tc>
        <w:tc>
          <w:tcPr>
            <w:tcW w:w="627" w:type="dxa"/>
            <w:tcBorders>
              <w:left w:val="single" w:color="auto" w:sz="4" w:space="0"/>
            </w:tcBorders>
            <w:shd w:val="clear" w:color="auto" w:fill="auto"/>
            <w:vAlign w:val="center"/>
          </w:tcPr>
          <w:p w14:paraId="357217E2">
            <w:pPr>
              <w:wordWrap w:val="0"/>
              <w:spacing w:line="360" w:lineRule="auto"/>
              <w:ind w:left="-55" w:leftChars="-23" w:right="-430" w:rightChars="-179"/>
              <w:jc w:val="center"/>
              <w:rPr>
                <w:rFonts w:cs="宋体"/>
                <w:szCs w:val="24"/>
              </w:rPr>
            </w:pPr>
          </w:p>
        </w:tc>
        <w:tc>
          <w:tcPr>
            <w:tcW w:w="859" w:type="dxa"/>
            <w:shd w:val="clear" w:color="auto" w:fill="auto"/>
            <w:vAlign w:val="center"/>
          </w:tcPr>
          <w:p w14:paraId="428B1BD4">
            <w:pPr>
              <w:wordWrap w:val="0"/>
              <w:spacing w:line="360" w:lineRule="auto"/>
              <w:ind w:left="-55" w:leftChars="-23" w:right="-74" w:rightChars="-31"/>
              <w:jc w:val="center"/>
              <w:rPr>
                <w:rFonts w:cs="宋体"/>
                <w:szCs w:val="24"/>
              </w:rPr>
            </w:pPr>
          </w:p>
        </w:tc>
        <w:tc>
          <w:tcPr>
            <w:tcW w:w="1425" w:type="dxa"/>
            <w:shd w:val="clear" w:color="auto" w:fill="auto"/>
            <w:vAlign w:val="center"/>
          </w:tcPr>
          <w:p w14:paraId="65532438">
            <w:pPr>
              <w:wordWrap w:val="0"/>
              <w:spacing w:line="360" w:lineRule="auto"/>
              <w:ind w:left="-55" w:leftChars="-23" w:right="-74" w:rightChars="-31"/>
              <w:jc w:val="left"/>
              <w:rPr>
                <w:rFonts w:cs="宋体"/>
                <w:szCs w:val="24"/>
              </w:rPr>
            </w:pPr>
          </w:p>
        </w:tc>
        <w:tc>
          <w:tcPr>
            <w:tcW w:w="1134" w:type="dxa"/>
            <w:shd w:val="clear" w:color="auto" w:fill="auto"/>
            <w:vAlign w:val="center"/>
          </w:tcPr>
          <w:p w14:paraId="5B48AEE3">
            <w:pPr>
              <w:wordWrap w:val="0"/>
              <w:spacing w:line="360" w:lineRule="auto"/>
              <w:ind w:left="-55" w:leftChars="-23" w:right="-74" w:rightChars="-31"/>
              <w:jc w:val="center"/>
              <w:rPr>
                <w:rFonts w:cs="宋体"/>
                <w:szCs w:val="24"/>
              </w:rPr>
            </w:pPr>
          </w:p>
        </w:tc>
      </w:tr>
      <w:tr w14:paraId="58EEA7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7905CD04">
            <w:pPr>
              <w:wordWrap w:val="0"/>
              <w:spacing w:line="360" w:lineRule="auto"/>
              <w:ind w:left="-55" w:leftChars="-23" w:right="-74" w:rightChars="-31"/>
              <w:jc w:val="center"/>
              <w:rPr>
                <w:b/>
              </w:rPr>
            </w:pPr>
            <w:r>
              <w:rPr>
                <w:rFonts w:hint="eastAsia"/>
                <w:b/>
              </w:rPr>
              <w:t>2</w:t>
            </w:r>
          </w:p>
        </w:tc>
        <w:tc>
          <w:tcPr>
            <w:tcW w:w="2378" w:type="dxa"/>
            <w:shd w:val="clear" w:color="auto" w:fill="auto"/>
            <w:vAlign w:val="center"/>
          </w:tcPr>
          <w:p w14:paraId="5325BB5B">
            <w:pPr>
              <w:wordWrap w:val="0"/>
              <w:spacing w:line="360" w:lineRule="auto"/>
              <w:ind w:left="-55" w:leftChars="-23" w:right="-74" w:rightChars="-31"/>
              <w:jc w:val="center"/>
            </w:pPr>
            <w:r>
              <w:rPr>
                <w:rFonts w:hint="eastAsia"/>
              </w:rPr>
              <w:t>货物（服务）名称2</w:t>
            </w:r>
          </w:p>
        </w:tc>
        <w:tc>
          <w:tcPr>
            <w:tcW w:w="1132" w:type="dxa"/>
            <w:shd w:val="clear" w:color="auto" w:fill="auto"/>
            <w:vAlign w:val="center"/>
          </w:tcPr>
          <w:p w14:paraId="760D60D2">
            <w:pPr>
              <w:wordWrap w:val="0"/>
              <w:spacing w:line="360" w:lineRule="auto"/>
              <w:ind w:left="-55" w:leftChars="-23" w:right="-74" w:rightChars="-31"/>
              <w:jc w:val="left"/>
              <w:rPr>
                <w:rFonts w:cs="宋体"/>
                <w:szCs w:val="24"/>
              </w:rPr>
            </w:pPr>
          </w:p>
        </w:tc>
        <w:tc>
          <w:tcPr>
            <w:tcW w:w="655" w:type="dxa"/>
            <w:tcBorders>
              <w:right w:val="single" w:color="auto" w:sz="4" w:space="0"/>
            </w:tcBorders>
            <w:shd w:val="clear" w:color="auto" w:fill="auto"/>
            <w:vAlign w:val="center"/>
          </w:tcPr>
          <w:p w14:paraId="12AA15CD">
            <w:pPr>
              <w:wordWrap w:val="0"/>
              <w:spacing w:line="360" w:lineRule="auto"/>
              <w:ind w:left="-55" w:leftChars="-23" w:right="-74" w:rightChars="-31"/>
              <w:jc w:val="center"/>
              <w:rPr>
                <w:rFonts w:cs="宋体"/>
                <w:szCs w:val="24"/>
              </w:rPr>
            </w:pPr>
          </w:p>
        </w:tc>
        <w:tc>
          <w:tcPr>
            <w:tcW w:w="627" w:type="dxa"/>
            <w:tcBorders>
              <w:left w:val="single" w:color="auto" w:sz="4" w:space="0"/>
            </w:tcBorders>
            <w:shd w:val="clear" w:color="auto" w:fill="auto"/>
            <w:vAlign w:val="center"/>
          </w:tcPr>
          <w:p w14:paraId="08FC7C13">
            <w:pPr>
              <w:wordWrap w:val="0"/>
              <w:spacing w:line="360" w:lineRule="auto"/>
              <w:ind w:left="-55" w:leftChars="-23" w:right="-74" w:rightChars="-31"/>
              <w:jc w:val="center"/>
              <w:rPr>
                <w:rFonts w:cs="宋体"/>
                <w:szCs w:val="24"/>
              </w:rPr>
            </w:pPr>
          </w:p>
        </w:tc>
        <w:tc>
          <w:tcPr>
            <w:tcW w:w="859" w:type="dxa"/>
            <w:shd w:val="clear" w:color="auto" w:fill="auto"/>
            <w:vAlign w:val="center"/>
          </w:tcPr>
          <w:p w14:paraId="289D9EFA">
            <w:pPr>
              <w:wordWrap w:val="0"/>
              <w:spacing w:line="360" w:lineRule="auto"/>
              <w:ind w:left="-55" w:leftChars="-23" w:right="-74" w:rightChars="-31"/>
              <w:jc w:val="center"/>
              <w:rPr>
                <w:rFonts w:cs="宋体"/>
                <w:szCs w:val="24"/>
              </w:rPr>
            </w:pPr>
          </w:p>
        </w:tc>
        <w:tc>
          <w:tcPr>
            <w:tcW w:w="1425" w:type="dxa"/>
            <w:shd w:val="clear" w:color="auto" w:fill="auto"/>
            <w:vAlign w:val="center"/>
          </w:tcPr>
          <w:p w14:paraId="7ECF771B">
            <w:pPr>
              <w:wordWrap w:val="0"/>
              <w:spacing w:line="360" w:lineRule="auto"/>
              <w:ind w:left="-55" w:leftChars="-23" w:right="-74" w:rightChars="-31"/>
              <w:jc w:val="left"/>
              <w:rPr>
                <w:rFonts w:cs="宋体"/>
                <w:szCs w:val="24"/>
              </w:rPr>
            </w:pPr>
          </w:p>
        </w:tc>
        <w:tc>
          <w:tcPr>
            <w:tcW w:w="1134" w:type="dxa"/>
            <w:shd w:val="clear" w:color="auto" w:fill="auto"/>
            <w:vAlign w:val="center"/>
          </w:tcPr>
          <w:p w14:paraId="344A1C68">
            <w:pPr>
              <w:wordWrap w:val="0"/>
              <w:spacing w:line="360" w:lineRule="auto"/>
              <w:ind w:left="-55" w:leftChars="-23" w:right="-74" w:rightChars="-31"/>
              <w:jc w:val="center"/>
              <w:rPr>
                <w:rFonts w:cs="宋体"/>
                <w:szCs w:val="24"/>
              </w:rPr>
            </w:pPr>
          </w:p>
        </w:tc>
      </w:tr>
      <w:tr w14:paraId="7FA337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6B4CBA2F">
            <w:pPr>
              <w:wordWrap w:val="0"/>
              <w:spacing w:line="360" w:lineRule="auto"/>
              <w:ind w:left="-55" w:leftChars="-23" w:right="-74" w:rightChars="-31"/>
              <w:jc w:val="center"/>
            </w:pPr>
            <w:r>
              <w:rPr>
                <w:rFonts w:hint="eastAsia"/>
              </w:rPr>
              <w:t>…</w:t>
            </w:r>
          </w:p>
        </w:tc>
        <w:tc>
          <w:tcPr>
            <w:tcW w:w="2378" w:type="dxa"/>
            <w:shd w:val="clear" w:color="auto" w:fill="auto"/>
            <w:vAlign w:val="center"/>
          </w:tcPr>
          <w:p w14:paraId="41B39AD6">
            <w:pPr>
              <w:wordWrap w:val="0"/>
              <w:spacing w:line="360" w:lineRule="auto"/>
              <w:ind w:left="-55" w:leftChars="-23" w:right="-74" w:rightChars="-31"/>
              <w:jc w:val="center"/>
              <w:rPr>
                <w:rFonts w:cs="宋体"/>
                <w:szCs w:val="24"/>
              </w:rPr>
            </w:pPr>
            <w:r>
              <w:rPr>
                <w:rFonts w:hint="eastAsia"/>
              </w:rPr>
              <w:t>……</w:t>
            </w:r>
          </w:p>
        </w:tc>
        <w:tc>
          <w:tcPr>
            <w:tcW w:w="1132" w:type="dxa"/>
            <w:shd w:val="clear" w:color="auto" w:fill="auto"/>
            <w:vAlign w:val="center"/>
          </w:tcPr>
          <w:p w14:paraId="0D5766F2">
            <w:pPr>
              <w:wordWrap w:val="0"/>
              <w:spacing w:line="360" w:lineRule="auto"/>
              <w:ind w:left="-55" w:leftChars="-23" w:right="-74" w:rightChars="-31"/>
              <w:jc w:val="left"/>
              <w:rPr>
                <w:rFonts w:cs="宋体"/>
                <w:szCs w:val="24"/>
              </w:rPr>
            </w:pPr>
            <w:r>
              <w:rPr>
                <w:rFonts w:hint="eastAsia"/>
              </w:rPr>
              <w:t>…</w:t>
            </w:r>
          </w:p>
        </w:tc>
        <w:tc>
          <w:tcPr>
            <w:tcW w:w="655" w:type="dxa"/>
            <w:tcBorders>
              <w:right w:val="single" w:color="auto" w:sz="4" w:space="0"/>
            </w:tcBorders>
            <w:shd w:val="clear" w:color="auto" w:fill="auto"/>
            <w:vAlign w:val="center"/>
          </w:tcPr>
          <w:p w14:paraId="2DDFA7AF">
            <w:pPr>
              <w:wordWrap w:val="0"/>
              <w:spacing w:line="360" w:lineRule="auto"/>
              <w:ind w:left="-55" w:leftChars="-23" w:right="-74" w:rightChars="-31"/>
              <w:jc w:val="center"/>
              <w:rPr>
                <w:rFonts w:cs="宋体"/>
                <w:szCs w:val="24"/>
              </w:rPr>
            </w:pPr>
            <w:r>
              <w:rPr>
                <w:rFonts w:hint="eastAsia"/>
              </w:rPr>
              <w:t>…</w:t>
            </w:r>
          </w:p>
        </w:tc>
        <w:tc>
          <w:tcPr>
            <w:tcW w:w="627" w:type="dxa"/>
            <w:tcBorders>
              <w:left w:val="single" w:color="auto" w:sz="4" w:space="0"/>
            </w:tcBorders>
            <w:shd w:val="clear" w:color="auto" w:fill="auto"/>
            <w:vAlign w:val="center"/>
          </w:tcPr>
          <w:p w14:paraId="09047E3B">
            <w:pPr>
              <w:wordWrap w:val="0"/>
              <w:spacing w:line="360" w:lineRule="auto"/>
              <w:ind w:left="-55" w:leftChars="-23" w:right="-74" w:rightChars="-31"/>
              <w:jc w:val="center"/>
              <w:rPr>
                <w:rFonts w:cs="宋体"/>
                <w:szCs w:val="24"/>
              </w:rPr>
            </w:pPr>
            <w:r>
              <w:rPr>
                <w:rFonts w:hint="eastAsia"/>
              </w:rPr>
              <w:t>…</w:t>
            </w:r>
          </w:p>
        </w:tc>
        <w:tc>
          <w:tcPr>
            <w:tcW w:w="859" w:type="dxa"/>
            <w:shd w:val="clear" w:color="auto" w:fill="auto"/>
            <w:vAlign w:val="center"/>
          </w:tcPr>
          <w:p w14:paraId="3808FF36">
            <w:pPr>
              <w:wordWrap w:val="0"/>
              <w:spacing w:line="360" w:lineRule="auto"/>
              <w:ind w:left="-55" w:leftChars="-23" w:right="-74" w:rightChars="-31"/>
              <w:jc w:val="center"/>
              <w:rPr>
                <w:rFonts w:cs="宋体"/>
                <w:szCs w:val="24"/>
              </w:rPr>
            </w:pPr>
            <w:r>
              <w:rPr>
                <w:rFonts w:hint="eastAsia"/>
              </w:rPr>
              <w:t>…</w:t>
            </w:r>
          </w:p>
        </w:tc>
        <w:tc>
          <w:tcPr>
            <w:tcW w:w="1425" w:type="dxa"/>
            <w:shd w:val="clear" w:color="auto" w:fill="auto"/>
            <w:vAlign w:val="center"/>
          </w:tcPr>
          <w:p w14:paraId="469C88A6">
            <w:pPr>
              <w:wordWrap w:val="0"/>
              <w:spacing w:line="360" w:lineRule="auto"/>
              <w:ind w:left="-55" w:leftChars="-23" w:right="-74" w:rightChars="-31"/>
              <w:jc w:val="left"/>
              <w:rPr>
                <w:rFonts w:cs="宋体"/>
                <w:szCs w:val="24"/>
              </w:rPr>
            </w:pPr>
            <w:r>
              <w:rPr>
                <w:rFonts w:hint="eastAsia"/>
              </w:rPr>
              <w:t>…</w:t>
            </w:r>
          </w:p>
        </w:tc>
        <w:tc>
          <w:tcPr>
            <w:tcW w:w="1134" w:type="dxa"/>
            <w:shd w:val="clear" w:color="auto" w:fill="auto"/>
            <w:vAlign w:val="center"/>
          </w:tcPr>
          <w:p w14:paraId="6B08F1DB">
            <w:pPr>
              <w:wordWrap w:val="0"/>
              <w:spacing w:line="360" w:lineRule="auto"/>
              <w:ind w:left="-55" w:leftChars="-23" w:right="-74" w:rightChars="-31"/>
              <w:jc w:val="center"/>
              <w:rPr>
                <w:rFonts w:cs="宋体"/>
                <w:szCs w:val="24"/>
              </w:rPr>
            </w:pPr>
            <w:r>
              <w:rPr>
                <w:rFonts w:hint="eastAsia"/>
              </w:rPr>
              <w:t>…</w:t>
            </w:r>
          </w:p>
        </w:tc>
      </w:tr>
      <w:tr w14:paraId="070A00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shd w:val="clear" w:color="auto" w:fill="auto"/>
            <w:vAlign w:val="center"/>
          </w:tcPr>
          <w:p w14:paraId="6C1BB3B3">
            <w:pPr>
              <w:wordWrap w:val="0"/>
              <w:spacing w:line="360" w:lineRule="auto"/>
              <w:ind w:left="-55" w:leftChars="-23" w:right="-74" w:rightChars="-31"/>
              <w:jc w:val="center"/>
              <w:rPr>
                <w:rFonts w:cs="宋体"/>
                <w:b/>
                <w:szCs w:val="24"/>
              </w:rPr>
            </w:pPr>
            <w:r>
              <w:rPr>
                <w:rFonts w:hint="eastAsia" w:cs="宋体"/>
                <w:b/>
                <w:szCs w:val="24"/>
              </w:rPr>
              <w:t>合计</w:t>
            </w:r>
          </w:p>
        </w:tc>
        <w:tc>
          <w:tcPr>
            <w:tcW w:w="2559" w:type="dxa"/>
            <w:gridSpan w:val="2"/>
            <w:shd w:val="clear" w:color="auto" w:fill="auto"/>
            <w:vAlign w:val="center"/>
          </w:tcPr>
          <w:p w14:paraId="412A7A68">
            <w:pPr>
              <w:wordWrap w:val="0"/>
              <w:spacing w:line="360" w:lineRule="auto"/>
              <w:ind w:left="-55" w:leftChars="-23" w:right="-74" w:rightChars="-31"/>
              <w:jc w:val="left"/>
              <w:rPr>
                <w:rFonts w:cs="宋体"/>
                <w:szCs w:val="24"/>
              </w:rPr>
            </w:pPr>
          </w:p>
        </w:tc>
      </w:tr>
    </w:tbl>
    <w:p w14:paraId="4EE5DC9A">
      <w:pPr>
        <w:pStyle w:val="44"/>
        <w:numPr>
          <w:ilvl w:val="0"/>
          <w:numId w:val="48"/>
        </w:numPr>
        <w:wordWrap w:val="0"/>
        <w:spacing w:before="78" w:beforeLines="25" w:line="360" w:lineRule="auto"/>
        <w:ind w:firstLineChars="0"/>
        <w:rPr>
          <w:rFonts w:cs="Helvetica"/>
          <w:bCs/>
          <w:szCs w:val="24"/>
          <w:lang w:val="zh-CN"/>
        </w:rPr>
      </w:pPr>
      <w:r>
        <w:rPr>
          <w:rFonts w:hint="eastAsia" w:cs="Helvetica"/>
          <w:b/>
          <w:szCs w:val="24"/>
          <w:lang w:val="zh-CN"/>
        </w:rPr>
        <w:t>货物（服务）质量</w:t>
      </w:r>
    </w:p>
    <w:p w14:paraId="1C996558">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iCs/>
          <w:szCs w:val="24"/>
          <w:lang w:val="zh-CN"/>
        </w:rPr>
      </w:pPr>
      <w:r>
        <w:rPr>
          <w:rFonts w:hint="eastAsia" w:cs="Helvetica"/>
          <w:i/>
          <w:iCs/>
          <w:szCs w:val="24"/>
        </w:rPr>
        <w:t xml:space="preserve"> </w:t>
      </w:r>
      <w:r>
        <w:rPr>
          <w:rFonts w:hint="eastAsia" w:cs="Helvetica"/>
          <w:iCs/>
          <w:szCs w:val="24"/>
          <w:u w:val="single"/>
        </w:rPr>
        <w:t xml:space="preserve">          </w:t>
      </w:r>
      <w:r>
        <w:rPr>
          <w:rFonts w:hint="eastAsia" w:cs="Helvetica"/>
          <w:i/>
          <w:iCs/>
          <w:szCs w:val="24"/>
          <w:u w:val="single"/>
        </w:rPr>
        <w:t>(以竞争性磋商文件要求以及磋商文件的响应)</w:t>
      </w:r>
      <w:r>
        <w:rPr>
          <w:rFonts w:hint="eastAsia" w:cs="Helvetica"/>
          <w:iCs/>
          <w:szCs w:val="24"/>
          <w:u w:val="single"/>
        </w:rPr>
        <w:t xml:space="preserve">                    </w:t>
      </w:r>
      <w:r>
        <w:rPr>
          <w:rFonts w:hint="eastAsia" w:cs="Helvetica"/>
          <w:iCs/>
          <w:szCs w:val="24"/>
        </w:rPr>
        <w:t xml:space="preserve">。  </w:t>
      </w:r>
    </w:p>
    <w:p w14:paraId="0955585D">
      <w:pPr>
        <w:pStyle w:val="44"/>
        <w:numPr>
          <w:ilvl w:val="0"/>
          <w:numId w:val="48"/>
        </w:numPr>
        <w:wordWrap w:val="0"/>
        <w:spacing w:before="78" w:beforeLines="25" w:line="360" w:lineRule="auto"/>
        <w:ind w:firstLineChars="0"/>
        <w:rPr>
          <w:rFonts w:cs="Helvetica"/>
          <w:bCs/>
          <w:szCs w:val="24"/>
          <w:lang w:val="zh-CN"/>
        </w:rPr>
      </w:pPr>
      <w:r>
        <w:rPr>
          <w:rFonts w:hint="eastAsia" w:cs="Helvetica"/>
          <w:b/>
          <w:szCs w:val="24"/>
          <w:lang w:val="zh-CN"/>
        </w:rPr>
        <w:t>合同履行时间（期限）、地点和方式</w:t>
      </w:r>
    </w:p>
    <w:p w14:paraId="7FD8C347">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1．合同履行时间：</w:t>
      </w:r>
      <w:r>
        <w:rPr>
          <w:rFonts w:hint="eastAsia"/>
          <w:lang w:val="zh-CN"/>
        </w:rPr>
        <w:t>自</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日止；</w:t>
      </w:r>
    </w:p>
    <w:p w14:paraId="25A6A686">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2．交付或服务地点及方式：</w:t>
      </w:r>
      <w:r>
        <w:rPr>
          <w:rFonts w:hint="eastAsia" w:cs="宋体"/>
          <w:szCs w:val="24"/>
          <w:u w:val="single"/>
        </w:rPr>
        <w:t xml:space="preserve">      </w:t>
      </w:r>
      <w:r>
        <w:rPr>
          <w:rFonts w:hint="eastAsia" w:cs="宋体"/>
          <w:i/>
          <w:szCs w:val="24"/>
          <w:u w:val="single"/>
        </w:rPr>
        <w:t xml:space="preserve"> (见竞争性磋商文件)</w:t>
      </w:r>
      <w:r>
        <w:rPr>
          <w:rFonts w:hint="eastAsia" w:cs="宋体"/>
          <w:szCs w:val="24"/>
          <w:u w:val="single"/>
        </w:rPr>
        <w:t xml:space="preserve">                     </w:t>
      </w:r>
      <w:r>
        <w:rPr>
          <w:rFonts w:hint="eastAsia"/>
          <w:i/>
        </w:rPr>
        <w:t>。</w:t>
      </w:r>
    </w:p>
    <w:p w14:paraId="1F3DD7C2">
      <w:pPr>
        <w:pStyle w:val="44"/>
        <w:numPr>
          <w:ilvl w:val="0"/>
          <w:numId w:val="48"/>
        </w:numPr>
        <w:wordWrap w:val="0"/>
        <w:spacing w:before="78" w:beforeLines="25" w:line="360" w:lineRule="auto"/>
        <w:ind w:firstLineChars="0"/>
        <w:rPr>
          <w:rFonts w:cs="Helvetica"/>
          <w:bCs/>
          <w:szCs w:val="24"/>
          <w:lang w:val="zh-CN"/>
        </w:rPr>
      </w:pPr>
      <w:r>
        <w:rPr>
          <w:rFonts w:hint="eastAsia"/>
          <w:b/>
          <w:iCs/>
          <w:szCs w:val="24"/>
        </w:rPr>
        <w:t>包装及运输</w:t>
      </w:r>
    </w:p>
    <w:p w14:paraId="31E5277A">
      <w:pPr>
        <w:numPr>
          <w:ilvl w:val="255"/>
          <w:numId w:val="0"/>
        </w:numPr>
        <w:tabs>
          <w:tab w:val="left" w:pos="980"/>
        </w:tabs>
        <w:wordWrap w:val="0"/>
        <w:autoSpaceDE w:val="0"/>
        <w:autoSpaceDN w:val="0"/>
        <w:spacing w:before="78" w:beforeLines="25" w:line="360" w:lineRule="auto"/>
        <w:ind w:firstLine="960" w:firstLineChars="400"/>
        <w:contextualSpacing/>
        <w:rPr>
          <w:rFonts w:cs="宋体"/>
          <w:szCs w:val="24"/>
        </w:rPr>
      </w:pPr>
      <w:r>
        <w:rPr>
          <w:rFonts w:hint="eastAsia" w:cs="宋体"/>
          <w:szCs w:val="24"/>
          <w:u w:val="single"/>
        </w:rPr>
        <w:t xml:space="preserve">                               </w:t>
      </w:r>
      <w:r>
        <w:rPr>
          <w:rFonts w:hint="eastAsia" w:cs="宋体"/>
          <w:i/>
          <w:szCs w:val="24"/>
          <w:u w:val="single"/>
        </w:rPr>
        <w:t>(见竞争性磋商文件)</w:t>
      </w:r>
      <w:r>
        <w:rPr>
          <w:rFonts w:hint="eastAsia" w:cs="宋体"/>
          <w:szCs w:val="24"/>
          <w:u w:val="single"/>
        </w:rPr>
        <w:t xml:space="preserve">                      </w:t>
      </w:r>
      <w:r>
        <w:rPr>
          <w:rFonts w:hint="eastAsia" w:cs="宋体"/>
          <w:szCs w:val="24"/>
        </w:rPr>
        <w:t>。</w:t>
      </w:r>
    </w:p>
    <w:p w14:paraId="556632CD">
      <w:pPr>
        <w:pStyle w:val="44"/>
        <w:numPr>
          <w:ilvl w:val="0"/>
          <w:numId w:val="48"/>
        </w:numPr>
        <w:wordWrap w:val="0"/>
        <w:spacing w:before="78" w:beforeLines="25" w:line="360" w:lineRule="auto"/>
        <w:ind w:firstLineChars="0"/>
        <w:rPr>
          <w:rFonts w:cs="Helvetica"/>
          <w:bCs/>
          <w:szCs w:val="24"/>
          <w:lang w:val="zh-CN"/>
        </w:rPr>
      </w:pPr>
      <w:r>
        <w:rPr>
          <w:rFonts w:hint="eastAsia" w:cs="Helvetica"/>
          <w:b/>
          <w:szCs w:val="24"/>
          <w:lang w:val="zh-CN"/>
        </w:rPr>
        <w:t xml:space="preserve">合同价款  </w:t>
      </w:r>
    </w:p>
    <w:p w14:paraId="6F9E1951">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szCs w:val="24"/>
        </w:rPr>
      </w:pPr>
      <w:r>
        <w:rPr>
          <w:rFonts w:hint="eastAsia" w:cs="Helvetica"/>
          <w:szCs w:val="24"/>
          <w:lang w:val="zh-CN"/>
        </w:rPr>
        <w:t>1．本合同金额为（大写）：人民币</w:t>
      </w:r>
      <w:r>
        <w:rPr>
          <w:rFonts w:hint="eastAsia" w:cs="Helvetica"/>
          <w:szCs w:val="24"/>
          <w:u w:val="single"/>
        </w:rPr>
        <w:t xml:space="preserve">      </w:t>
      </w:r>
      <w:r>
        <w:rPr>
          <w:rFonts w:hint="eastAsia" w:cs="Helvetica"/>
          <w:bCs/>
          <w:i/>
          <w:iCs/>
          <w:szCs w:val="24"/>
          <w:u w:val="single"/>
        </w:rPr>
        <w:t>(见磋商文件)</w:t>
      </w:r>
      <w:r>
        <w:rPr>
          <w:rFonts w:hint="eastAsia" w:cs="Helvetica"/>
          <w:szCs w:val="24"/>
          <w:u w:val="single"/>
        </w:rPr>
        <w:t xml:space="preserve">   </w:t>
      </w:r>
      <w:r>
        <w:rPr>
          <w:rFonts w:hint="eastAsia" w:cs="Helvetica"/>
          <w:szCs w:val="24"/>
        </w:rPr>
        <w:t>元（</w:t>
      </w:r>
      <w:r>
        <w:rPr>
          <w:rFonts w:cs="Arial"/>
          <w:szCs w:val="24"/>
        </w:rPr>
        <w:t>¥</w:t>
      </w:r>
      <w:r>
        <w:rPr>
          <w:rFonts w:hint="eastAsia" w:cs="Helvetica"/>
          <w:szCs w:val="24"/>
        </w:rPr>
        <w:t>：</w:t>
      </w:r>
      <w:r>
        <w:rPr>
          <w:rFonts w:hint="eastAsia" w:cs="Helvetica"/>
          <w:szCs w:val="24"/>
          <w:u w:val="single"/>
        </w:rPr>
        <w:t xml:space="preserve">          </w:t>
      </w:r>
      <w:r>
        <w:rPr>
          <w:rFonts w:hint="eastAsia" w:cs="Helvetica"/>
          <w:szCs w:val="24"/>
        </w:rPr>
        <w:t>）；</w:t>
      </w:r>
    </w:p>
    <w:p w14:paraId="7CFA77D2">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Helvetica"/>
          <w:szCs w:val="24"/>
        </w:rPr>
        <w:t>2．合同金额包括乙方</w:t>
      </w:r>
      <w:r>
        <w:rPr>
          <w:rFonts w:hint="eastAsia" w:cs="宋体"/>
          <w:szCs w:val="24"/>
        </w:rPr>
        <w:t>完成本合同约定的全部工作可能发生的所有费用（含市场变化等可能发生的费用），即总报价为“交钥匙”价</w:t>
      </w:r>
      <w:r>
        <w:rPr>
          <w:rFonts w:hint="eastAsia" w:cs="宋体"/>
          <w:szCs w:val="24"/>
          <w:lang w:val="zh-CN"/>
        </w:rPr>
        <w:t>。</w:t>
      </w:r>
      <w:r>
        <w:rPr>
          <w:rFonts w:hint="eastAsia" w:cs="宋体"/>
          <w:szCs w:val="24"/>
        </w:rPr>
        <w:t>甲方在支付此金额后，不再因本合同支付任何其它费用；</w:t>
      </w:r>
    </w:p>
    <w:p w14:paraId="7DA980F0">
      <w:pPr>
        <w:numPr>
          <w:ilvl w:val="255"/>
          <w:numId w:val="0"/>
        </w:numPr>
        <w:tabs>
          <w:tab w:val="left" w:pos="980"/>
        </w:tabs>
        <w:wordWrap w:val="0"/>
        <w:autoSpaceDE w:val="0"/>
        <w:autoSpaceDN w:val="0"/>
        <w:spacing w:before="78" w:beforeLines="25" w:line="360" w:lineRule="auto"/>
        <w:ind w:left="547" w:leftChars="228" w:firstLine="480" w:firstLineChars="200"/>
        <w:contextualSpacing/>
        <w:rPr>
          <w:u w:val="single"/>
        </w:rPr>
      </w:pPr>
      <w:r>
        <w:rPr>
          <w:rFonts w:hint="eastAsia" w:cs="Helvetica"/>
          <w:szCs w:val="24"/>
        </w:rPr>
        <w:t>3．</w:t>
      </w:r>
      <w:r>
        <w:rPr>
          <w:rFonts w:hint="eastAsia" w:cs="宋体"/>
          <w:szCs w:val="24"/>
          <w:u w:val="single"/>
        </w:rPr>
        <w:t xml:space="preserve">                                                             </w:t>
      </w:r>
      <w:r>
        <w:rPr>
          <w:rFonts w:hint="eastAsia" w:cs="宋体"/>
          <w:szCs w:val="24"/>
        </w:rPr>
        <w:t xml:space="preserve"> 。</w:t>
      </w:r>
    </w:p>
    <w:p w14:paraId="1571530B">
      <w:pPr>
        <w:pStyle w:val="44"/>
        <w:numPr>
          <w:ilvl w:val="0"/>
          <w:numId w:val="48"/>
        </w:numPr>
        <w:wordWrap w:val="0"/>
        <w:spacing w:before="78" w:beforeLines="25" w:line="360" w:lineRule="auto"/>
        <w:ind w:firstLineChars="0"/>
        <w:rPr>
          <w:rFonts w:cs="Helvetica"/>
          <w:bCs/>
          <w:szCs w:val="24"/>
          <w:lang w:val="zh-CN"/>
        </w:rPr>
      </w:pPr>
      <w:r>
        <w:rPr>
          <w:rFonts w:hint="eastAsia" w:cs="Helvetica"/>
          <w:b/>
          <w:szCs w:val="24"/>
          <w:lang w:val="zh-CN"/>
        </w:rPr>
        <w:t>资金支付方式及安排</w:t>
      </w:r>
    </w:p>
    <w:p w14:paraId="2E1A5F50">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iCs/>
          <w:szCs w:val="24"/>
        </w:rPr>
      </w:pPr>
      <w:r>
        <w:rPr>
          <w:rFonts w:hint="eastAsia" w:cs="Helvetica"/>
          <w:bCs/>
          <w:iCs/>
          <w:szCs w:val="24"/>
          <w:u w:val="single"/>
        </w:rPr>
        <w:t xml:space="preserve">     </w:t>
      </w:r>
      <w:r>
        <w:rPr>
          <w:rFonts w:hint="eastAsia" w:cs="Helvetica"/>
          <w:bCs/>
          <w:i/>
          <w:iCs/>
          <w:szCs w:val="24"/>
          <w:u w:val="single"/>
        </w:rPr>
        <w:t>(见竞争性磋商文件)</w:t>
      </w:r>
      <w:r>
        <w:rPr>
          <w:rFonts w:hint="eastAsia" w:cs="Helvetica"/>
          <w:bCs/>
          <w:iCs/>
          <w:szCs w:val="24"/>
          <w:u w:val="single"/>
        </w:rPr>
        <w:t xml:space="preserve">                                            </w:t>
      </w:r>
      <w:r>
        <w:rPr>
          <w:rFonts w:hint="eastAsia" w:cs="Helvetica"/>
          <w:bCs/>
          <w:iCs/>
          <w:szCs w:val="24"/>
        </w:rPr>
        <w:t>。</w:t>
      </w:r>
    </w:p>
    <w:p w14:paraId="6D2F9445">
      <w:pPr>
        <w:pStyle w:val="44"/>
        <w:numPr>
          <w:ilvl w:val="0"/>
          <w:numId w:val="48"/>
        </w:numPr>
        <w:wordWrap w:val="0"/>
        <w:spacing w:before="78" w:beforeLines="25" w:line="360" w:lineRule="auto"/>
        <w:ind w:firstLineChars="0"/>
        <w:rPr>
          <w:rFonts w:cs="Helvetica"/>
          <w:b/>
          <w:szCs w:val="24"/>
          <w:lang w:val="zh-CN"/>
        </w:rPr>
      </w:pPr>
      <w:r>
        <w:rPr>
          <w:rFonts w:hint="eastAsia" w:cs="Helvetica"/>
          <w:b/>
          <w:szCs w:val="24"/>
          <w:lang w:val="zh-CN"/>
        </w:rPr>
        <w:t>交付标准、方法和验收方案</w:t>
      </w:r>
    </w:p>
    <w:p w14:paraId="16EEB1EA">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1．</w:t>
      </w:r>
      <w:r>
        <w:rPr>
          <w:rFonts w:hint="eastAsia" w:cs="Helvetica"/>
          <w:bCs/>
          <w:szCs w:val="24"/>
          <w:lang w:val="zh-CN"/>
        </w:rPr>
        <w:t>交付标准、方法：</w:t>
      </w:r>
      <w:r>
        <w:rPr>
          <w:rFonts w:hint="eastAsia" w:cs="Helvetica"/>
          <w:bCs/>
          <w:szCs w:val="24"/>
          <w:u w:val="single"/>
          <w:lang w:val="zh-CN"/>
        </w:rPr>
        <w:t xml:space="preserve">        </w:t>
      </w:r>
      <w:r>
        <w:rPr>
          <w:rFonts w:hint="eastAsia" w:cs="Helvetica"/>
          <w:bCs/>
          <w:i/>
          <w:iCs/>
          <w:szCs w:val="24"/>
          <w:u w:val="single"/>
        </w:rPr>
        <w:t>(见竞争性磋商文件)</w:t>
      </w:r>
      <w:r>
        <w:rPr>
          <w:rFonts w:hint="eastAsia" w:cs="Helvetica"/>
          <w:bCs/>
          <w:szCs w:val="24"/>
          <w:u w:val="single"/>
          <w:lang w:val="zh-CN"/>
        </w:rPr>
        <w:t xml:space="preserve">                         </w:t>
      </w:r>
      <w:r>
        <w:rPr>
          <w:rFonts w:hint="eastAsia" w:cs="Helvetica"/>
          <w:bCs/>
          <w:szCs w:val="24"/>
          <w:lang w:val="zh-CN"/>
        </w:rPr>
        <w:t>；</w:t>
      </w:r>
    </w:p>
    <w:p w14:paraId="3E8A49FD">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szCs w:val="24"/>
        </w:rPr>
      </w:pPr>
      <w:r>
        <w:rPr>
          <w:rFonts w:hint="eastAsia" w:cs="宋体"/>
          <w:szCs w:val="24"/>
        </w:rPr>
        <w:t>2．</w:t>
      </w:r>
      <w:r>
        <w:rPr>
          <w:rFonts w:hint="eastAsia" w:cs="Helvetica"/>
          <w:bCs/>
          <w:szCs w:val="24"/>
          <w:lang w:val="zh-CN"/>
        </w:rPr>
        <w:t>验收方案：</w:t>
      </w:r>
      <w:r>
        <w:rPr>
          <w:rFonts w:hint="eastAsia" w:cs="Helvetica"/>
          <w:bCs/>
          <w:szCs w:val="24"/>
          <w:u w:val="single"/>
        </w:rPr>
        <w:t xml:space="preserve"> </w:t>
      </w:r>
      <w:r>
        <w:rPr>
          <w:rFonts w:hint="eastAsia" w:cs="Helvetica"/>
          <w:bCs/>
          <w:iCs/>
          <w:szCs w:val="24"/>
          <w:u w:val="single"/>
        </w:rPr>
        <w:t xml:space="preserve">           </w:t>
      </w:r>
      <w:r>
        <w:rPr>
          <w:rFonts w:hint="eastAsia" w:cs="Helvetica"/>
          <w:bCs/>
          <w:i/>
          <w:iCs/>
          <w:szCs w:val="24"/>
          <w:u w:val="single"/>
        </w:rPr>
        <w:t>(见竞争性磋商文件)</w:t>
      </w:r>
      <w:r>
        <w:rPr>
          <w:rFonts w:hint="eastAsia" w:cs="Helvetica"/>
          <w:bCs/>
          <w:iCs/>
          <w:szCs w:val="24"/>
          <w:u w:val="single"/>
        </w:rPr>
        <w:t xml:space="preserve">                 </w:t>
      </w:r>
      <w:r>
        <w:rPr>
          <w:rFonts w:cs="Helvetica"/>
          <w:bCs/>
          <w:iCs/>
          <w:szCs w:val="24"/>
          <w:u w:val="single"/>
        </w:rPr>
        <w:t xml:space="preserve"> </w:t>
      </w:r>
      <w:r>
        <w:rPr>
          <w:rFonts w:hint="eastAsia" w:cs="Helvetica"/>
          <w:bCs/>
          <w:iCs/>
          <w:szCs w:val="24"/>
          <w:u w:val="single"/>
        </w:rPr>
        <w:t xml:space="preserve">         </w:t>
      </w:r>
      <w:r>
        <w:rPr>
          <w:rFonts w:hint="eastAsia" w:cs="Helvetica"/>
          <w:bCs/>
          <w:iCs/>
          <w:szCs w:val="24"/>
        </w:rPr>
        <w:t>。</w:t>
      </w:r>
    </w:p>
    <w:p w14:paraId="61AF15BE">
      <w:pPr>
        <w:pStyle w:val="44"/>
        <w:numPr>
          <w:ilvl w:val="0"/>
          <w:numId w:val="48"/>
        </w:numPr>
        <w:wordWrap w:val="0"/>
        <w:spacing w:before="78" w:beforeLines="25" w:line="360" w:lineRule="auto"/>
        <w:ind w:firstLineChars="0"/>
        <w:rPr>
          <w:rFonts w:cs="Helvetica"/>
          <w:szCs w:val="24"/>
          <w:lang w:val="zh-CN"/>
        </w:rPr>
      </w:pPr>
      <w:r>
        <w:rPr>
          <w:rFonts w:hint="eastAsia" w:cs="Helvetica"/>
          <w:b/>
          <w:szCs w:val="24"/>
          <w:lang w:val="zh-CN"/>
        </w:rPr>
        <w:t>质保（服务）期及质保（服务）范围和要求</w:t>
      </w:r>
    </w:p>
    <w:p w14:paraId="2BB5662C">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szCs w:val="24"/>
          <w:u w:val="single"/>
        </w:rPr>
      </w:pPr>
      <w:r>
        <w:rPr>
          <w:rFonts w:hint="eastAsia" w:cs="宋体"/>
          <w:szCs w:val="24"/>
        </w:rPr>
        <w:t>1．质保（服务)期：</w:t>
      </w:r>
      <w:r>
        <w:rPr>
          <w:rFonts w:hint="eastAsia" w:cs="Helvetica"/>
          <w:i/>
          <w:iCs/>
          <w:szCs w:val="24"/>
          <w:u w:val="single"/>
        </w:rPr>
        <w:t xml:space="preserve">            </w:t>
      </w:r>
      <w:r>
        <w:rPr>
          <w:rFonts w:hint="eastAsia" w:cs="Helvetica"/>
          <w:bCs/>
          <w:i/>
          <w:iCs/>
          <w:szCs w:val="24"/>
          <w:u w:val="single"/>
        </w:rPr>
        <w:t>(见竞争性磋商文件)</w:t>
      </w:r>
      <w:r>
        <w:rPr>
          <w:rFonts w:hint="eastAsia" w:cs="Helvetica"/>
          <w:i/>
          <w:iCs/>
          <w:szCs w:val="24"/>
          <w:u w:val="single"/>
        </w:rPr>
        <w:t xml:space="preserve">                </w:t>
      </w:r>
      <w:r>
        <w:rPr>
          <w:rFonts w:hint="eastAsia" w:cs="Helvetica"/>
          <w:i/>
          <w:szCs w:val="24"/>
          <w:u w:val="single"/>
        </w:rPr>
        <w:t xml:space="preserve">   </w:t>
      </w:r>
      <w:r>
        <w:rPr>
          <w:rFonts w:hint="eastAsia" w:cs="Helvetica"/>
          <w:i/>
          <w:szCs w:val="24"/>
        </w:rPr>
        <w:t>；</w:t>
      </w:r>
    </w:p>
    <w:p w14:paraId="3A52A7BE">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2．质保（服务）范围：</w:t>
      </w:r>
      <w:r>
        <w:rPr>
          <w:rFonts w:hint="eastAsia" w:cs="Helvetica"/>
          <w:i/>
          <w:iCs/>
          <w:szCs w:val="24"/>
          <w:u w:val="single"/>
        </w:rPr>
        <w:t xml:space="preserve">          </w:t>
      </w:r>
      <w:r>
        <w:rPr>
          <w:rFonts w:hint="eastAsia" w:cs="Helvetica"/>
          <w:bCs/>
          <w:i/>
          <w:iCs/>
          <w:szCs w:val="24"/>
          <w:u w:val="single"/>
        </w:rPr>
        <w:t>(见竞争性磋商文件)</w:t>
      </w:r>
      <w:r>
        <w:rPr>
          <w:rFonts w:hint="eastAsia" w:cs="Helvetica"/>
          <w:i/>
          <w:iCs/>
          <w:szCs w:val="24"/>
          <w:u w:val="single"/>
        </w:rPr>
        <w:t xml:space="preserve">                  </w:t>
      </w:r>
      <w:r>
        <w:rPr>
          <w:rFonts w:hint="eastAsia" w:cs="Helvetica"/>
          <w:i/>
          <w:szCs w:val="24"/>
          <w:lang w:val="zh-CN"/>
        </w:rPr>
        <w:t>；</w:t>
      </w:r>
    </w:p>
    <w:p w14:paraId="2A855E47">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3．质保（服务）要求：</w:t>
      </w:r>
      <w:r>
        <w:rPr>
          <w:rFonts w:hint="eastAsia" w:cs="Helvetica"/>
          <w:i/>
          <w:iCs/>
          <w:szCs w:val="24"/>
          <w:u w:val="single"/>
        </w:rPr>
        <w:t xml:space="preserve">          </w:t>
      </w:r>
      <w:r>
        <w:rPr>
          <w:rFonts w:hint="eastAsia" w:cs="Helvetica"/>
          <w:bCs/>
          <w:i/>
          <w:iCs/>
          <w:szCs w:val="24"/>
          <w:u w:val="single"/>
        </w:rPr>
        <w:t>(见竞争性磋商文件)</w:t>
      </w:r>
      <w:r>
        <w:rPr>
          <w:rFonts w:hint="eastAsia" w:cs="Helvetica"/>
          <w:i/>
          <w:iCs/>
          <w:szCs w:val="24"/>
          <w:u w:val="single"/>
        </w:rPr>
        <w:t xml:space="preserve">                  </w:t>
      </w:r>
      <w:r>
        <w:rPr>
          <w:rFonts w:hint="eastAsia" w:cs="Helvetica"/>
          <w:i/>
          <w:szCs w:val="24"/>
          <w:lang w:val="zh-CN"/>
        </w:rPr>
        <w:t>。</w:t>
      </w:r>
    </w:p>
    <w:p w14:paraId="72114286">
      <w:pPr>
        <w:pStyle w:val="44"/>
        <w:numPr>
          <w:ilvl w:val="0"/>
          <w:numId w:val="48"/>
        </w:numPr>
        <w:wordWrap w:val="0"/>
        <w:spacing w:before="78" w:beforeLines="25" w:line="360" w:lineRule="auto"/>
        <w:ind w:firstLineChars="0"/>
        <w:rPr>
          <w:rFonts w:cs="Helvetica"/>
          <w:bCs/>
          <w:szCs w:val="24"/>
          <w:lang w:val="zh-CN"/>
        </w:rPr>
      </w:pPr>
      <w:r>
        <w:rPr>
          <w:rFonts w:hint="eastAsia" w:cs="Helvetica"/>
          <w:b/>
          <w:bCs/>
          <w:szCs w:val="24"/>
          <w:lang w:val="zh-CN"/>
        </w:rPr>
        <w:t>项目培训</w:t>
      </w:r>
    </w:p>
    <w:p w14:paraId="5FBD9361">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szCs w:val="24"/>
        </w:rPr>
      </w:pPr>
      <w:r>
        <w:rPr>
          <w:rFonts w:hint="eastAsia" w:cs="Helvetica"/>
          <w:bCs/>
          <w:szCs w:val="24"/>
          <w:u w:val="single"/>
        </w:rPr>
        <w:t xml:space="preserve">                </w:t>
      </w:r>
      <w:r>
        <w:rPr>
          <w:rFonts w:cs="Helvetica"/>
          <w:bCs/>
          <w:szCs w:val="24"/>
          <w:u w:val="single"/>
        </w:rPr>
        <w:t xml:space="preserve">     </w:t>
      </w:r>
      <w:r>
        <w:rPr>
          <w:rFonts w:hint="eastAsia" w:cs="Helvetica"/>
          <w:bCs/>
          <w:i/>
          <w:iCs/>
          <w:szCs w:val="24"/>
          <w:u w:val="single"/>
        </w:rPr>
        <w:t>(见磋商文件)</w:t>
      </w:r>
      <w:r>
        <w:rPr>
          <w:rFonts w:hint="eastAsia" w:cs="Helvetica"/>
          <w:bCs/>
          <w:szCs w:val="24"/>
          <w:u w:val="single"/>
        </w:rPr>
        <w:t xml:space="preserve">                         </w:t>
      </w:r>
      <w:r>
        <w:rPr>
          <w:rFonts w:hint="eastAsia" w:cs="Helvetica"/>
          <w:bCs/>
          <w:szCs w:val="24"/>
        </w:rPr>
        <w:t>。</w:t>
      </w:r>
    </w:p>
    <w:p w14:paraId="76CB5419">
      <w:pPr>
        <w:pStyle w:val="44"/>
        <w:numPr>
          <w:ilvl w:val="0"/>
          <w:numId w:val="48"/>
        </w:numPr>
        <w:wordWrap w:val="0"/>
        <w:spacing w:before="78" w:beforeLines="25" w:line="360" w:lineRule="auto"/>
        <w:ind w:firstLineChars="0"/>
        <w:rPr>
          <w:rFonts w:cs="Helvetica"/>
          <w:bCs/>
          <w:i/>
          <w:iCs/>
          <w:szCs w:val="24"/>
          <w:lang w:val="zh-CN"/>
        </w:rPr>
      </w:pPr>
      <w:r>
        <w:rPr>
          <w:rFonts w:hint="eastAsia" w:cs="Helvetica"/>
          <w:b/>
          <w:szCs w:val="24"/>
          <w:lang w:val="zh-CN"/>
        </w:rPr>
        <w:t>知识产权归属、处理方式</w:t>
      </w:r>
    </w:p>
    <w:p w14:paraId="62DACD43">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i/>
          <w:iCs/>
          <w:szCs w:val="24"/>
        </w:rPr>
      </w:pPr>
      <w:r>
        <w:rPr>
          <w:rFonts w:hint="eastAsia" w:cs="Helvetica"/>
          <w:bCs/>
          <w:i/>
          <w:iCs/>
          <w:szCs w:val="24"/>
          <w:u w:val="single"/>
        </w:rPr>
        <w:t xml:space="preserve">                    (见竞争性磋商文件)                          </w:t>
      </w:r>
      <w:r>
        <w:rPr>
          <w:rFonts w:hint="eastAsia" w:cs="Helvetica"/>
          <w:bCs/>
          <w:i/>
          <w:iCs/>
          <w:szCs w:val="24"/>
        </w:rPr>
        <w:t>。</w:t>
      </w:r>
    </w:p>
    <w:p w14:paraId="44E87B65">
      <w:pPr>
        <w:pStyle w:val="44"/>
        <w:numPr>
          <w:ilvl w:val="0"/>
          <w:numId w:val="48"/>
        </w:numPr>
        <w:wordWrap w:val="0"/>
        <w:spacing w:before="78" w:beforeLines="25" w:line="360" w:lineRule="auto"/>
        <w:ind w:firstLineChars="0"/>
        <w:rPr>
          <w:rFonts w:cs="Helvetica"/>
          <w:b/>
          <w:szCs w:val="24"/>
          <w:lang w:val="zh-CN"/>
        </w:rPr>
      </w:pPr>
      <w:r>
        <w:rPr>
          <w:rFonts w:hint="eastAsia" w:cs="Helvetica"/>
          <w:b/>
          <w:szCs w:val="24"/>
          <w:lang w:val="zh-CN"/>
        </w:rPr>
        <w:t>双方的权利和义务</w:t>
      </w:r>
    </w:p>
    <w:p w14:paraId="2724C174">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szCs w:val="24"/>
          <w:u w:val="single"/>
        </w:rPr>
      </w:pPr>
      <w:r>
        <w:rPr>
          <w:rFonts w:hint="eastAsia" w:cs="宋体"/>
          <w:szCs w:val="24"/>
        </w:rPr>
        <w:t>1．</w:t>
      </w:r>
      <w:r>
        <w:rPr>
          <w:rFonts w:hint="eastAsia" w:cs="Helvetica"/>
          <w:bCs/>
          <w:szCs w:val="24"/>
        </w:rPr>
        <w:t>甲方的</w:t>
      </w:r>
      <w:r>
        <w:rPr>
          <w:rFonts w:hint="eastAsia" w:cs="宋体"/>
          <w:szCs w:val="24"/>
        </w:rPr>
        <w:t>权力</w:t>
      </w:r>
      <w:r>
        <w:rPr>
          <w:rFonts w:hint="eastAsia" w:cs="Helvetica"/>
          <w:bCs/>
          <w:szCs w:val="24"/>
        </w:rPr>
        <w:t>和义务：</w:t>
      </w:r>
      <w:r>
        <w:rPr>
          <w:rFonts w:hint="eastAsia" w:cs="Helvetica"/>
          <w:bCs/>
          <w:i/>
          <w:iCs/>
          <w:szCs w:val="24"/>
          <w:u w:val="single"/>
        </w:rPr>
        <w:t xml:space="preserve">                                       </w:t>
      </w:r>
      <w:r>
        <w:rPr>
          <w:rFonts w:hint="eastAsia" w:cs="Helvetica"/>
          <w:bCs/>
          <w:szCs w:val="24"/>
        </w:rPr>
        <w:t>；</w:t>
      </w:r>
    </w:p>
    <w:p w14:paraId="33FA6941">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szCs w:val="24"/>
        </w:rPr>
      </w:pPr>
      <w:r>
        <w:rPr>
          <w:rFonts w:hint="eastAsia" w:cs="宋体"/>
          <w:szCs w:val="24"/>
        </w:rPr>
        <w:t>2．</w:t>
      </w:r>
      <w:r>
        <w:rPr>
          <w:rFonts w:hint="eastAsia" w:cs="Helvetica"/>
          <w:bCs/>
          <w:szCs w:val="24"/>
        </w:rPr>
        <w:t>乙方的</w:t>
      </w:r>
      <w:r>
        <w:rPr>
          <w:rFonts w:hint="eastAsia" w:cs="宋体"/>
          <w:szCs w:val="24"/>
        </w:rPr>
        <w:t>权力</w:t>
      </w:r>
      <w:r>
        <w:rPr>
          <w:rFonts w:hint="eastAsia" w:cs="Helvetica"/>
          <w:bCs/>
          <w:szCs w:val="24"/>
        </w:rPr>
        <w:t>和义务：</w:t>
      </w:r>
      <w:r>
        <w:rPr>
          <w:rFonts w:hint="eastAsia" w:cs="Helvetica"/>
          <w:bCs/>
          <w:i/>
          <w:iCs/>
          <w:szCs w:val="24"/>
          <w:u w:val="single"/>
        </w:rPr>
        <w:t xml:space="preserve">                                       </w:t>
      </w:r>
      <w:r>
        <w:rPr>
          <w:rFonts w:hint="eastAsia" w:cs="Helvetica"/>
          <w:bCs/>
          <w:szCs w:val="24"/>
        </w:rPr>
        <w:t>。</w:t>
      </w:r>
    </w:p>
    <w:p w14:paraId="544A8229">
      <w:pPr>
        <w:pStyle w:val="44"/>
        <w:numPr>
          <w:ilvl w:val="0"/>
          <w:numId w:val="48"/>
        </w:numPr>
        <w:wordWrap w:val="0"/>
        <w:spacing w:before="78" w:beforeLines="25" w:line="360" w:lineRule="auto"/>
        <w:ind w:firstLineChars="0"/>
        <w:rPr>
          <w:rFonts w:cs="Helvetica"/>
          <w:b/>
          <w:szCs w:val="24"/>
          <w:lang w:val="zh-CN"/>
        </w:rPr>
      </w:pPr>
      <w:r>
        <w:rPr>
          <w:rFonts w:hint="eastAsia" w:cs="Helvetica"/>
          <w:b/>
          <w:szCs w:val="24"/>
          <w:lang w:val="zh-CN"/>
        </w:rPr>
        <w:t>违约责任</w:t>
      </w:r>
    </w:p>
    <w:p w14:paraId="62A7B0FF">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1．</w:t>
      </w:r>
      <w:r>
        <w:rPr>
          <w:rFonts w:hint="eastAsia" w:cs="宋体"/>
          <w:szCs w:val="24"/>
          <w:lang w:val="zh-CN"/>
        </w:rPr>
        <w:t>甲方的违约责任</w:t>
      </w:r>
      <w:r>
        <w:rPr>
          <w:rFonts w:hint="eastAsia" w:cs="宋体"/>
          <w:szCs w:val="24"/>
        </w:rPr>
        <w:t>：</w:t>
      </w:r>
      <w:r>
        <w:rPr>
          <w:rFonts w:hint="eastAsia" w:cs="宋体"/>
          <w:szCs w:val="24"/>
          <w:u w:val="single"/>
        </w:rPr>
        <w:t xml:space="preserve">                                         </w:t>
      </w:r>
      <w:r>
        <w:rPr>
          <w:rFonts w:hint="eastAsia" w:cs="宋体"/>
          <w:szCs w:val="24"/>
        </w:rPr>
        <w:t>；</w:t>
      </w:r>
    </w:p>
    <w:p w14:paraId="2EA9505B">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2．乙方的违约责任：</w:t>
      </w:r>
      <w:r>
        <w:rPr>
          <w:rFonts w:hint="eastAsia" w:cs="宋体"/>
          <w:szCs w:val="24"/>
          <w:u w:val="single"/>
        </w:rPr>
        <w:t xml:space="preserve">     </w:t>
      </w:r>
      <w:r>
        <w:rPr>
          <w:rFonts w:cs="宋体"/>
          <w:szCs w:val="24"/>
          <w:u w:val="single"/>
        </w:rPr>
        <w:t xml:space="preserve"> </w:t>
      </w:r>
      <w:r>
        <w:rPr>
          <w:rFonts w:hint="eastAsia" w:cs="宋体"/>
          <w:szCs w:val="24"/>
          <w:u w:val="single"/>
        </w:rPr>
        <w:t xml:space="preserve">  </w:t>
      </w:r>
      <w:r>
        <w:rPr>
          <w:rFonts w:hint="eastAsia" w:cs="Helvetica"/>
          <w:bCs/>
          <w:i/>
          <w:iCs/>
          <w:szCs w:val="24"/>
          <w:u w:val="single"/>
        </w:rPr>
        <w:t>(见竞争性磋商文件)</w:t>
      </w:r>
      <w:r>
        <w:rPr>
          <w:rFonts w:hint="eastAsia" w:cs="宋体"/>
          <w:szCs w:val="24"/>
          <w:u w:val="single"/>
        </w:rPr>
        <w:t xml:space="preserve">                     </w:t>
      </w:r>
      <w:r>
        <w:rPr>
          <w:rFonts w:hint="eastAsia" w:cs="宋体"/>
          <w:szCs w:val="24"/>
        </w:rPr>
        <w:t>。</w:t>
      </w:r>
    </w:p>
    <w:p w14:paraId="3ACE568C">
      <w:pPr>
        <w:pStyle w:val="44"/>
        <w:numPr>
          <w:ilvl w:val="0"/>
          <w:numId w:val="48"/>
        </w:numPr>
        <w:wordWrap w:val="0"/>
        <w:spacing w:before="78" w:beforeLines="25" w:line="360" w:lineRule="auto"/>
        <w:ind w:firstLineChars="0"/>
        <w:rPr>
          <w:rFonts w:cs="Helvetica"/>
          <w:bCs/>
          <w:i/>
          <w:iCs/>
          <w:szCs w:val="24"/>
          <w:u w:val="single"/>
          <w:lang w:val="zh-CN"/>
        </w:rPr>
      </w:pPr>
      <w:r>
        <w:rPr>
          <w:rFonts w:hint="eastAsia" w:cs="Helvetica"/>
          <w:b/>
          <w:szCs w:val="24"/>
          <w:lang w:val="zh-CN"/>
        </w:rPr>
        <w:t>保密条款</w:t>
      </w:r>
    </w:p>
    <w:p w14:paraId="5F88FC7A">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szCs w:val="24"/>
        </w:rPr>
      </w:pPr>
      <w:r>
        <w:rPr>
          <w:rFonts w:hint="eastAsia" w:cs="Helvetica"/>
          <w:bCs/>
          <w:i/>
          <w:iCs/>
          <w:szCs w:val="24"/>
          <w:u w:val="single"/>
        </w:rPr>
        <w:t xml:space="preserve">                      </w:t>
      </w:r>
      <w:r>
        <w:rPr>
          <w:rFonts w:cs="Helvetica"/>
          <w:bCs/>
          <w:i/>
          <w:iCs/>
          <w:szCs w:val="24"/>
          <w:u w:val="single"/>
        </w:rPr>
        <w:t xml:space="preserve">  </w:t>
      </w:r>
      <w:r>
        <w:rPr>
          <w:rFonts w:hint="eastAsia" w:cs="Helvetica"/>
          <w:bCs/>
          <w:i/>
          <w:iCs/>
          <w:szCs w:val="24"/>
          <w:u w:val="single"/>
        </w:rPr>
        <w:t xml:space="preserve"> (见竞争性磋商文件)                      </w:t>
      </w:r>
      <w:r>
        <w:rPr>
          <w:rFonts w:hint="eastAsia" w:cs="Helvetica"/>
          <w:bCs/>
          <w:szCs w:val="24"/>
        </w:rPr>
        <w:t>。</w:t>
      </w:r>
    </w:p>
    <w:p w14:paraId="3FC753D3">
      <w:pPr>
        <w:pStyle w:val="44"/>
        <w:numPr>
          <w:ilvl w:val="0"/>
          <w:numId w:val="48"/>
        </w:numPr>
        <w:wordWrap w:val="0"/>
        <w:spacing w:before="78" w:beforeLines="25" w:line="360" w:lineRule="auto"/>
        <w:ind w:firstLineChars="0"/>
        <w:rPr>
          <w:rFonts w:cs="Helvetica"/>
          <w:b/>
          <w:szCs w:val="24"/>
          <w:lang w:val="zh-CN"/>
        </w:rPr>
      </w:pPr>
      <w:r>
        <w:rPr>
          <w:rFonts w:hint="eastAsia" w:cs="Helvetica"/>
          <w:b/>
          <w:szCs w:val="24"/>
          <w:lang w:val="zh-CN"/>
        </w:rPr>
        <w:t>其它补充条款</w:t>
      </w:r>
    </w:p>
    <w:p w14:paraId="50F56DCE">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szCs w:val="24"/>
        </w:rPr>
      </w:pPr>
      <w:r>
        <w:rPr>
          <w:rFonts w:hint="eastAsia" w:cs="Helvetica"/>
          <w:bCs/>
          <w:szCs w:val="24"/>
          <w:u w:val="single"/>
        </w:rPr>
        <w:t xml:space="preserve">                                                           </w:t>
      </w:r>
      <w:r>
        <w:rPr>
          <w:rFonts w:hint="eastAsia" w:cs="Helvetica"/>
          <w:bCs/>
          <w:szCs w:val="24"/>
        </w:rPr>
        <w:t>。</w:t>
      </w:r>
    </w:p>
    <w:p w14:paraId="1C7EB75B">
      <w:pPr>
        <w:pStyle w:val="44"/>
        <w:numPr>
          <w:ilvl w:val="0"/>
          <w:numId w:val="48"/>
        </w:numPr>
        <w:wordWrap w:val="0"/>
        <w:spacing w:before="78" w:beforeLines="25" w:line="360" w:lineRule="auto"/>
        <w:ind w:firstLineChars="0"/>
        <w:rPr>
          <w:rFonts w:cs="Helvetica"/>
          <w:b/>
          <w:bCs/>
          <w:szCs w:val="24"/>
          <w:lang w:val="zh-CN"/>
        </w:rPr>
      </w:pPr>
      <w:r>
        <w:rPr>
          <w:rFonts w:hint="eastAsia" w:cs="Helvetica"/>
          <w:bCs/>
          <w:i/>
          <w:iCs/>
          <w:szCs w:val="24"/>
        </w:rPr>
        <w:t xml:space="preserve"> </w:t>
      </w:r>
      <w:r>
        <w:rPr>
          <w:rFonts w:hint="eastAsia" w:cs="Helvetica"/>
          <w:b/>
          <w:bCs/>
          <w:szCs w:val="24"/>
          <w:lang w:val="zh-CN"/>
        </w:rPr>
        <w:t>不可抗力</w:t>
      </w:r>
    </w:p>
    <w:p w14:paraId="164001B8">
      <w:pPr>
        <w:wordWrap w:val="0"/>
        <w:spacing w:before="78" w:beforeLines="25" w:line="360" w:lineRule="auto"/>
        <w:ind w:firstLine="480" w:firstLineChars="200"/>
        <w:rPr>
          <w:rFonts w:cs="Helvetica"/>
          <w:b/>
          <w:szCs w:val="24"/>
          <w:lang w:val="zh-CN"/>
        </w:rPr>
      </w:pPr>
      <w:r>
        <w:rPr>
          <w:rFonts w:hint="eastAsia"/>
        </w:rPr>
        <w:t>任何一方由于不可抗力原因不能履行合同时，应在不可抗力事件结束后</w:t>
      </w:r>
      <w:r>
        <w:rPr>
          <w:rFonts w:hint="eastAsia"/>
          <w:u w:val="single"/>
        </w:rPr>
        <w:t xml:space="preserve">     </w:t>
      </w:r>
      <w:r>
        <w:rPr>
          <w:rFonts w:hint="eastAsia"/>
        </w:rPr>
        <w:t>日内以书面形式通知对方，以减轻可能给对方造成的损失，在取得有关机构的不可抗力证明或双方谅解确认后，允许延期履行或修订合同，并根据情况可部分或全部免于承担违约责任。</w:t>
      </w:r>
    </w:p>
    <w:p w14:paraId="2DD2AA4E">
      <w:pPr>
        <w:pStyle w:val="44"/>
        <w:numPr>
          <w:ilvl w:val="0"/>
          <w:numId w:val="48"/>
        </w:numPr>
        <w:wordWrap w:val="0"/>
        <w:spacing w:before="78" w:beforeLines="25" w:line="360" w:lineRule="auto"/>
        <w:ind w:firstLineChars="0"/>
        <w:rPr>
          <w:rFonts w:cs="Helvetica"/>
          <w:b/>
          <w:szCs w:val="24"/>
          <w:lang w:val="zh-CN"/>
        </w:rPr>
      </w:pPr>
      <w:r>
        <w:rPr>
          <w:rFonts w:hint="eastAsia" w:cs="Helvetica"/>
          <w:b/>
          <w:szCs w:val="24"/>
          <w:lang w:val="zh-CN"/>
        </w:rPr>
        <w:t>解决争议的方法</w:t>
      </w:r>
    </w:p>
    <w:p w14:paraId="204990FD">
      <w:pPr>
        <w:numPr>
          <w:ilvl w:val="255"/>
          <w:numId w:val="0"/>
        </w:numPr>
        <w:tabs>
          <w:tab w:val="left" w:pos="980"/>
        </w:tabs>
        <w:wordWrap w:val="0"/>
        <w:autoSpaceDE w:val="0"/>
        <w:autoSpaceDN w:val="0"/>
        <w:spacing w:before="78" w:beforeLines="25" w:line="360" w:lineRule="auto"/>
        <w:ind w:firstLine="480" w:firstLineChars="200"/>
        <w:contextualSpacing/>
      </w:pPr>
      <w:r>
        <w:rPr>
          <w:rFonts w:hint="eastAsia"/>
        </w:rPr>
        <w:t>一切由执行合同引起的或与本合同有关的争执，双方应通过友好协商解决，如协商不能解决应提交甲方所在地有管辖权的人民法院诉讼解决。</w:t>
      </w:r>
    </w:p>
    <w:p w14:paraId="3C60B32A">
      <w:pPr>
        <w:pStyle w:val="44"/>
        <w:numPr>
          <w:ilvl w:val="0"/>
          <w:numId w:val="48"/>
        </w:numPr>
        <w:wordWrap w:val="0"/>
        <w:spacing w:before="78" w:beforeLines="25" w:line="360" w:lineRule="auto"/>
        <w:ind w:firstLineChars="0"/>
        <w:rPr>
          <w:rFonts w:cs="Helvetica"/>
          <w:b/>
          <w:szCs w:val="24"/>
          <w:lang w:val="zh-CN"/>
        </w:rPr>
      </w:pPr>
      <w:r>
        <w:rPr>
          <w:rFonts w:hint="eastAsia" w:cs="Helvetica"/>
          <w:b/>
          <w:szCs w:val="24"/>
          <w:lang w:val="zh-CN"/>
        </w:rPr>
        <w:t>合同组成</w:t>
      </w:r>
    </w:p>
    <w:p w14:paraId="68564D9F">
      <w:pPr>
        <w:wordWrap w:val="0"/>
        <w:spacing w:before="78" w:beforeLines="25" w:line="360" w:lineRule="auto"/>
        <w:ind w:firstLine="960" w:firstLineChars="400"/>
        <w:rPr>
          <w:rFonts w:cs="Helvetica"/>
          <w:szCs w:val="24"/>
          <w:lang w:val="zh-CN"/>
        </w:rPr>
      </w:pPr>
      <w:r>
        <w:rPr>
          <w:rFonts w:hint="eastAsia"/>
        </w:rPr>
        <w:t>下列文件为本合同不可分割的部分：</w:t>
      </w:r>
    </w:p>
    <w:p w14:paraId="5CE526E5">
      <w:pPr>
        <w:numPr>
          <w:ilvl w:val="255"/>
          <w:numId w:val="0"/>
        </w:numPr>
        <w:tabs>
          <w:tab w:val="left" w:pos="980"/>
        </w:tabs>
        <w:wordWrap w:val="0"/>
        <w:autoSpaceDE w:val="0"/>
        <w:autoSpaceDN w:val="0"/>
        <w:spacing w:before="78" w:beforeLines="25" w:line="360" w:lineRule="auto"/>
        <w:ind w:left="547" w:leftChars="228" w:firstLine="480" w:firstLineChars="200"/>
        <w:contextualSpacing/>
        <w:rPr>
          <w:lang w:val="zh-CN"/>
        </w:rPr>
      </w:pPr>
      <w:r>
        <w:rPr>
          <w:rFonts w:hint="eastAsia"/>
        </w:rPr>
        <w:t>1．</w:t>
      </w:r>
      <w:r>
        <w:rPr>
          <w:rFonts w:hint="eastAsia"/>
          <w:lang w:val="zh-CN"/>
        </w:rPr>
        <w:t>合同书；</w:t>
      </w:r>
    </w:p>
    <w:p w14:paraId="5F389320">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2．</w:t>
      </w:r>
      <w:r>
        <w:rPr>
          <w:rFonts w:hint="eastAsia"/>
          <w:lang w:val="zh-CN"/>
        </w:rPr>
        <w:t>代理机构发出的成交或成交通知书；</w:t>
      </w:r>
      <w:r>
        <w:t xml:space="preserve"> </w:t>
      </w:r>
    </w:p>
    <w:p w14:paraId="0FDA04F2">
      <w:pPr>
        <w:numPr>
          <w:ilvl w:val="255"/>
          <w:numId w:val="0"/>
        </w:numPr>
        <w:tabs>
          <w:tab w:val="left" w:pos="980"/>
        </w:tabs>
        <w:wordWrap w:val="0"/>
        <w:autoSpaceDE w:val="0"/>
        <w:autoSpaceDN w:val="0"/>
        <w:spacing w:before="78" w:beforeLines="25" w:line="360" w:lineRule="auto"/>
        <w:ind w:left="547" w:leftChars="228" w:firstLine="480" w:firstLineChars="200"/>
        <w:contextualSpacing/>
        <w:rPr>
          <w:lang w:val="zh-CN"/>
        </w:rPr>
      </w:pPr>
      <w:r>
        <w:rPr>
          <w:rFonts w:hint="eastAsia"/>
        </w:rPr>
        <w:t>3．</w:t>
      </w:r>
      <w:r>
        <w:rPr>
          <w:rFonts w:hint="eastAsia"/>
          <w:lang w:val="zh-CN"/>
        </w:rPr>
        <w:t>经双方确认并共同签字的补充文件、技术协议等；</w:t>
      </w:r>
    </w:p>
    <w:p w14:paraId="69067267">
      <w:pPr>
        <w:numPr>
          <w:ilvl w:val="255"/>
          <w:numId w:val="0"/>
        </w:numPr>
        <w:tabs>
          <w:tab w:val="left" w:pos="980"/>
        </w:tabs>
        <w:wordWrap w:val="0"/>
        <w:autoSpaceDE w:val="0"/>
        <w:autoSpaceDN w:val="0"/>
        <w:spacing w:before="78" w:beforeLines="25" w:line="360" w:lineRule="auto"/>
        <w:ind w:left="547" w:leftChars="228" w:firstLine="480" w:firstLineChars="200"/>
        <w:contextualSpacing/>
        <w:rPr>
          <w:lang w:val="zh-CN"/>
        </w:rPr>
      </w:pPr>
      <w:r>
        <w:rPr>
          <w:rFonts w:hint="eastAsia"/>
        </w:rPr>
        <w:t>4．</w:t>
      </w:r>
      <w:r>
        <w:rPr>
          <w:rFonts w:hint="eastAsia"/>
          <w:lang w:val="zh-CN"/>
        </w:rPr>
        <w:t>乙方的磋商或响应文件（含附件、补充文件、图纸等）；</w:t>
      </w:r>
    </w:p>
    <w:p w14:paraId="545F1A4E">
      <w:pPr>
        <w:numPr>
          <w:ilvl w:val="255"/>
          <w:numId w:val="0"/>
        </w:numPr>
        <w:tabs>
          <w:tab w:val="left" w:pos="980"/>
        </w:tabs>
        <w:wordWrap w:val="0"/>
        <w:autoSpaceDE w:val="0"/>
        <w:autoSpaceDN w:val="0"/>
        <w:spacing w:before="78" w:beforeLines="25" w:line="360" w:lineRule="auto"/>
        <w:ind w:left="547" w:leftChars="228" w:firstLine="480" w:firstLineChars="200"/>
        <w:contextualSpacing/>
        <w:rPr>
          <w:lang w:val="zh-CN"/>
        </w:rPr>
      </w:pPr>
      <w:r>
        <w:rPr>
          <w:rFonts w:hint="eastAsia"/>
        </w:rPr>
        <w:t>5．</w:t>
      </w:r>
      <w:r>
        <w:rPr>
          <w:rFonts w:hint="eastAsia"/>
          <w:lang w:val="zh-CN"/>
        </w:rPr>
        <w:t>采购文件（含附件、补充文件、图纸等</w:t>
      </w:r>
      <w:r>
        <w:rPr>
          <w:rFonts w:hint="eastAsia"/>
        </w:rPr>
        <w:t>）。</w:t>
      </w:r>
    </w:p>
    <w:p w14:paraId="5B54A716">
      <w:pPr>
        <w:pStyle w:val="44"/>
        <w:numPr>
          <w:ilvl w:val="0"/>
          <w:numId w:val="48"/>
        </w:numPr>
        <w:wordWrap w:val="0"/>
        <w:spacing w:before="78" w:beforeLines="25" w:line="360" w:lineRule="auto"/>
        <w:ind w:firstLineChars="0"/>
        <w:rPr>
          <w:b/>
        </w:rPr>
      </w:pPr>
      <w:r>
        <w:rPr>
          <w:rFonts w:hint="eastAsia" w:cs="Helvetica"/>
          <w:b/>
          <w:szCs w:val="24"/>
          <w:lang w:val="zh-CN"/>
        </w:rPr>
        <w:t>合同生效与终止</w:t>
      </w:r>
    </w:p>
    <w:p w14:paraId="694C786B">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1．本合同经甲乙双方授权代表签字和加盖公章（或合同专用章）后生效。如竞争性磋商申请公证的，合同需经公证机构公证后生效；</w:t>
      </w:r>
    </w:p>
    <w:p w14:paraId="30D7AE99">
      <w:pPr>
        <w:numPr>
          <w:ilvl w:val="255"/>
          <w:numId w:val="0"/>
        </w:numPr>
        <w:tabs>
          <w:tab w:val="left" w:pos="980"/>
        </w:tabs>
        <w:wordWrap w:val="0"/>
        <w:autoSpaceDE w:val="0"/>
        <w:autoSpaceDN w:val="0"/>
        <w:spacing w:before="78" w:beforeLines="25" w:line="360" w:lineRule="auto"/>
        <w:ind w:firstLine="960" w:firstLineChars="400"/>
        <w:contextualSpacing/>
      </w:pPr>
      <w:r>
        <w:rPr>
          <w:rFonts w:hint="eastAsia"/>
        </w:rPr>
        <w:t>2．双方履行完各自权利和义务后合同自行终止；</w:t>
      </w:r>
    </w:p>
    <w:p w14:paraId="15D109FD">
      <w:pPr>
        <w:numPr>
          <w:ilvl w:val="255"/>
          <w:numId w:val="0"/>
        </w:numPr>
        <w:tabs>
          <w:tab w:val="left" w:pos="980"/>
        </w:tabs>
        <w:wordWrap w:val="0"/>
        <w:autoSpaceDE w:val="0"/>
        <w:autoSpaceDN w:val="0"/>
        <w:spacing w:before="78" w:beforeLines="25" w:line="360" w:lineRule="auto"/>
        <w:ind w:firstLine="960" w:firstLineChars="400"/>
        <w:contextualSpacing/>
      </w:pPr>
      <w:r>
        <w:rPr>
          <w:rFonts w:hint="eastAsia"/>
        </w:rPr>
        <w:t>3．本合同规定可以终止合同的情形。</w:t>
      </w:r>
    </w:p>
    <w:p w14:paraId="5EE69130">
      <w:pPr>
        <w:pStyle w:val="44"/>
        <w:numPr>
          <w:ilvl w:val="0"/>
          <w:numId w:val="48"/>
        </w:numPr>
        <w:wordWrap w:val="0"/>
        <w:spacing w:before="78" w:beforeLines="25" w:line="360" w:lineRule="auto"/>
        <w:ind w:firstLineChars="0"/>
        <w:rPr>
          <w:b/>
          <w:bCs/>
        </w:rPr>
      </w:pPr>
      <w:r>
        <w:rPr>
          <w:rFonts w:hint="eastAsia"/>
          <w:b/>
          <w:bCs/>
        </w:rPr>
        <w:t>通知与送达</w:t>
      </w:r>
    </w:p>
    <w:p w14:paraId="018E424E">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1．就本合同有关事项，双方应通过本合同约定的联系方式向对方发送相关通知，本合同约定的送达地址同时作为有效司法送达地址；</w:t>
      </w:r>
    </w:p>
    <w:p w14:paraId="025E045E">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2．一方变更通知或通讯地址，应自变更之日起</w:t>
      </w:r>
      <w:r>
        <w:rPr>
          <w:rFonts w:hint="eastAsia"/>
          <w:u w:val="single"/>
        </w:rPr>
        <w:t xml:space="preserve">    </w:t>
      </w:r>
      <w:r>
        <w:rPr>
          <w:rFonts w:hint="eastAsia"/>
        </w:rPr>
        <w:t>日内，以书面形式通知对方，否则，由未通知方承担由此而引起的相关责任。</w:t>
      </w:r>
    </w:p>
    <w:p w14:paraId="7D44E77F">
      <w:pPr>
        <w:pStyle w:val="44"/>
        <w:numPr>
          <w:ilvl w:val="0"/>
          <w:numId w:val="48"/>
        </w:numPr>
        <w:wordWrap w:val="0"/>
        <w:spacing w:before="78" w:beforeLines="25" w:line="360" w:lineRule="auto"/>
        <w:ind w:firstLineChars="0"/>
        <w:rPr>
          <w:b/>
          <w:bCs/>
        </w:rPr>
      </w:pPr>
      <w:r>
        <w:rPr>
          <w:rFonts w:hint="eastAsia"/>
          <w:b/>
          <w:bCs/>
        </w:rPr>
        <w:t>其它</w:t>
      </w:r>
    </w:p>
    <w:p w14:paraId="5DEC59F1">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本合同正本一式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份；副本一式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w:t>
      </w:r>
    </w:p>
    <w:p w14:paraId="4121C09A">
      <w:pPr>
        <w:numPr>
          <w:ilvl w:val="255"/>
          <w:numId w:val="0"/>
        </w:numPr>
        <w:tabs>
          <w:tab w:val="left" w:pos="980"/>
        </w:tabs>
        <w:wordWrap w:val="0"/>
        <w:autoSpaceDE w:val="0"/>
        <w:autoSpaceDN w:val="0"/>
        <w:spacing w:before="78" w:beforeLines="25" w:line="360" w:lineRule="auto"/>
        <w:ind w:left="547" w:leftChars="228" w:firstLine="480" w:firstLineChars="200"/>
        <w:contextualSpacing/>
      </w:pPr>
    </w:p>
    <w:p w14:paraId="0FC28A07">
      <w:pPr>
        <w:wordWrap w:val="0"/>
        <w:spacing w:before="78" w:beforeLines="25" w:line="360" w:lineRule="auto"/>
        <w:ind w:firstLine="489" w:firstLineChars="204"/>
        <w:contextualSpacing/>
        <w:jc w:val="left"/>
      </w:pPr>
      <w:r>
        <w:rPr>
          <w:rFonts w:hint="eastAsia"/>
        </w:rPr>
        <w:t xml:space="preserve">    </w:t>
      </w:r>
    </w:p>
    <w:p w14:paraId="6C96DA05">
      <w:pPr>
        <w:wordWrap w:val="0"/>
        <w:spacing w:before="78" w:beforeLines="25" w:line="360" w:lineRule="auto"/>
        <w:ind w:firstLine="969" w:firstLineChars="404"/>
        <w:contextualSpacing/>
        <w:jc w:val="left"/>
      </w:pPr>
      <w:r>
        <w:rPr>
          <w:rFonts w:hint="eastAsia"/>
        </w:rPr>
        <w:t>甲　　方：</w:t>
      </w:r>
      <w:r>
        <w:rPr>
          <w:rFonts w:hint="eastAsia"/>
        </w:rPr>
        <w:tab/>
      </w:r>
      <w:r>
        <w:rPr>
          <w:rFonts w:hint="eastAsia"/>
        </w:rPr>
        <w:t xml:space="preserve">                         乙　　方：</w:t>
      </w:r>
    </w:p>
    <w:p w14:paraId="728E1A61">
      <w:pPr>
        <w:wordWrap w:val="0"/>
        <w:spacing w:before="78" w:beforeLines="25" w:line="360" w:lineRule="auto"/>
        <w:ind w:firstLine="969" w:firstLineChars="404"/>
        <w:contextualSpacing/>
        <w:jc w:val="left"/>
      </w:pPr>
      <w:r>
        <w:rPr>
          <w:rFonts w:hint="eastAsia"/>
        </w:rPr>
        <w:t>单位名称（盖章）：</w:t>
      </w:r>
      <w:r>
        <w:rPr>
          <w:rFonts w:hint="eastAsia"/>
        </w:rPr>
        <w:tab/>
      </w:r>
      <w:r>
        <w:rPr>
          <w:rFonts w:hint="eastAsia"/>
        </w:rPr>
        <w:t xml:space="preserve">                  单位名称（盖章）：</w:t>
      </w:r>
    </w:p>
    <w:p w14:paraId="26092F38">
      <w:pPr>
        <w:wordWrap w:val="0"/>
        <w:spacing w:before="78" w:beforeLines="25" w:line="360" w:lineRule="auto"/>
        <w:ind w:firstLine="969" w:firstLineChars="404"/>
        <w:contextualSpacing/>
        <w:jc w:val="left"/>
      </w:pPr>
      <w:r>
        <w:rPr>
          <w:rFonts w:hint="eastAsia"/>
        </w:rPr>
        <w:t>单位地址：</w:t>
      </w:r>
      <w:r>
        <w:rPr>
          <w:rFonts w:hint="eastAsia"/>
        </w:rPr>
        <w:tab/>
      </w:r>
      <w:r>
        <w:rPr>
          <w:rFonts w:hint="eastAsia"/>
        </w:rPr>
        <w:t xml:space="preserve">                         单位地址：</w:t>
      </w:r>
    </w:p>
    <w:p w14:paraId="6C19AEE8">
      <w:pPr>
        <w:wordWrap w:val="0"/>
        <w:spacing w:before="78" w:beforeLines="25" w:line="360" w:lineRule="auto"/>
        <w:ind w:firstLine="969" w:firstLineChars="404"/>
        <w:contextualSpacing/>
        <w:jc w:val="left"/>
      </w:pPr>
      <w:r>
        <w:rPr>
          <w:rFonts w:hint="eastAsia"/>
        </w:rPr>
        <w:t xml:space="preserve">法人代表授权人(签字)：             </w:t>
      </w:r>
      <w:r>
        <w:rPr>
          <w:rFonts w:hint="eastAsia"/>
        </w:rPr>
        <w:tab/>
      </w:r>
      <w:r>
        <w:rPr>
          <w:rFonts w:hint="eastAsia"/>
        </w:rPr>
        <w:t>法人代表授权人(签字)：</w:t>
      </w:r>
    </w:p>
    <w:p w14:paraId="5CEBDA3B">
      <w:pPr>
        <w:wordWrap w:val="0"/>
        <w:spacing w:before="78" w:beforeLines="25" w:line="360" w:lineRule="auto"/>
        <w:ind w:firstLine="969" w:firstLineChars="404"/>
        <w:contextualSpacing/>
        <w:jc w:val="left"/>
      </w:pPr>
      <w:r>
        <w:rPr>
          <w:rFonts w:hint="eastAsia"/>
        </w:rPr>
        <w:t>联 系 人：</w:t>
      </w:r>
      <w:r>
        <w:rPr>
          <w:rFonts w:hint="eastAsia"/>
        </w:rPr>
        <w:tab/>
      </w:r>
      <w:r>
        <w:rPr>
          <w:rFonts w:hint="eastAsia"/>
        </w:rPr>
        <w:t xml:space="preserve">                         联 系 人：</w:t>
      </w:r>
    </w:p>
    <w:p w14:paraId="024C4881">
      <w:pPr>
        <w:wordWrap w:val="0"/>
        <w:spacing w:before="78" w:beforeLines="25" w:line="360" w:lineRule="auto"/>
        <w:ind w:firstLine="969" w:firstLineChars="404"/>
        <w:contextualSpacing/>
        <w:jc w:val="left"/>
      </w:pPr>
      <w:r>
        <w:rPr>
          <w:rFonts w:hint="eastAsia"/>
        </w:rPr>
        <w:t xml:space="preserve">电　　话：                         </w:t>
      </w:r>
      <w:r>
        <w:rPr>
          <w:rFonts w:hint="eastAsia"/>
        </w:rPr>
        <w:tab/>
      </w:r>
      <w:r>
        <w:rPr>
          <w:rFonts w:hint="eastAsia"/>
        </w:rPr>
        <w:t>电　　话：</w:t>
      </w:r>
    </w:p>
    <w:p w14:paraId="01D05201">
      <w:pPr>
        <w:wordWrap w:val="0"/>
        <w:spacing w:before="78" w:beforeLines="25" w:line="360" w:lineRule="auto"/>
        <w:ind w:firstLine="969" w:firstLineChars="404"/>
        <w:contextualSpacing/>
        <w:jc w:val="left"/>
      </w:pPr>
      <w:r>
        <w:rPr>
          <w:rFonts w:hint="eastAsia"/>
        </w:rPr>
        <w:t xml:space="preserve">传　　真：                         </w:t>
      </w:r>
      <w:r>
        <w:rPr>
          <w:rFonts w:hint="eastAsia"/>
        </w:rPr>
        <w:tab/>
      </w:r>
      <w:r>
        <w:rPr>
          <w:rFonts w:hint="eastAsia"/>
        </w:rPr>
        <w:t>传　　真：</w:t>
      </w:r>
    </w:p>
    <w:p w14:paraId="3FC51753">
      <w:pPr>
        <w:wordWrap w:val="0"/>
        <w:spacing w:before="78" w:beforeLines="25" w:line="360" w:lineRule="auto"/>
        <w:ind w:firstLine="969" w:firstLineChars="404"/>
        <w:contextualSpacing/>
        <w:jc w:val="left"/>
      </w:pPr>
      <w:r>
        <w:rPr>
          <w:rFonts w:hint="eastAsia"/>
        </w:rPr>
        <w:t xml:space="preserve">邮政编码：                         </w:t>
      </w:r>
      <w:r>
        <w:rPr>
          <w:rFonts w:hint="eastAsia"/>
        </w:rPr>
        <w:tab/>
      </w:r>
      <w:r>
        <w:rPr>
          <w:rFonts w:hint="eastAsia"/>
        </w:rPr>
        <w:t>邮政编码：</w:t>
      </w:r>
    </w:p>
    <w:p w14:paraId="2418FBEB">
      <w:pPr>
        <w:wordWrap w:val="0"/>
        <w:spacing w:before="78" w:beforeLines="25" w:line="360" w:lineRule="auto"/>
        <w:ind w:firstLine="969" w:firstLineChars="404"/>
        <w:contextualSpacing/>
        <w:jc w:val="left"/>
      </w:pPr>
      <w:r>
        <w:rPr>
          <w:rFonts w:hint="eastAsia"/>
        </w:rPr>
        <w:t xml:space="preserve">开户银行：                         </w:t>
      </w:r>
      <w:r>
        <w:rPr>
          <w:rFonts w:hint="eastAsia"/>
        </w:rPr>
        <w:tab/>
      </w:r>
      <w:r>
        <w:rPr>
          <w:rFonts w:hint="eastAsia"/>
        </w:rPr>
        <w:t>开户银行：</w:t>
      </w:r>
    </w:p>
    <w:p w14:paraId="55555581">
      <w:pPr>
        <w:wordWrap w:val="0"/>
        <w:spacing w:before="78" w:beforeLines="25" w:line="360" w:lineRule="auto"/>
        <w:ind w:firstLine="969" w:firstLineChars="404"/>
        <w:contextualSpacing/>
        <w:jc w:val="left"/>
      </w:pPr>
      <w:r>
        <w:rPr>
          <w:rFonts w:hint="eastAsia"/>
        </w:rPr>
        <w:t xml:space="preserve">帐　　号：                         </w:t>
      </w:r>
      <w:r>
        <w:rPr>
          <w:rFonts w:hint="eastAsia"/>
        </w:rPr>
        <w:tab/>
      </w:r>
      <w:r>
        <w:rPr>
          <w:rFonts w:hint="eastAsia"/>
        </w:rPr>
        <w:t>帐　　号：</w:t>
      </w:r>
    </w:p>
    <w:p w14:paraId="004B3D5F">
      <w:pPr>
        <w:wordWrap w:val="0"/>
        <w:spacing w:before="78" w:beforeLines="25" w:line="360" w:lineRule="auto"/>
        <w:ind w:firstLine="969" w:firstLineChars="404"/>
        <w:contextualSpacing/>
        <w:jc w:val="left"/>
      </w:pPr>
      <w:r>
        <w:rPr>
          <w:rFonts w:hint="eastAsia"/>
        </w:rPr>
        <w:t xml:space="preserve">税　　号：                         </w:t>
      </w:r>
      <w:r>
        <w:rPr>
          <w:rFonts w:hint="eastAsia"/>
        </w:rPr>
        <w:tab/>
      </w:r>
      <w:r>
        <w:rPr>
          <w:rFonts w:hint="eastAsia"/>
        </w:rPr>
        <w:t>税　　号：</w:t>
      </w:r>
    </w:p>
    <w:p w14:paraId="70F548AC">
      <w:pPr>
        <w:wordWrap w:val="0"/>
        <w:spacing w:line="360" w:lineRule="auto"/>
        <w:ind w:firstLine="480" w:firstLineChars="200"/>
        <w:rPr>
          <w:strike/>
          <w:szCs w:val="24"/>
        </w:rPr>
      </w:pPr>
    </w:p>
    <w:p w14:paraId="6BED2D3F">
      <w:pPr>
        <w:widowControl/>
        <w:tabs>
          <w:tab w:val="right" w:leader="dot" w:pos="9514"/>
        </w:tabs>
        <w:wordWrap w:val="0"/>
        <w:spacing w:line="360" w:lineRule="auto"/>
        <w:jc w:val="left"/>
        <w:rPr>
          <w:b/>
          <w:iCs/>
          <w:sz w:val="28"/>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14:paraId="2A201571">
      <w:pPr>
        <w:pStyle w:val="3"/>
        <w:numPr>
          <w:ilvl w:val="0"/>
          <w:numId w:val="1"/>
        </w:numPr>
        <w:tabs>
          <w:tab w:val="left" w:pos="1276"/>
        </w:tabs>
        <w:wordWrap w:val="0"/>
        <w:spacing w:before="120" w:after="120" w:line="360" w:lineRule="auto"/>
        <w:ind w:left="723" w:hanging="723" w:hangingChars="200"/>
        <w:jc w:val="center"/>
        <w:rPr>
          <w:sz w:val="36"/>
          <w:szCs w:val="36"/>
        </w:rPr>
      </w:pPr>
      <w:bookmarkStart w:id="422" w:name="_Toc494665944"/>
      <w:bookmarkStart w:id="423" w:name="_Toc494702264"/>
      <w:bookmarkStart w:id="424" w:name="_Toc494664994"/>
      <w:bookmarkStart w:id="425" w:name="_Toc511894521"/>
      <w:bookmarkStart w:id="426" w:name="_Toc494721094"/>
      <w:bookmarkStart w:id="427" w:name="_Toc102116190"/>
      <w:bookmarkStart w:id="428" w:name="_Toc102114958"/>
      <w:bookmarkStart w:id="429" w:name="_Toc117244488"/>
      <w:bookmarkStart w:id="430" w:name="_Toc102056256"/>
      <w:bookmarkStart w:id="431" w:name="_Toc102057756"/>
      <w:bookmarkStart w:id="432" w:name="_Toc122527545"/>
      <w:bookmarkStart w:id="433" w:name="_Toc494745311"/>
      <w:bookmarkStart w:id="434" w:name="_Toc494665547"/>
      <w:bookmarkStart w:id="435" w:name="_Toc117244373"/>
      <w:bookmarkStart w:id="436" w:name="_Toc102116060"/>
      <w:bookmarkStart w:id="437" w:name="_Toc102119891"/>
      <w:r>
        <w:rPr>
          <w:rFonts w:hint="eastAsia"/>
          <w:sz w:val="36"/>
          <w:szCs w:val="36"/>
        </w:rPr>
        <w:t>响应文件格式（参考）</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1E3B4F1E">
      <w:pPr>
        <w:wordWrap w:val="0"/>
        <w:spacing w:line="360" w:lineRule="auto"/>
      </w:pPr>
    </w:p>
    <w:p w14:paraId="0010F0C5">
      <w:pPr>
        <w:wordWrap w:val="0"/>
        <w:spacing w:line="360" w:lineRule="auto"/>
        <w:jc w:val="center"/>
        <w:rPr>
          <w:b/>
          <w:sz w:val="72"/>
          <w:szCs w:val="72"/>
        </w:rPr>
      </w:pPr>
      <w:r>
        <w:rPr>
          <w:rFonts w:hint="eastAsia"/>
          <w:b/>
          <w:sz w:val="72"/>
          <w:szCs w:val="72"/>
          <w:lang w:eastAsia="zh-CN"/>
        </w:rPr>
        <w:t>随县县</w:t>
      </w:r>
      <w:r>
        <w:rPr>
          <w:rFonts w:hint="eastAsia"/>
          <w:b/>
          <w:sz w:val="72"/>
          <w:szCs w:val="72"/>
        </w:rPr>
        <w:t>级政府采购</w:t>
      </w:r>
    </w:p>
    <w:p w14:paraId="007AE743">
      <w:pPr>
        <w:pStyle w:val="11"/>
        <w:spacing w:line="360" w:lineRule="auto"/>
        <w:rPr>
          <w:sz w:val="72"/>
          <w:szCs w:val="72"/>
        </w:rPr>
      </w:pPr>
    </w:p>
    <w:p w14:paraId="4C8BB049">
      <w:pPr>
        <w:wordWrap w:val="0"/>
        <w:spacing w:after="624" w:afterLines="200" w:line="360" w:lineRule="auto"/>
        <w:jc w:val="center"/>
        <w:rPr>
          <w:b/>
          <w:sz w:val="84"/>
          <w:szCs w:val="84"/>
        </w:rPr>
      </w:pPr>
      <w:r>
        <w:rPr>
          <w:rFonts w:hint="eastAsia"/>
          <w:b/>
          <w:sz w:val="84"/>
          <w:szCs w:val="84"/>
        </w:rPr>
        <w:t>响 应 文 件</w:t>
      </w:r>
    </w:p>
    <w:p w14:paraId="156E5B55">
      <w:pPr>
        <w:spacing w:line="360" w:lineRule="auto"/>
        <w:ind w:left="2241" w:leftChars="619" w:right="1486" w:rightChars="619" w:hanging="755" w:hangingChars="209"/>
        <w:jc w:val="left"/>
        <w:rPr>
          <w:b/>
          <w:bCs/>
          <w:sz w:val="36"/>
          <w:szCs w:val="24"/>
        </w:rPr>
      </w:pPr>
    </w:p>
    <w:p w14:paraId="60D352FC">
      <w:pPr>
        <w:pStyle w:val="11"/>
        <w:spacing w:line="360" w:lineRule="auto"/>
        <w:jc w:val="left"/>
      </w:pPr>
      <w:r>
        <w:rPr>
          <w:rFonts w:hint="eastAsia"/>
        </w:rPr>
        <w:t xml:space="preserve">           </w:t>
      </w:r>
    </w:p>
    <w:p w14:paraId="527D21AA">
      <w:pPr>
        <w:wordWrap w:val="0"/>
        <w:spacing w:line="360" w:lineRule="auto"/>
        <w:ind w:firstLine="1687" w:firstLineChars="600"/>
        <w:rPr>
          <w:b/>
          <w:bCs/>
          <w:sz w:val="28"/>
          <w:szCs w:val="28"/>
        </w:rPr>
      </w:pPr>
      <w:r>
        <w:rPr>
          <w:rFonts w:hint="eastAsia"/>
          <w:b/>
          <w:bCs/>
          <w:sz w:val="28"/>
          <w:szCs w:val="28"/>
        </w:rPr>
        <w:t>项目编号：</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p>
    <w:p w14:paraId="272497DD">
      <w:pPr>
        <w:wordWrap w:val="0"/>
        <w:spacing w:line="360" w:lineRule="auto"/>
        <w:ind w:firstLine="1687" w:firstLineChars="600"/>
        <w:rPr>
          <w:b/>
          <w:bCs/>
          <w:sz w:val="28"/>
          <w:szCs w:val="28"/>
          <w:lang w:val="zh-CN"/>
        </w:rPr>
      </w:pPr>
      <w:r>
        <w:rPr>
          <w:rFonts w:hint="eastAsia"/>
          <w:b/>
          <w:bCs/>
          <w:sz w:val="28"/>
          <w:szCs w:val="28"/>
        </w:rPr>
        <w:t>项目名称：</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p>
    <w:p w14:paraId="75EE6CE9">
      <w:pPr>
        <w:wordWrap w:val="0"/>
        <w:spacing w:line="360" w:lineRule="auto"/>
        <w:ind w:firstLine="1687" w:firstLineChars="600"/>
        <w:rPr>
          <w:b/>
          <w:sz w:val="36"/>
          <w:szCs w:val="36"/>
        </w:rPr>
      </w:pPr>
      <w:r>
        <w:rPr>
          <w:rFonts w:hint="eastAsia"/>
          <w:b/>
          <w:bCs/>
          <w:sz w:val="28"/>
          <w:szCs w:val="28"/>
        </w:rPr>
        <w:t>响应内容：</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r>
        <w:rPr>
          <w:rFonts w:hint="eastAsia"/>
          <w:b/>
          <w:sz w:val="36"/>
          <w:szCs w:val="36"/>
          <w:u w:val="single"/>
        </w:rPr>
        <w:t xml:space="preserve"> </w:t>
      </w:r>
    </w:p>
    <w:p w14:paraId="380F875C">
      <w:pPr>
        <w:wordWrap w:val="0"/>
        <w:spacing w:line="360" w:lineRule="auto"/>
        <w:ind w:left="2018" w:leftChars="841" w:right="1471" w:rightChars="613" w:firstLine="1606" w:firstLineChars="500"/>
        <w:rPr>
          <w:b/>
          <w:bCs/>
          <w:sz w:val="32"/>
          <w:szCs w:val="32"/>
        </w:rPr>
      </w:pPr>
    </w:p>
    <w:p w14:paraId="4353B678">
      <w:pPr>
        <w:wordWrap w:val="0"/>
        <w:spacing w:line="360" w:lineRule="auto"/>
        <w:ind w:left="2018" w:leftChars="841" w:right="1471" w:rightChars="613" w:firstLine="1606" w:firstLineChars="500"/>
        <w:rPr>
          <w:b/>
          <w:bCs/>
          <w:sz w:val="32"/>
          <w:szCs w:val="32"/>
        </w:rPr>
      </w:pPr>
    </w:p>
    <w:p w14:paraId="4F29C04D">
      <w:pPr>
        <w:wordWrap w:val="0"/>
        <w:spacing w:line="360" w:lineRule="auto"/>
        <w:ind w:left="2018" w:leftChars="841" w:right="1471" w:rightChars="613" w:firstLine="1606" w:firstLineChars="500"/>
        <w:rPr>
          <w:b/>
          <w:bCs/>
          <w:sz w:val="32"/>
          <w:szCs w:val="32"/>
        </w:rPr>
      </w:pPr>
    </w:p>
    <w:p w14:paraId="025202F9">
      <w:pPr>
        <w:wordWrap w:val="0"/>
        <w:spacing w:line="360" w:lineRule="auto"/>
        <w:ind w:left="2018" w:leftChars="841" w:right="1471" w:rightChars="613" w:firstLine="1606" w:firstLineChars="500"/>
        <w:rPr>
          <w:b/>
          <w:bCs/>
          <w:sz w:val="32"/>
          <w:szCs w:val="32"/>
        </w:rPr>
      </w:pPr>
    </w:p>
    <w:p w14:paraId="78AC0D74">
      <w:pPr>
        <w:wordWrap w:val="0"/>
        <w:spacing w:line="360" w:lineRule="auto"/>
        <w:ind w:left="2018" w:leftChars="841" w:right="1471" w:rightChars="613" w:firstLine="1606" w:firstLineChars="500"/>
        <w:rPr>
          <w:b/>
          <w:bCs/>
          <w:sz w:val="32"/>
          <w:szCs w:val="32"/>
        </w:rPr>
      </w:pPr>
    </w:p>
    <w:p w14:paraId="5B965254">
      <w:pPr>
        <w:wordWrap w:val="0"/>
        <w:spacing w:line="360" w:lineRule="auto"/>
        <w:ind w:firstLine="1687" w:firstLineChars="600"/>
        <w:rPr>
          <w:b/>
          <w:bCs/>
          <w:sz w:val="28"/>
          <w:szCs w:val="28"/>
        </w:rPr>
      </w:pPr>
      <w:r>
        <w:rPr>
          <w:rFonts w:hint="eastAsia"/>
          <w:b/>
          <w:bCs/>
          <w:sz w:val="28"/>
          <w:szCs w:val="28"/>
        </w:rPr>
        <w:t>供应商（公章）：</w:t>
      </w:r>
      <w:r>
        <w:rPr>
          <w:rFonts w:hint="eastAsia"/>
          <w:b/>
          <w:bCs/>
          <w:sz w:val="28"/>
          <w:szCs w:val="28"/>
          <w:u w:val="single"/>
        </w:rPr>
        <w:t xml:space="preserve">          </w:t>
      </w:r>
      <w:r>
        <w:rPr>
          <w:b/>
          <w:bCs/>
          <w:sz w:val="28"/>
          <w:szCs w:val="28"/>
          <w:u w:val="single"/>
        </w:rPr>
        <w:t xml:space="preserve">      </w:t>
      </w:r>
      <w:r>
        <w:rPr>
          <w:rFonts w:hint="eastAsia"/>
          <w:b/>
          <w:bCs/>
          <w:sz w:val="28"/>
          <w:szCs w:val="28"/>
          <w:u w:val="single"/>
        </w:rPr>
        <w:t xml:space="preserve">     </w:t>
      </w:r>
      <w:r>
        <w:rPr>
          <w:b/>
          <w:bCs/>
          <w:sz w:val="28"/>
          <w:szCs w:val="28"/>
          <w:u w:val="single"/>
        </w:rPr>
        <w:t xml:space="preserve"> </w:t>
      </w:r>
      <w:r>
        <w:rPr>
          <w:rFonts w:hint="eastAsia"/>
          <w:b/>
          <w:bCs/>
          <w:sz w:val="28"/>
          <w:szCs w:val="28"/>
          <w:u w:val="single"/>
        </w:rPr>
        <w:t xml:space="preserve">      </w:t>
      </w:r>
    </w:p>
    <w:p w14:paraId="4D80EFC3">
      <w:pPr>
        <w:wordWrap w:val="0"/>
        <w:spacing w:before="312" w:beforeLines="100" w:after="312" w:afterLines="100" w:line="360" w:lineRule="auto"/>
        <w:ind w:left="2116" w:leftChars="466" w:right="466" w:hanging="998" w:hangingChars="355"/>
        <w:jc w:val="center"/>
        <w:rPr>
          <w:b/>
          <w:sz w:val="28"/>
          <w:szCs w:val="28"/>
        </w:rPr>
      </w:pPr>
      <w:r>
        <w:rPr>
          <w:rFonts w:hint="eastAsia"/>
          <w:b/>
          <w:bCs/>
          <w:sz w:val="28"/>
          <w:szCs w:val="28"/>
        </w:rPr>
        <w:t xml:space="preserve">二〇   </w:t>
      </w:r>
      <w:r>
        <w:rPr>
          <w:rFonts w:hint="eastAsia"/>
          <w:b/>
          <w:sz w:val="28"/>
          <w:szCs w:val="28"/>
        </w:rPr>
        <w:t>年  月</w:t>
      </w:r>
    </w:p>
    <w:p w14:paraId="2631C7D2">
      <w:pPr>
        <w:pStyle w:val="11"/>
      </w:pPr>
      <w:r>
        <w:br w:type="page"/>
      </w:r>
    </w:p>
    <w:p w14:paraId="6781A8B6">
      <w:pPr>
        <w:pStyle w:val="4"/>
        <w:jc w:val="center"/>
        <w:rPr>
          <w:rFonts w:ascii="宋体" w:hAnsi="宋体" w:eastAsia="宋体" w:cs="Times New Roman"/>
          <w:bCs w:val="0"/>
          <w:sz w:val="36"/>
          <w:szCs w:val="36"/>
          <w:lang w:val="zh-CN"/>
        </w:rPr>
      </w:pPr>
      <w:bookmarkStart w:id="438" w:name="_Toc117244489"/>
      <w:bookmarkStart w:id="439" w:name="_Toc117244374"/>
      <w:bookmarkStart w:id="440" w:name="_Toc122527546"/>
      <w:r>
        <w:rPr>
          <w:rFonts w:hint="eastAsia" w:ascii="宋体" w:hAnsi="宋体" w:eastAsia="宋体" w:cs="Times New Roman"/>
          <w:bCs w:val="0"/>
          <w:sz w:val="36"/>
          <w:szCs w:val="36"/>
          <w:lang w:val="zh-CN"/>
        </w:rPr>
        <w:t>目       录</w:t>
      </w:r>
      <w:bookmarkEnd w:id="438"/>
      <w:bookmarkEnd w:id="439"/>
      <w:bookmarkEnd w:id="440"/>
    </w:p>
    <w:p w14:paraId="43F77F69">
      <w:pPr>
        <w:wordWrap w:val="0"/>
        <w:spacing w:line="360" w:lineRule="auto"/>
        <w:ind w:firstLine="480" w:firstLineChars="200"/>
        <w:jc w:val="left"/>
        <w:rPr>
          <w:rFonts w:ascii="楷体" w:hAnsi="楷体" w:eastAsia="楷体"/>
          <w:bCs/>
          <w:szCs w:val="24"/>
          <w:lang w:val="zh-CN"/>
        </w:rPr>
      </w:pPr>
      <w:r>
        <w:rPr>
          <w:rFonts w:hint="eastAsia" w:ascii="楷体" w:hAnsi="楷体" w:eastAsia="楷体"/>
          <w:bCs/>
          <w:szCs w:val="24"/>
          <w:lang w:val="zh-CN"/>
        </w:rPr>
        <w:t>（应当包括但不限于以下内容，编制的详细目录应能链接到磋商文件对应章节内容，且具有文档结构图。设置方法：在Word中设置相应章节的段落大纲级别；查看方法：打开Word视图中的“导航窗格”后能看到各章节）</w:t>
      </w:r>
    </w:p>
    <w:p w14:paraId="2E73A2B8">
      <w:pPr>
        <w:pStyle w:val="11"/>
        <w:spacing w:line="360" w:lineRule="auto"/>
        <w:rPr>
          <w:lang w:val="zh-CN"/>
        </w:rPr>
      </w:pPr>
    </w:p>
    <w:p w14:paraId="2C2F7D8C">
      <w:pPr>
        <w:widowControl/>
        <w:numPr>
          <w:ilvl w:val="0"/>
          <w:numId w:val="49"/>
        </w:numPr>
        <w:tabs>
          <w:tab w:val="left" w:pos="966"/>
        </w:tabs>
        <w:wordWrap w:val="0"/>
        <w:autoSpaceDE w:val="0"/>
        <w:autoSpaceDN w:val="0"/>
        <w:adjustRightInd w:val="0"/>
        <w:spacing w:line="360" w:lineRule="auto"/>
        <w:ind w:left="1060" w:hanging="625"/>
        <w:jc w:val="left"/>
        <w:rPr>
          <w:bCs/>
        </w:rPr>
      </w:pPr>
      <w:bookmarkStart w:id="441" w:name="_Toc107561297"/>
      <w:bookmarkStart w:id="442" w:name="_Toc494665551"/>
      <w:bookmarkStart w:id="443" w:name="_Toc102116063"/>
      <w:bookmarkStart w:id="444" w:name="_Toc494702268"/>
      <w:bookmarkStart w:id="445" w:name="_Toc494721098"/>
      <w:bookmarkStart w:id="446" w:name="_Toc102116193"/>
      <w:bookmarkStart w:id="447" w:name="_Toc511894525"/>
      <w:bookmarkStart w:id="448" w:name="_Toc494665948"/>
      <w:bookmarkStart w:id="449" w:name="_Toc102057759"/>
      <w:bookmarkStart w:id="450" w:name="_Toc494664998"/>
      <w:bookmarkStart w:id="451" w:name="_Toc494745315"/>
      <w:bookmarkStart w:id="452" w:name="_Toc102056259"/>
      <w:bookmarkStart w:id="453" w:name="_Toc102114961"/>
      <w:bookmarkStart w:id="454" w:name="_Toc102119894"/>
      <w:r>
        <w:rPr>
          <w:bCs/>
        </w:rPr>
        <w:br w:type="page"/>
      </w:r>
    </w:p>
    <w:p w14:paraId="50B2752F">
      <w:pPr>
        <w:pStyle w:val="4"/>
        <w:numPr>
          <w:ilvl w:val="0"/>
          <w:numId w:val="50"/>
        </w:numPr>
        <w:tabs>
          <w:tab w:val="left" w:pos="567"/>
        </w:tabs>
        <w:spacing w:before="0" w:after="0" w:line="360" w:lineRule="auto"/>
        <w:ind w:left="482" w:hanging="482" w:hangingChars="200"/>
        <w:jc w:val="left"/>
        <w:rPr>
          <w:rFonts w:ascii="宋体" w:hAnsi="宋体" w:eastAsia="宋体" w:cs="Times New Roman"/>
          <w:bCs w:val="0"/>
          <w:sz w:val="24"/>
          <w:szCs w:val="24"/>
        </w:rPr>
      </w:pPr>
      <w:bookmarkStart w:id="455" w:name="_Toc122527547"/>
      <w:r>
        <w:rPr>
          <w:rFonts w:hint="eastAsia"/>
          <w:sz w:val="24"/>
          <w:szCs w:val="21"/>
        </w:rPr>
        <w:t>资格性检查和符合性检查表</w:t>
      </w:r>
      <w:bookmarkEnd w:id="455"/>
    </w:p>
    <w:p w14:paraId="3DF24694">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14:paraId="5E216154">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0"/>
        <w:tblW w:w="477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7"/>
        <w:gridCol w:w="3814"/>
        <w:gridCol w:w="3829"/>
        <w:gridCol w:w="1157"/>
      </w:tblGrid>
      <w:tr w14:paraId="2204CE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2350" w:type="pct"/>
            <w:gridSpan w:val="2"/>
            <w:tcBorders>
              <w:bottom w:val="single" w:color="auto" w:sz="4" w:space="0"/>
            </w:tcBorders>
            <w:shd w:val="pct10" w:color="C3BD96" w:themeColor="background2" w:themeShade="BF" w:fill="DDD9C4" w:themeFill="background2" w:themeFillShade="E6"/>
            <w:vAlign w:val="center"/>
          </w:tcPr>
          <w:p w14:paraId="54AC0794">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磋商文件资格性检查和符合性检查表</w:t>
            </w:r>
          </w:p>
        </w:tc>
        <w:tc>
          <w:tcPr>
            <w:tcW w:w="2035" w:type="pct"/>
            <w:vMerge w:val="restart"/>
            <w:shd w:val="pct10" w:color="C3BD96" w:themeColor="background2" w:themeShade="BF" w:fill="DDD9C4" w:themeFill="background2" w:themeFillShade="E6"/>
            <w:vAlign w:val="center"/>
          </w:tcPr>
          <w:p w14:paraId="18CAFCA4">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响应文件响应的内容</w:t>
            </w:r>
          </w:p>
        </w:tc>
        <w:tc>
          <w:tcPr>
            <w:tcW w:w="615" w:type="pct"/>
            <w:vMerge w:val="restart"/>
            <w:shd w:val="pct10" w:color="C3BD96" w:themeColor="background2" w:themeShade="BF" w:fill="DDD9C4" w:themeFill="background2" w:themeFillShade="E6"/>
            <w:vAlign w:val="center"/>
          </w:tcPr>
          <w:p w14:paraId="4862DA23">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14:paraId="72DDB8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23" w:type="pct"/>
            <w:tcBorders>
              <w:top w:val="single" w:color="auto" w:sz="4" w:space="0"/>
            </w:tcBorders>
            <w:shd w:val="pct10" w:color="C3BD96" w:themeColor="background2" w:themeShade="BF" w:fill="DDD9C4" w:themeFill="background2" w:themeFillShade="E6"/>
            <w:vAlign w:val="center"/>
          </w:tcPr>
          <w:p w14:paraId="28A0B2DD">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2027" w:type="pct"/>
            <w:tcBorders>
              <w:top w:val="single" w:color="auto" w:sz="4" w:space="0"/>
            </w:tcBorders>
            <w:shd w:val="pct10" w:color="C3BD96" w:themeColor="background2" w:themeShade="BF" w:fill="DDD9C4" w:themeFill="background2" w:themeFillShade="E6"/>
            <w:vAlign w:val="center"/>
          </w:tcPr>
          <w:p w14:paraId="58E8A440">
            <w:pPr>
              <w:wordWrap w:val="0"/>
              <w:spacing w:before="100" w:beforeAutospacing="1" w:after="100" w:afterAutospacing="1" w:line="360" w:lineRule="auto"/>
              <w:ind w:right="-60" w:rightChars="-25"/>
              <w:jc w:val="center"/>
              <w:rPr>
                <w:rFonts w:cs="仿宋_GB2312"/>
                <w:szCs w:val="24"/>
              </w:rPr>
            </w:pPr>
            <w:r>
              <w:rPr>
                <w:rFonts w:hint="eastAsia" w:cs="仿宋_GB2312"/>
                <w:szCs w:val="24"/>
              </w:rPr>
              <w:t>内容</w:t>
            </w:r>
          </w:p>
        </w:tc>
        <w:tc>
          <w:tcPr>
            <w:tcW w:w="2035" w:type="pct"/>
            <w:vMerge w:val="continue"/>
            <w:shd w:val="pct10" w:color="C3BD96" w:themeColor="background2" w:themeShade="BF" w:fill="DDD9C4" w:themeFill="background2" w:themeFillShade="E6"/>
            <w:vAlign w:val="center"/>
          </w:tcPr>
          <w:p w14:paraId="18B11888">
            <w:pPr>
              <w:wordWrap w:val="0"/>
              <w:spacing w:before="100" w:beforeAutospacing="1" w:after="100" w:afterAutospacing="1" w:line="360" w:lineRule="auto"/>
              <w:ind w:left="-60" w:leftChars="-25" w:right="-60" w:rightChars="-25"/>
              <w:jc w:val="center"/>
              <w:rPr>
                <w:rFonts w:cs="仿宋_GB2312"/>
                <w:szCs w:val="24"/>
              </w:rPr>
            </w:pPr>
          </w:p>
        </w:tc>
        <w:tc>
          <w:tcPr>
            <w:tcW w:w="615" w:type="pct"/>
            <w:vMerge w:val="continue"/>
            <w:shd w:val="pct10" w:color="C3BD96" w:themeColor="background2" w:themeShade="BF" w:fill="DDD9C4" w:themeFill="background2" w:themeFillShade="E6"/>
          </w:tcPr>
          <w:p w14:paraId="5975B514">
            <w:pPr>
              <w:wordWrap w:val="0"/>
              <w:spacing w:before="100" w:beforeAutospacing="1" w:after="100" w:afterAutospacing="1" w:line="360" w:lineRule="auto"/>
              <w:ind w:left="-60" w:leftChars="-25" w:right="-60" w:rightChars="-25"/>
              <w:jc w:val="center"/>
              <w:rPr>
                <w:rFonts w:cs="仿宋_GB2312"/>
                <w:szCs w:val="24"/>
              </w:rPr>
            </w:pPr>
          </w:p>
        </w:tc>
      </w:tr>
      <w:tr w14:paraId="0CD3B6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jc w:val="center"/>
        </w:trPr>
        <w:tc>
          <w:tcPr>
            <w:tcW w:w="323" w:type="pct"/>
            <w:vAlign w:val="center"/>
          </w:tcPr>
          <w:p w14:paraId="70EE4131">
            <w:pPr>
              <w:numPr>
                <w:ilvl w:val="0"/>
                <w:numId w:val="51"/>
              </w:numPr>
              <w:tabs>
                <w:tab w:val="left" w:pos="61"/>
              </w:tabs>
              <w:wordWrap w:val="0"/>
              <w:adjustRightInd w:val="0"/>
              <w:snapToGrid w:val="0"/>
              <w:spacing w:line="360" w:lineRule="auto"/>
              <w:ind w:left="-72" w:leftChars="-30" w:firstLine="0"/>
              <w:jc w:val="center"/>
            </w:pPr>
          </w:p>
        </w:tc>
        <w:tc>
          <w:tcPr>
            <w:tcW w:w="2027" w:type="pct"/>
            <w:vAlign w:val="center"/>
          </w:tcPr>
          <w:p w14:paraId="73CD0E72">
            <w:pPr>
              <w:wordWrap w:val="0"/>
              <w:spacing w:line="360" w:lineRule="auto"/>
              <w:jc w:val="center"/>
              <w:rPr>
                <w:rFonts w:cs="仿宋_GB2312"/>
                <w:szCs w:val="24"/>
              </w:rPr>
            </w:pPr>
          </w:p>
        </w:tc>
        <w:tc>
          <w:tcPr>
            <w:tcW w:w="2035" w:type="pct"/>
            <w:vAlign w:val="center"/>
          </w:tcPr>
          <w:p w14:paraId="1D33B6C4">
            <w:pPr>
              <w:wordWrap w:val="0"/>
              <w:spacing w:line="360" w:lineRule="auto"/>
              <w:jc w:val="center"/>
              <w:rPr>
                <w:rFonts w:cs="仿宋_GB2312"/>
                <w:szCs w:val="24"/>
              </w:rPr>
            </w:pPr>
          </w:p>
        </w:tc>
        <w:tc>
          <w:tcPr>
            <w:tcW w:w="615" w:type="pct"/>
            <w:vAlign w:val="center"/>
          </w:tcPr>
          <w:p w14:paraId="3A0C4D6C">
            <w:pPr>
              <w:wordWrap w:val="0"/>
              <w:spacing w:line="360" w:lineRule="auto"/>
              <w:jc w:val="center"/>
              <w:rPr>
                <w:rFonts w:cs="仿宋_GB2312"/>
                <w:szCs w:val="24"/>
              </w:rPr>
            </w:pPr>
          </w:p>
        </w:tc>
      </w:tr>
      <w:tr w14:paraId="66DEED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323" w:type="pct"/>
            <w:vAlign w:val="center"/>
          </w:tcPr>
          <w:p w14:paraId="7D2F706D">
            <w:pPr>
              <w:numPr>
                <w:ilvl w:val="0"/>
                <w:numId w:val="51"/>
              </w:numPr>
              <w:tabs>
                <w:tab w:val="left" w:pos="61"/>
              </w:tabs>
              <w:wordWrap w:val="0"/>
              <w:adjustRightInd w:val="0"/>
              <w:snapToGrid w:val="0"/>
              <w:spacing w:line="360" w:lineRule="auto"/>
              <w:ind w:left="-72" w:leftChars="-30" w:firstLine="0"/>
              <w:jc w:val="center"/>
            </w:pPr>
          </w:p>
        </w:tc>
        <w:tc>
          <w:tcPr>
            <w:tcW w:w="2027" w:type="pct"/>
            <w:vAlign w:val="center"/>
          </w:tcPr>
          <w:p w14:paraId="7EC9C3AD">
            <w:pPr>
              <w:wordWrap w:val="0"/>
              <w:spacing w:line="360" w:lineRule="auto"/>
              <w:jc w:val="center"/>
              <w:rPr>
                <w:rFonts w:cs="仿宋_GB2312"/>
                <w:szCs w:val="24"/>
              </w:rPr>
            </w:pPr>
          </w:p>
        </w:tc>
        <w:tc>
          <w:tcPr>
            <w:tcW w:w="2035" w:type="pct"/>
            <w:vAlign w:val="center"/>
          </w:tcPr>
          <w:p w14:paraId="5D8F7B09">
            <w:pPr>
              <w:wordWrap w:val="0"/>
              <w:spacing w:line="360" w:lineRule="auto"/>
              <w:jc w:val="center"/>
              <w:rPr>
                <w:rFonts w:cs="仿宋_GB2312"/>
                <w:szCs w:val="24"/>
              </w:rPr>
            </w:pPr>
          </w:p>
        </w:tc>
        <w:tc>
          <w:tcPr>
            <w:tcW w:w="615" w:type="pct"/>
            <w:vAlign w:val="center"/>
          </w:tcPr>
          <w:p w14:paraId="7885317E">
            <w:pPr>
              <w:wordWrap w:val="0"/>
              <w:spacing w:line="360" w:lineRule="auto"/>
              <w:jc w:val="center"/>
              <w:rPr>
                <w:rFonts w:cs="仿宋_GB2312"/>
                <w:szCs w:val="24"/>
              </w:rPr>
            </w:pPr>
          </w:p>
        </w:tc>
      </w:tr>
      <w:tr w14:paraId="6BA9EC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323" w:type="pct"/>
            <w:vAlign w:val="center"/>
          </w:tcPr>
          <w:p w14:paraId="73AA335C">
            <w:pPr>
              <w:numPr>
                <w:ilvl w:val="0"/>
                <w:numId w:val="51"/>
              </w:numPr>
              <w:tabs>
                <w:tab w:val="left" w:pos="61"/>
              </w:tabs>
              <w:wordWrap w:val="0"/>
              <w:adjustRightInd w:val="0"/>
              <w:snapToGrid w:val="0"/>
              <w:spacing w:line="360" w:lineRule="auto"/>
              <w:ind w:left="-72" w:leftChars="-30" w:firstLine="0"/>
              <w:jc w:val="center"/>
            </w:pPr>
          </w:p>
        </w:tc>
        <w:tc>
          <w:tcPr>
            <w:tcW w:w="2027" w:type="pct"/>
            <w:vAlign w:val="center"/>
          </w:tcPr>
          <w:p w14:paraId="749AFE43">
            <w:pPr>
              <w:wordWrap w:val="0"/>
              <w:spacing w:line="360" w:lineRule="auto"/>
              <w:jc w:val="center"/>
              <w:rPr>
                <w:rFonts w:cs="仿宋_GB2312"/>
                <w:szCs w:val="24"/>
              </w:rPr>
            </w:pPr>
          </w:p>
        </w:tc>
        <w:tc>
          <w:tcPr>
            <w:tcW w:w="2035" w:type="pct"/>
            <w:vAlign w:val="center"/>
          </w:tcPr>
          <w:p w14:paraId="55485AEB">
            <w:pPr>
              <w:wordWrap w:val="0"/>
              <w:spacing w:line="360" w:lineRule="auto"/>
              <w:jc w:val="center"/>
              <w:rPr>
                <w:rFonts w:cs="仿宋_GB2312"/>
                <w:szCs w:val="24"/>
              </w:rPr>
            </w:pPr>
          </w:p>
        </w:tc>
        <w:tc>
          <w:tcPr>
            <w:tcW w:w="615" w:type="pct"/>
            <w:vAlign w:val="center"/>
          </w:tcPr>
          <w:p w14:paraId="0E25790F">
            <w:pPr>
              <w:wordWrap w:val="0"/>
              <w:spacing w:line="360" w:lineRule="auto"/>
              <w:jc w:val="center"/>
              <w:rPr>
                <w:rFonts w:cs="仿宋_GB2312"/>
                <w:szCs w:val="24"/>
              </w:rPr>
            </w:pPr>
          </w:p>
        </w:tc>
      </w:tr>
      <w:tr w14:paraId="5AE4BF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323" w:type="pct"/>
            <w:vAlign w:val="center"/>
          </w:tcPr>
          <w:p w14:paraId="27B75B86">
            <w:pPr>
              <w:wordWrap w:val="0"/>
              <w:spacing w:line="360" w:lineRule="auto"/>
              <w:jc w:val="center"/>
              <w:rPr>
                <w:rFonts w:cs="仿宋_GB2312"/>
                <w:szCs w:val="24"/>
              </w:rPr>
            </w:pPr>
            <w:r>
              <w:rPr>
                <w:rFonts w:hint="eastAsia" w:cs="仿宋_GB2312"/>
                <w:szCs w:val="24"/>
              </w:rPr>
              <w:t>…</w:t>
            </w:r>
          </w:p>
        </w:tc>
        <w:tc>
          <w:tcPr>
            <w:tcW w:w="2027" w:type="pct"/>
            <w:vAlign w:val="center"/>
          </w:tcPr>
          <w:p w14:paraId="19812325">
            <w:pPr>
              <w:wordWrap w:val="0"/>
              <w:spacing w:line="360" w:lineRule="auto"/>
              <w:jc w:val="center"/>
              <w:rPr>
                <w:rFonts w:cs="仿宋_GB2312"/>
                <w:szCs w:val="24"/>
              </w:rPr>
            </w:pPr>
          </w:p>
        </w:tc>
        <w:tc>
          <w:tcPr>
            <w:tcW w:w="2035" w:type="pct"/>
            <w:vAlign w:val="center"/>
          </w:tcPr>
          <w:p w14:paraId="55E19E47">
            <w:pPr>
              <w:wordWrap w:val="0"/>
              <w:spacing w:line="360" w:lineRule="auto"/>
              <w:jc w:val="center"/>
              <w:rPr>
                <w:rFonts w:cs="仿宋_GB2312"/>
                <w:szCs w:val="24"/>
              </w:rPr>
            </w:pPr>
            <w:r>
              <w:rPr>
                <w:rFonts w:hint="eastAsia" w:cs="宋体"/>
                <w:szCs w:val="24"/>
              </w:rPr>
              <w:t>……</w:t>
            </w:r>
          </w:p>
        </w:tc>
        <w:tc>
          <w:tcPr>
            <w:tcW w:w="615" w:type="pct"/>
            <w:vAlign w:val="center"/>
          </w:tcPr>
          <w:p w14:paraId="0E392673">
            <w:pPr>
              <w:wordWrap w:val="0"/>
              <w:spacing w:line="360" w:lineRule="auto"/>
              <w:jc w:val="center"/>
              <w:rPr>
                <w:rFonts w:cs="仿宋_GB2312"/>
                <w:szCs w:val="24"/>
              </w:rPr>
            </w:pPr>
            <w:r>
              <w:rPr>
                <w:rFonts w:hint="eastAsia" w:cs="宋体"/>
                <w:szCs w:val="24"/>
              </w:rPr>
              <w:t>……</w:t>
            </w:r>
          </w:p>
        </w:tc>
      </w:tr>
    </w:tbl>
    <w:p w14:paraId="25CC913A">
      <w:pPr>
        <w:wordWrap w:val="0"/>
        <w:spacing w:line="360" w:lineRule="auto"/>
        <w:ind w:left="1132" w:hanging="1132" w:hangingChars="470"/>
        <w:jc w:val="left"/>
        <w:rPr>
          <w:b/>
          <w:szCs w:val="24"/>
        </w:rPr>
      </w:pPr>
      <w:r>
        <w:rPr>
          <w:rFonts w:hint="eastAsia"/>
          <w:b/>
          <w:szCs w:val="24"/>
        </w:rPr>
        <w:t>说明</w:t>
      </w:r>
      <w:r>
        <w:rPr>
          <w:rFonts w:hint="eastAsia" w:cs="Corbel"/>
          <w:b/>
          <w:szCs w:val="24"/>
        </w:rPr>
        <w:t>：</w:t>
      </w:r>
      <w:r>
        <w:rPr>
          <w:rFonts w:hint="eastAsia" w:cs="Corbel"/>
          <w:szCs w:val="24"/>
        </w:rPr>
        <w:t>1</w:t>
      </w:r>
      <w:r>
        <w:rPr>
          <w:rFonts w:hint="eastAsia"/>
          <w:szCs w:val="24"/>
        </w:rPr>
        <w:t>、</w:t>
      </w:r>
      <w:r>
        <w:rPr>
          <w:rFonts w:hint="eastAsia" w:cs="Corbel"/>
          <w:szCs w:val="24"/>
        </w:rPr>
        <w:t>应按竞争性磋商文件第三章“</w:t>
      </w:r>
      <w:r>
        <w:rPr>
          <w:rFonts w:hint="eastAsia"/>
          <w:szCs w:val="21"/>
        </w:rPr>
        <w:t>资格性检查和符合性检查表</w:t>
      </w:r>
      <w:r>
        <w:rPr>
          <w:rFonts w:hint="eastAsia" w:cs="Corbel"/>
          <w:szCs w:val="24"/>
        </w:rPr>
        <w:t>”条款逐项在“响应文件响应的内容”栏中进行响应说明。未按照要求填写此表或在“响应文件响应的内容”栏中仅注明“符合”、“满足”的，导致的后果由供应商自行承担</w:t>
      </w:r>
      <w:r>
        <w:rPr>
          <w:rFonts w:hint="eastAsia"/>
          <w:szCs w:val="24"/>
        </w:rPr>
        <w:t>。</w:t>
      </w:r>
    </w:p>
    <w:p w14:paraId="63B94A18">
      <w:pPr>
        <w:wordWrap w:val="0"/>
        <w:spacing w:line="360" w:lineRule="auto"/>
        <w:ind w:left="1080" w:leftChars="300" w:hanging="360" w:hangingChars="150"/>
        <w:jc w:val="left"/>
        <w:rPr>
          <w:b/>
          <w:szCs w:val="24"/>
        </w:rPr>
      </w:pPr>
      <w:r>
        <w:rPr>
          <w:rFonts w:hint="eastAsia" w:cs="Corbel"/>
          <w:szCs w:val="24"/>
        </w:rPr>
        <w:t>2、</w:t>
      </w:r>
      <w:r>
        <w:rPr>
          <w:rFonts w:hint="eastAsia"/>
          <w:szCs w:val="24"/>
        </w:rPr>
        <w:t>应将对应响应内容的页码（多页的，起码和止码）填写到上表“响应文件对应页码”栏中。未提供准确页码或对应内容不一致的，导致的后果由供应商自行承担。</w:t>
      </w:r>
    </w:p>
    <w:p w14:paraId="5FB1293C">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2FB6E239">
      <w:pPr>
        <w:wordWrap w:val="0"/>
        <w:spacing w:before="100" w:beforeAutospacing="1" w:after="100" w:afterAutospacing="1" w:line="360" w:lineRule="auto"/>
        <w:ind w:firstLine="3316" w:firstLineChars="1382"/>
        <w:rPr>
          <w:rFonts w:hint="eastAsia"/>
          <w:bCs/>
          <w:u w:val="single"/>
        </w:rPr>
      </w:pPr>
      <w:r>
        <w:rPr>
          <w:rFonts w:hint="eastAsia"/>
          <w:szCs w:val="24"/>
        </w:rPr>
        <w:t>日   期：</w:t>
      </w:r>
      <w:r>
        <w:rPr>
          <w:rFonts w:hint="eastAsia"/>
          <w:bCs/>
          <w:u w:val="single"/>
        </w:rPr>
        <w:t xml:space="preserve">                                   </w:t>
      </w:r>
    </w:p>
    <w:p w14:paraId="10FCA263">
      <w:pPr>
        <w:pStyle w:val="2"/>
        <w:rPr>
          <w:rFonts w:hint="eastAsia"/>
          <w:bCs/>
          <w:u w:val="single"/>
        </w:rPr>
      </w:pPr>
    </w:p>
    <w:p w14:paraId="633F1750">
      <w:pPr>
        <w:rPr>
          <w:rFonts w:hint="eastAsia"/>
          <w:bCs/>
          <w:u w:val="single"/>
        </w:rPr>
      </w:pPr>
    </w:p>
    <w:p w14:paraId="07215EE5">
      <w:pPr>
        <w:pStyle w:val="2"/>
        <w:rPr>
          <w:rFonts w:hint="eastAsia"/>
          <w:bCs/>
          <w:u w:val="single"/>
        </w:rPr>
      </w:pPr>
    </w:p>
    <w:p w14:paraId="0CD60263">
      <w:pPr>
        <w:rPr>
          <w:rFonts w:hint="eastAsia"/>
          <w:bCs/>
          <w:u w:val="single"/>
        </w:rPr>
      </w:pPr>
    </w:p>
    <w:p w14:paraId="0CF3490F">
      <w:pPr>
        <w:pStyle w:val="2"/>
        <w:rPr>
          <w:rFonts w:hint="eastAsia"/>
          <w:bCs/>
          <w:u w:val="single"/>
        </w:rPr>
      </w:pPr>
    </w:p>
    <w:p w14:paraId="29A7DA52">
      <w:pPr>
        <w:rPr>
          <w:rFonts w:hint="eastAsia"/>
          <w:bCs/>
          <w:u w:val="single"/>
        </w:rPr>
      </w:pPr>
    </w:p>
    <w:p w14:paraId="022F7E1B">
      <w:pPr>
        <w:pStyle w:val="2"/>
        <w:rPr>
          <w:rFonts w:hint="eastAsia"/>
          <w:bCs/>
          <w:u w:val="single"/>
        </w:rPr>
      </w:pPr>
    </w:p>
    <w:p w14:paraId="71504F6A">
      <w:pPr>
        <w:rPr>
          <w:rFonts w:hint="eastAsia"/>
          <w:bCs/>
          <w:u w:val="single"/>
        </w:rPr>
      </w:pPr>
    </w:p>
    <w:p w14:paraId="4E655B77">
      <w:pPr>
        <w:pStyle w:val="2"/>
        <w:rPr>
          <w:rFonts w:hint="eastAsia"/>
          <w:bCs/>
          <w:u w:val="single"/>
        </w:rPr>
      </w:pPr>
    </w:p>
    <w:p w14:paraId="4BB64559">
      <w:pPr>
        <w:rPr>
          <w:rFonts w:hint="eastAsia"/>
          <w:bCs/>
          <w:u w:val="single"/>
        </w:rPr>
      </w:pPr>
    </w:p>
    <w:p w14:paraId="6570A4A3">
      <w:pPr>
        <w:pStyle w:val="2"/>
        <w:rPr>
          <w:rFonts w:hint="eastAsia"/>
          <w:bCs/>
          <w:u w:val="single"/>
        </w:rPr>
      </w:pPr>
    </w:p>
    <w:p w14:paraId="19956800">
      <w:pPr>
        <w:rPr>
          <w:rFonts w:hint="eastAsia"/>
          <w:bCs/>
          <w:u w:val="single"/>
        </w:rPr>
      </w:pPr>
    </w:p>
    <w:p w14:paraId="4117F6DE">
      <w:pPr>
        <w:pStyle w:val="2"/>
        <w:rPr>
          <w:rFonts w:hint="eastAsia"/>
          <w:bCs/>
          <w:u w:val="single"/>
        </w:rPr>
      </w:pPr>
    </w:p>
    <w:p w14:paraId="7E5B7537"/>
    <w:p w14:paraId="1B47E732">
      <w:pPr>
        <w:pStyle w:val="4"/>
        <w:numPr>
          <w:ilvl w:val="0"/>
          <w:numId w:val="50"/>
        </w:numPr>
        <w:tabs>
          <w:tab w:val="left" w:pos="567"/>
        </w:tabs>
        <w:spacing w:before="0" w:after="0" w:line="360" w:lineRule="auto"/>
        <w:ind w:left="482" w:hanging="482" w:hangingChars="200"/>
        <w:jc w:val="left"/>
        <w:rPr>
          <w:rFonts w:ascii="宋体" w:hAnsi="宋体" w:eastAsia="宋体" w:cs="Times New Roman"/>
          <w:sz w:val="24"/>
          <w:szCs w:val="24"/>
          <w:lang w:val="zh-CN"/>
        </w:rPr>
      </w:pPr>
      <w:bookmarkStart w:id="456" w:name="_Toc117244492"/>
      <w:bookmarkStart w:id="457" w:name="_Toc117244377"/>
      <w:bookmarkStart w:id="458" w:name="_Toc122527548"/>
      <w:r>
        <w:rPr>
          <w:rFonts w:hint="eastAsia" w:ascii="宋体" w:hAnsi="宋体" w:eastAsia="宋体" w:cs="Times New Roman"/>
          <w:sz w:val="24"/>
          <w:szCs w:val="24"/>
          <w:lang w:val="zh-CN"/>
        </w:rPr>
        <w:t>具备</w:t>
      </w:r>
      <w:r>
        <w:rPr>
          <w:rFonts w:hint="eastAsia"/>
          <w:sz w:val="24"/>
          <w:szCs w:val="21"/>
        </w:rPr>
        <w:t>《政府采购法》</w:t>
      </w:r>
      <w:r>
        <w:rPr>
          <w:rFonts w:hint="eastAsia" w:ascii="宋体" w:hAnsi="宋体" w:eastAsia="宋体" w:cs="Times New Roman"/>
          <w:sz w:val="24"/>
          <w:szCs w:val="24"/>
          <w:lang w:val="zh-CN"/>
        </w:rPr>
        <w:t>第二十二条第一款规定的条件</w:t>
      </w:r>
      <w:r>
        <w:rPr>
          <w:rFonts w:hint="eastAsia" w:ascii="宋体" w:hAnsi="宋体" w:eastAsia="宋体"/>
          <w:sz w:val="24"/>
          <w:szCs w:val="24"/>
        </w:rPr>
        <w:t>提供的材料</w:t>
      </w:r>
      <w:bookmarkEnd w:id="456"/>
      <w:bookmarkEnd w:id="457"/>
      <w:bookmarkEnd w:id="458"/>
    </w:p>
    <w:p w14:paraId="7E92BA2C">
      <w:pPr>
        <w:pStyle w:val="44"/>
        <w:numPr>
          <w:ilvl w:val="0"/>
          <w:numId w:val="52"/>
        </w:numPr>
        <w:wordWrap w:val="0"/>
        <w:spacing w:line="360" w:lineRule="auto"/>
        <w:ind w:left="1134" w:hanging="566" w:firstLineChars="0"/>
        <w:outlineLvl w:val="2"/>
        <w:rPr>
          <w:b/>
          <w:szCs w:val="24"/>
          <w:lang w:val="zh-CN"/>
        </w:rPr>
      </w:pPr>
      <w:r>
        <w:rPr>
          <w:rFonts w:hint="eastAsia"/>
          <w:b/>
          <w:szCs w:val="24"/>
          <w:lang w:val="zh-CN"/>
        </w:rPr>
        <w:t>法人、其他组织的营业执照或执业许可证等证明文件，自然人的身份证明</w:t>
      </w:r>
    </w:p>
    <w:p w14:paraId="4FD74DD0">
      <w:pPr>
        <w:spacing w:line="360" w:lineRule="auto"/>
        <w:ind w:firstLine="960" w:firstLineChars="400"/>
        <w:rPr>
          <w:rFonts w:ascii="楷体" w:hAnsi="楷体" w:eastAsia="楷体"/>
          <w:b/>
          <w:szCs w:val="24"/>
          <w:lang w:val="zh-CN"/>
        </w:rPr>
      </w:pPr>
      <w:r>
        <w:rPr>
          <w:rFonts w:hint="eastAsia" w:ascii="楷体" w:hAnsi="楷体" w:eastAsia="楷体"/>
          <w:szCs w:val="24"/>
          <w:lang w:val="zh-CN"/>
        </w:rPr>
        <w:t>（按供应商自身</w:t>
      </w:r>
      <w:r>
        <w:rPr>
          <w:rFonts w:ascii="楷体" w:hAnsi="楷体" w:eastAsia="楷体"/>
          <w:bCs/>
          <w:szCs w:val="24"/>
        </w:rPr>
        <w:t>实际</w:t>
      </w:r>
      <w:r>
        <w:rPr>
          <w:rFonts w:hint="eastAsia" w:ascii="楷体" w:hAnsi="楷体" w:eastAsia="楷体"/>
          <w:bCs/>
          <w:szCs w:val="24"/>
        </w:rPr>
        <w:t>情况</w:t>
      </w:r>
      <w:r>
        <w:rPr>
          <w:rFonts w:hint="eastAsia" w:ascii="楷体" w:hAnsi="楷体" w:eastAsia="楷体"/>
          <w:szCs w:val="24"/>
          <w:lang w:val="zh-CN"/>
        </w:rPr>
        <w:t>自行编写）</w:t>
      </w:r>
    </w:p>
    <w:p w14:paraId="1FD2183F">
      <w:pPr>
        <w:pStyle w:val="44"/>
        <w:spacing w:line="360" w:lineRule="auto"/>
        <w:ind w:left="993" w:firstLine="0" w:firstLineChars="0"/>
        <w:jc w:val="left"/>
        <w:rPr>
          <w:szCs w:val="24"/>
        </w:rPr>
      </w:pPr>
      <w:r>
        <w:rPr>
          <w:rFonts w:hint="eastAsia"/>
          <w:szCs w:val="24"/>
        </w:rPr>
        <w:t>（1）企业法人（包括合伙企业）提供工商部门注册的有效“企业法人营业执照”或“营业执照”；</w:t>
      </w:r>
    </w:p>
    <w:p w14:paraId="6E25C254">
      <w:pPr>
        <w:pStyle w:val="44"/>
        <w:spacing w:line="360" w:lineRule="auto"/>
        <w:ind w:left="993" w:firstLine="0" w:firstLineChars="0"/>
        <w:jc w:val="left"/>
        <w:rPr>
          <w:szCs w:val="24"/>
        </w:rPr>
      </w:pPr>
      <w:r>
        <w:rPr>
          <w:rFonts w:hint="eastAsia"/>
          <w:szCs w:val="24"/>
        </w:rPr>
        <w:t>（2）事业单位法人应提供有效的“事业单位法人证书”；</w:t>
      </w:r>
    </w:p>
    <w:p w14:paraId="1A72727B">
      <w:pPr>
        <w:pStyle w:val="44"/>
        <w:spacing w:line="360" w:lineRule="auto"/>
        <w:ind w:left="993" w:firstLine="0" w:firstLineChars="0"/>
        <w:jc w:val="left"/>
        <w:rPr>
          <w:szCs w:val="24"/>
        </w:rPr>
      </w:pPr>
      <w:r>
        <w:rPr>
          <w:rFonts w:hint="eastAsia"/>
          <w:szCs w:val="24"/>
        </w:rPr>
        <w:t>（3）非企业专业服务机构应提供执业许可证等证明文件；</w:t>
      </w:r>
    </w:p>
    <w:p w14:paraId="1A24ED1A">
      <w:pPr>
        <w:pStyle w:val="44"/>
        <w:spacing w:line="360" w:lineRule="auto"/>
        <w:ind w:left="993" w:firstLine="0" w:firstLineChars="0"/>
        <w:jc w:val="left"/>
        <w:rPr>
          <w:szCs w:val="24"/>
        </w:rPr>
      </w:pPr>
      <w:r>
        <w:rPr>
          <w:rFonts w:hint="eastAsia"/>
          <w:szCs w:val="24"/>
        </w:rPr>
        <w:t>（4）个体工商户应提供有效的“个体工商户营业执照”；</w:t>
      </w:r>
    </w:p>
    <w:p w14:paraId="48B0D7CF">
      <w:pPr>
        <w:pStyle w:val="44"/>
        <w:spacing w:line="360" w:lineRule="auto"/>
        <w:ind w:left="993" w:firstLine="0" w:firstLineChars="0"/>
        <w:jc w:val="left"/>
        <w:rPr>
          <w:lang w:val="zh-CN"/>
        </w:rPr>
      </w:pPr>
      <w:r>
        <w:rPr>
          <w:rFonts w:hint="eastAsia"/>
          <w:szCs w:val="24"/>
        </w:rPr>
        <w:t>（5）自然人应</w:t>
      </w:r>
      <w:r>
        <w:rPr>
          <w:rFonts w:hint="eastAsia"/>
          <w:lang w:val="zh-CN"/>
        </w:rPr>
        <w:t>提供有效的自然人身份证明（仅限中国公民）。</w:t>
      </w:r>
    </w:p>
    <w:p w14:paraId="382FA832">
      <w:pPr>
        <w:widowControl/>
        <w:jc w:val="left"/>
        <w:rPr>
          <w:lang w:val="zh-CN"/>
        </w:rPr>
      </w:pPr>
      <w:r>
        <w:rPr>
          <w:lang w:val="zh-CN"/>
        </w:rPr>
        <w:br w:type="page"/>
      </w:r>
    </w:p>
    <w:p w14:paraId="362F0F15">
      <w:pPr>
        <w:pStyle w:val="44"/>
        <w:spacing w:line="360" w:lineRule="auto"/>
        <w:ind w:left="993" w:firstLine="0" w:firstLineChars="0"/>
        <w:jc w:val="left"/>
        <w:rPr>
          <w:lang w:val="zh-CN"/>
        </w:rPr>
      </w:pPr>
    </w:p>
    <w:p w14:paraId="66EDB4BF">
      <w:pPr>
        <w:pStyle w:val="44"/>
        <w:numPr>
          <w:ilvl w:val="0"/>
          <w:numId w:val="52"/>
        </w:numPr>
        <w:wordWrap w:val="0"/>
        <w:spacing w:line="360" w:lineRule="auto"/>
        <w:ind w:left="1134" w:hanging="566" w:firstLineChars="0"/>
        <w:outlineLvl w:val="2"/>
        <w:rPr>
          <w:b/>
          <w:bCs/>
          <w:szCs w:val="24"/>
        </w:rPr>
      </w:pPr>
      <w:r>
        <w:rPr>
          <w:rFonts w:hint="eastAsia"/>
          <w:b/>
          <w:szCs w:val="24"/>
          <w:lang w:val="zh-CN"/>
        </w:rPr>
        <w:t>财务</w:t>
      </w:r>
      <w:r>
        <w:rPr>
          <w:rFonts w:hint="eastAsia"/>
          <w:b/>
          <w:szCs w:val="24"/>
        </w:rPr>
        <w:t>状况报告，依法缴纳税收和社会保障资金的声明函</w:t>
      </w:r>
      <w:bookmarkEnd w:id="441"/>
    </w:p>
    <w:p w14:paraId="0A839388">
      <w:pPr>
        <w:spacing w:line="360" w:lineRule="auto"/>
        <w:ind w:firstLine="960" w:firstLineChars="400"/>
        <w:rPr>
          <w:rFonts w:ascii="楷体" w:hAnsi="楷体" w:eastAsia="楷体"/>
          <w:b/>
          <w:bCs/>
          <w:szCs w:val="24"/>
        </w:rPr>
      </w:pPr>
      <w:r>
        <w:rPr>
          <w:rFonts w:hint="eastAsia" w:ascii="楷体" w:hAnsi="楷体" w:eastAsia="楷体"/>
          <w:bCs/>
          <w:szCs w:val="24"/>
        </w:rPr>
        <w:t>（</w:t>
      </w:r>
      <w:r>
        <w:rPr>
          <w:rFonts w:hint="eastAsia" w:ascii="楷体" w:hAnsi="楷体" w:eastAsia="楷体"/>
          <w:szCs w:val="24"/>
        </w:rPr>
        <w:t>可不再提供其它证明材料</w:t>
      </w:r>
      <w:r>
        <w:rPr>
          <w:rFonts w:hint="eastAsia" w:ascii="楷体" w:hAnsi="楷体" w:eastAsia="楷体"/>
          <w:bCs/>
          <w:szCs w:val="24"/>
        </w:rPr>
        <w:t>）</w:t>
      </w:r>
    </w:p>
    <w:p w14:paraId="0CF6A506">
      <w:pPr>
        <w:wordWrap w:val="0"/>
        <w:spacing w:line="360" w:lineRule="auto"/>
        <w:ind w:firstLine="480" w:firstLineChars="200"/>
        <w:rPr>
          <w:bCs/>
          <w:szCs w:val="24"/>
        </w:rPr>
      </w:pPr>
      <w:r>
        <w:rPr>
          <w:rFonts w:hint="eastAsia"/>
          <w:szCs w:val="24"/>
        </w:rPr>
        <w:t>本公司</w:t>
      </w:r>
      <w:r>
        <w:rPr>
          <w:rFonts w:hint="eastAsia"/>
          <w:bCs/>
          <w:szCs w:val="24"/>
        </w:rPr>
        <w:t>参加贵中心组织的</w:t>
      </w:r>
      <w:r>
        <w:rPr>
          <w:rFonts w:hint="eastAsia"/>
          <w:bCs/>
          <w:i/>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14:paraId="30F977B3">
      <w:pPr>
        <w:numPr>
          <w:ilvl w:val="0"/>
          <w:numId w:val="53"/>
        </w:numPr>
        <w:tabs>
          <w:tab w:val="left" w:pos="0"/>
        </w:tabs>
        <w:wordWrap w:val="0"/>
        <w:spacing w:line="360" w:lineRule="auto"/>
        <w:ind w:left="0" w:firstLine="482"/>
        <w:rPr>
          <w:szCs w:val="24"/>
        </w:rPr>
      </w:pPr>
      <w:r>
        <w:rPr>
          <w:rFonts w:hint="eastAsia"/>
          <w:szCs w:val="24"/>
        </w:rPr>
        <w:t>具有合法健全的财务会计制度及依法缴纳税收和社会保障资金；</w:t>
      </w:r>
    </w:p>
    <w:p w14:paraId="4A55CE19">
      <w:pPr>
        <w:numPr>
          <w:ilvl w:val="0"/>
          <w:numId w:val="53"/>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14:paraId="1D00E841">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14:paraId="5ED7EB25">
      <w:pPr>
        <w:widowControl/>
        <w:wordWrap w:val="0"/>
        <w:spacing w:line="360" w:lineRule="auto"/>
        <w:ind w:firstLine="3360" w:firstLineChars="1400"/>
        <w:jc w:val="left"/>
        <w:rPr>
          <w:rFonts w:hint="eastAsia"/>
          <w:bCs/>
          <w:szCs w:val="21"/>
          <w:u w:val="single"/>
          <w:lang w:val="zh-CN"/>
        </w:rPr>
      </w:pPr>
      <w:r>
        <w:rPr>
          <w:rFonts w:hint="eastAsia"/>
          <w:szCs w:val="24"/>
        </w:rPr>
        <w:t>日    期：</w:t>
      </w:r>
      <w:r>
        <w:rPr>
          <w:rFonts w:hint="eastAsia"/>
          <w:bCs/>
          <w:szCs w:val="21"/>
          <w:u w:val="single"/>
          <w:lang w:val="zh-CN"/>
        </w:rPr>
        <w:t xml:space="preserve">                                     </w:t>
      </w:r>
    </w:p>
    <w:p w14:paraId="16AD23D1">
      <w:pPr>
        <w:pStyle w:val="2"/>
        <w:rPr>
          <w:rFonts w:hint="eastAsia"/>
          <w:bCs/>
          <w:szCs w:val="21"/>
          <w:u w:val="single"/>
          <w:lang w:val="zh-CN"/>
        </w:rPr>
      </w:pPr>
    </w:p>
    <w:p w14:paraId="6CF0A38C">
      <w:pPr>
        <w:rPr>
          <w:rFonts w:hint="eastAsia"/>
          <w:bCs/>
          <w:szCs w:val="21"/>
          <w:u w:val="single"/>
          <w:lang w:val="zh-CN"/>
        </w:rPr>
      </w:pPr>
    </w:p>
    <w:p w14:paraId="396F157D">
      <w:pPr>
        <w:pStyle w:val="2"/>
        <w:rPr>
          <w:rFonts w:hint="eastAsia"/>
          <w:bCs/>
          <w:szCs w:val="21"/>
          <w:u w:val="single"/>
          <w:lang w:val="zh-CN"/>
        </w:rPr>
      </w:pPr>
    </w:p>
    <w:p w14:paraId="063E2E43">
      <w:pPr>
        <w:rPr>
          <w:rFonts w:hint="eastAsia"/>
          <w:bCs/>
          <w:szCs w:val="21"/>
          <w:u w:val="single"/>
          <w:lang w:val="zh-CN"/>
        </w:rPr>
      </w:pPr>
    </w:p>
    <w:p w14:paraId="74D39D23">
      <w:pPr>
        <w:pStyle w:val="2"/>
        <w:rPr>
          <w:rFonts w:hint="eastAsia"/>
          <w:bCs/>
          <w:szCs w:val="21"/>
          <w:u w:val="single"/>
          <w:lang w:val="zh-CN"/>
        </w:rPr>
      </w:pPr>
    </w:p>
    <w:p w14:paraId="10D86833">
      <w:pPr>
        <w:rPr>
          <w:rFonts w:hint="eastAsia"/>
          <w:bCs/>
          <w:szCs w:val="21"/>
          <w:u w:val="single"/>
          <w:lang w:val="zh-CN"/>
        </w:rPr>
      </w:pPr>
    </w:p>
    <w:p w14:paraId="4EFC58A9">
      <w:pPr>
        <w:pStyle w:val="2"/>
        <w:rPr>
          <w:rFonts w:hint="eastAsia"/>
          <w:bCs/>
          <w:szCs w:val="21"/>
          <w:u w:val="single"/>
          <w:lang w:val="zh-CN"/>
        </w:rPr>
      </w:pPr>
    </w:p>
    <w:p w14:paraId="24C67E2D">
      <w:pPr>
        <w:rPr>
          <w:rFonts w:hint="eastAsia"/>
          <w:bCs/>
          <w:szCs w:val="21"/>
          <w:u w:val="single"/>
          <w:lang w:val="zh-CN"/>
        </w:rPr>
      </w:pPr>
    </w:p>
    <w:p w14:paraId="6F8CDAB7">
      <w:pPr>
        <w:pStyle w:val="2"/>
        <w:rPr>
          <w:rFonts w:hint="eastAsia"/>
          <w:bCs/>
          <w:szCs w:val="21"/>
          <w:u w:val="single"/>
          <w:lang w:val="zh-CN"/>
        </w:rPr>
      </w:pPr>
    </w:p>
    <w:p w14:paraId="19458F32">
      <w:pPr>
        <w:rPr>
          <w:rFonts w:hint="eastAsia"/>
          <w:bCs/>
          <w:szCs w:val="21"/>
          <w:u w:val="single"/>
          <w:lang w:val="zh-CN"/>
        </w:rPr>
      </w:pPr>
    </w:p>
    <w:p w14:paraId="2BC44D7C">
      <w:pPr>
        <w:pStyle w:val="2"/>
        <w:rPr>
          <w:rFonts w:hint="eastAsia"/>
          <w:bCs/>
          <w:szCs w:val="21"/>
          <w:u w:val="single"/>
          <w:lang w:val="zh-CN"/>
        </w:rPr>
      </w:pPr>
    </w:p>
    <w:p w14:paraId="49E3F37F">
      <w:pPr>
        <w:rPr>
          <w:rFonts w:hint="eastAsia"/>
          <w:bCs/>
          <w:szCs w:val="21"/>
          <w:u w:val="single"/>
          <w:lang w:val="zh-CN"/>
        </w:rPr>
      </w:pPr>
    </w:p>
    <w:p w14:paraId="563835F4">
      <w:pPr>
        <w:pStyle w:val="2"/>
        <w:rPr>
          <w:rFonts w:hint="eastAsia"/>
          <w:bCs/>
          <w:szCs w:val="21"/>
          <w:u w:val="single"/>
          <w:lang w:val="zh-CN"/>
        </w:rPr>
      </w:pPr>
    </w:p>
    <w:p w14:paraId="6442BE80">
      <w:pPr>
        <w:rPr>
          <w:rFonts w:hint="eastAsia"/>
          <w:bCs/>
          <w:szCs w:val="21"/>
          <w:u w:val="single"/>
          <w:lang w:val="zh-CN"/>
        </w:rPr>
      </w:pPr>
    </w:p>
    <w:p w14:paraId="077F32E2">
      <w:pPr>
        <w:pStyle w:val="2"/>
        <w:rPr>
          <w:rFonts w:hint="eastAsia"/>
          <w:bCs/>
          <w:szCs w:val="21"/>
          <w:u w:val="single"/>
          <w:lang w:val="zh-CN"/>
        </w:rPr>
      </w:pPr>
    </w:p>
    <w:p w14:paraId="79DA644F">
      <w:pPr>
        <w:rPr>
          <w:rFonts w:hint="eastAsia"/>
          <w:bCs/>
          <w:szCs w:val="21"/>
          <w:u w:val="single"/>
          <w:lang w:val="zh-CN"/>
        </w:rPr>
      </w:pPr>
    </w:p>
    <w:p w14:paraId="16116714">
      <w:pPr>
        <w:pStyle w:val="2"/>
        <w:rPr>
          <w:rFonts w:hint="eastAsia"/>
          <w:bCs/>
          <w:szCs w:val="21"/>
          <w:u w:val="single"/>
          <w:lang w:val="zh-CN"/>
        </w:rPr>
      </w:pPr>
    </w:p>
    <w:p w14:paraId="7429697B">
      <w:pPr>
        <w:rPr>
          <w:rFonts w:hint="eastAsia"/>
          <w:bCs/>
          <w:szCs w:val="21"/>
          <w:u w:val="single"/>
          <w:lang w:val="zh-CN"/>
        </w:rPr>
      </w:pPr>
    </w:p>
    <w:p w14:paraId="54E96722">
      <w:pPr>
        <w:pStyle w:val="2"/>
        <w:rPr>
          <w:rFonts w:hint="eastAsia"/>
          <w:bCs/>
          <w:szCs w:val="21"/>
          <w:u w:val="single"/>
          <w:lang w:val="zh-CN"/>
        </w:rPr>
      </w:pPr>
    </w:p>
    <w:p w14:paraId="610F3801">
      <w:pPr>
        <w:rPr>
          <w:rFonts w:hint="eastAsia"/>
          <w:bCs/>
          <w:szCs w:val="21"/>
          <w:u w:val="single"/>
          <w:lang w:val="zh-CN"/>
        </w:rPr>
      </w:pPr>
    </w:p>
    <w:p w14:paraId="5179B649">
      <w:pPr>
        <w:pStyle w:val="2"/>
        <w:rPr>
          <w:rFonts w:hint="eastAsia"/>
          <w:bCs/>
          <w:szCs w:val="21"/>
          <w:u w:val="single"/>
          <w:lang w:val="zh-CN"/>
        </w:rPr>
      </w:pPr>
    </w:p>
    <w:p w14:paraId="537CB4AF">
      <w:pPr>
        <w:pStyle w:val="2"/>
        <w:rPr>
          <w:lang w:val="zh-CN"/>
        </w:rPr>
      </w:pPr>
    </w:p>
    <w:p w14:paraId="74FAD049">
      <w:pPr>
        <w:pStyle w:val="44"/>
        <w:numPr>
          <w:ilvl w:val="0"/>
          <w:numId w:val="52"/>
        </w:numPr>
        <w:wordWrap w:val="0"/>
        <w:spacing w:line="360" w:lineRule="auto"/>
        <w:ind w:left="1134" w:hanging="566" w:firstLineChars="0"/>
        <w:outlineLvl w:val="2"/>
        <w:rPr>
          <w:szCs w:val="24"/>
          <w:lang w:val="zh-CN"/>
        </w:rPr>
      </w:pPr>
      <w:bookmarkStart w:id="459" w:name="_Toc107561298"/>
      <w:r>
        <w:rPr>
          <w:rFonts w:hint="eastAsia"/>
          <w:b/>
          <w:szCs w:val="24"/>
          <w:lang w:val="zh-CN"/>
        </w:rPr>
        <w:t>履行</w:t>
      </w:r>
      <w:r>
        <w:rPr>
          <w:rFonts w:hint="eastAsia"/>
          <w:b/>
          <w:szCs w:val="24"/>
        </w:rPr>
        <w:t>合同所必需的设备和专业技术能力声明函</w:t>
      </w:r>
    </w:p>
    <w:p w14:paraId="3AA9397A">
      <w:pPr>
        <w:spacing w:line="360" w:lineRule="auto"/>
        <w:ind w:firstLine="1080" w:firstLineChars="450"/>
        <w:rPr>
          <w:rFonts w:ascii="楷体" w:hAnsi="楷体" w:eastAsia="楷体"/>
          <w:bCs/>
          <w:szCs w:val="24"/>
        </w:rPr>
      </w:pPr>
      <w:r>
        <w:rPr>
          <w:rFonts w:hint="eastAsia" w:ascii="楷体" w:hAnsi="楷体" w:eastAsia="楷体"/>
          <w:bCs/>
          <w:szCs w:val="24"/>
        </w:rPr>
        <w:t>（自行编写）</w:t>
      </w:r>
    </w:p>
    <w:p w14:paraId="678F0A0F">
      <w:pPr>
        <w:wordWrap w:val="0"/>
        <w:spacing w:line="360" w:lineRule="auto"/>
        <w:ind w:firstLine="480" w:firstLineChars="200"/>
      </w:pPr>
    </w:p>
    <w:p w14:paraId="6E368DB0">
      <w:pPr>
        <w:pStyle w:val="2"/>
      </w:pPr>
    </w:p>
    <w:p w14:paraId="1E94D79E"/>
    <w:p w14:paraId="328ACF71">
      <w:pPr>
        <w:pStyle w:val="2"/>
      </w:pPr>
    </w:p>
    <w:p w14:paraId="19A3F35C"/>
    <w:p w14:paraId="07046C89">
      <w:pPr>
        <w:pStyle w:val="2"/>
      </w:pPr>
    </w:p>
    <w:p w14:paraId="4831D158"/>
    <w:p w14:paraId="4D59EC13">
      <w:pPr>
        <w:pStyle w:val="2"/>
      </w:pPr>
    </w:p>
    <w:p w14:paraId="3444A23C"/>
    <w:p w14:paraId="64FE9438">
      <w:pPr>
        <w:pStyle w:val="2"/>
      </w:pPr>
    </w:p>
    <w:p w14:paraId="5526E28F"/>
    <w:p w14:paraId="5592DD77">
      <w:pPr>
        <w:pStyle w:val="2"/>
      </w:pPr>
    </w:p>
    <w:p w14:paraId="11325469"/>
    <w:p w14:paraId="4FE6C70C">
      <w:pPr>
        <w:pStyle w:val="2"/>
      </w:pPr>
    </w:p>
    <w:p w14:paraId="2276A74B"/>
    <w:p w14:paraId="3F327AC9">
      <w:pPr>
        <w:pStyle w:val="2"/>
      </w:pPr>
    </w:p>
    <w:p w14:paraId="0B175B34"/>
    <w:p w14:paraId="40252D18">
      <w:pPr>
        <w:pStyle w:val="2"/>
      </w:pPr>
    </w:p>
    <w:p w14:paraId="757B8E70"/>
    <w:p w14:paraId="417C0F42">
      <w:pPr>
        <w:pStyle w:val="2"/>
      </w:pPr>
    </w:p>
    <w:p w14:paraId="1D4B668B"/>
    <w:p w14:paraId="2280728A">
      <w:pPr>
        <w:pStyle w:val="2"/>
      </w:pPr>
    </w:p>
    <w:p w14:paraId="70735E84"/>
    <w:p w14:paraId="218C79BC">
      <w:pPr>
        <w:pStyle w:val="2"/>
      </w:pPr>
    </w:p>
    <w:p w14:paraId="485AEB0C"/>
    <w:p w14:paraId="5CD09488">
      <w:pPr>
        <w:pStyle w:val="2"/>
      </w:pPr>
    </w:p>
    <w:p w14:paraId="0F66587B"/>
    <w:p w14:paraId="518501E3">
      <w:pPr>
        <w:pStyle w:val="2"/>
      </w:pPr>
    </w:p>
    <w:p w14:paraId="39BC99A1"/>
    <w:p w14:paraId="017D97F5">
      <w:pPr>
        <w:pStyle w:val="2"/>
      </w:pPr>
    </w:p>
    <w:p w14:paraId="7D25CA50">
      <w:pPr>
        <w:pStyle w:val="44"/>
        <w:numPr>
          <w:ilvl w:val="0"/>
          <w:numId w:val="52"/>
        </w:numPr>
        <w:wordWrap w:val="0"/>
        <w:spacing w:line="360" w:lineRule="auto"/>
        <w:ind w:left="1134" w:hanging="566" w:firstLineChars="0"/>
        <w:outlineLvl w:val="2"/>
        <w:rPr>
          <w:bCs/>
          <w:sz w:val="28"/>
          <w:szCs w:val="28"/>
        </w:rPr>
      </w:pPr>
      <w:r>
        <w:rPr>
          <w:rFonts w:hint="eastAsia"/>
          <w:b/>
          <w:szCs w:val="24"/>
        </w:rPr>
        <w:t>无重大违法记录的声明函</w:t>
      </w:r>
      <w:bookmarkEnd w:id="459"/>
    </w:p>
    <w:p w14:paraId="67D962A7">
      <w:pPr>
        <w:wordWrap w:val="0"/>
        <w:spacing w:line="360" w:lineRule="auto"/>
        <w:ind w:firstLine="960" w:firstLineChars="400"/>
        <w:rPr>
          <w:rFonts w:ascii="楷体" w:hAnsi="楷体" w:eastAsia="楷体"/>
          <w:bCs/>
          <w:sz w:val="28"/>
          <w:szCs w:val="28"/>
        </w:rPr>
      </w:pPr>
      <w:r>
        <w:rPr>
          <w:rFonts w:hint="eastAsia" w:ascii="楷体" w:hAnsi="楷体" w:eastAsia="楷体"/>
          <w:szCs w:val="24"/>
        </w:rPr>
        <w:t>（可不再提供其它证明材料）</w:t>
      </w:r>
    </w:p>
    <w:p w14:paraId="0131285E">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14:paraId="7B73457D">
      <w:pPr>
        <w:numPr>
          <w:ilvl w:val="0"/>
          <w:numId w:val="54"/>
        </w:numPr>
        <w:tabs>
          <w:tab w:val="left" w:pos="426"/>
        </w:tabs>
        <w:wordWrap w:val="0"/>
        <w:spacing w:line="360" w:lineRule="auto"/>
        <w:rPr>
          <w:szCs w:val="24"/>
        </w:rPr>
      </w:pPr>
      <w:r>
        <w:rPr>
          <w:rFonts w:hint="eastAsia"/>
          <w:szCs w:val="24"/>
        </w:rPr>
        <w:t>参加本项目政府采购活动前三年内，本单位未因违法经营受到刑事处罚或者责令停产停业、吊销许可证或者执照、较大数额罚款等行政处罚；</w:t>
      </w:r>
    </w:p>
    <w:p w14:paraId="14FC8846">
      <w:pPr>
        <w:numPr>
          <w:ilvl w:val="0"/>
          <w:numId w:val="54"/>
        </w:numPr>
        <w:tabs>
          <w:tab w:val="left" w:pos="426"/>
        </w:tabs>
        <w:wordWrap w:val="0"/>
        <w:spacing w:line="360" w:lineRule="auto"/>
        <w:ind w:left="912" w:leftChars="203" w:hanging="425"/>
        <w:rPr>
          <w:szCs w:val="24"/>
        </w:rPr>
      </w:pPr>
      <w:r>
        <w:rPr>
          <w:rFonts w:hint="eastAsia"/>
          <w:szCs w:val="24"/>
        </w:rPr>
        <w:t>参加本项目政府采购活动前三年内，本单位未受到过全国</w:t>
      </w:r>
      <w:r>
        <w:rPr>
          <w:szCs w:val="24"/>
        </w:rPr>
        <w:t>各级人民政府财政部门依法</w:t>
      </w:r>
      <w:r>
        <w:rPr>
          <w:rFonts w:hint="eastAsia"/>
          <w:szCs w:val="24"/>
        </w:rPr>
        <w:t>作</w:t>
      </w:r>
      <w:r>
        <w:rPr>
          <w:szCs w:val="24"/>
        </w:rPr>
        <w:t>出的禁止参加政府采购活动</w:t>
      </w:r>
      <w:r>
        <w:rPr>
          <w:rFonts w:hint="eastAsia"/>
          <w:szCs w:val="24"/>
        </w:rPr>
        <w:t>（或期限已满）</w:t>
      </w:r>
      <w:r>
        <w:rPr>
          <w:szCs w:val="24"/>
        </w:rPr>
        <w:t>等行政处罚决定</w:t>
      </w:r>
      <w:r>
        <w:rPr>
          <w:rFonts w:hint="eastAsia"/>
          <w:szCs w:val="24"/>
        </w:rPr>
        <w:t>；</w:t>
      </w:r>
    </w:p>
    <w:p w14:paraId="60A884DD">
      <w:pPr>
        <w:numPr>
          <w:ilvl w:val="0"/>
          <w:numId w:val="54"/>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14:paraId="2231EF58">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14:paraId="1AFFACCD">
      <w:pPr>
        <w:wordWrap w:val="0"/>
        <w:spacing w:before="100" w:beforeAutospacing="1" w:after="100" w:afterAutospacing="1" w:line="360" w:lineRule="auto"/>
        <w:ind w:firstLine="3316" w:firstLineChars="1382"/>
        <w:rPr>
          <w:rFonts w:hint="eastAsia"/>
          <w:bCs/>
          <w:szCs w:val="21"/>
          <w:u w:val="single"/>
          <w:lang w:val="zh-CN"/>
        </w:rPr>
      </w:pPr>
      <w:r>
        <w:rPr>
          <w:rFonts w:hint="eastAsia"/>
          <w:szCs w:val="24"/>
        </w:rPr>
        <w:t>日    期：</w:t>
      </w:r>
      <w:r>
        <w:rPr>
          <w:rFonts w:hint="eastAsia"/>
          <w:bCs/>
          <w:szCs w:val="21"/>
          <w:u w:val="single"/>
          <w:lang w:val="zh-CN"/>
        </w:rPr>
        <w:t xml:space="preserve">                                     </w:t>
      </w:r>
    </w:p>
    <w:p w14:paraId="24351BA2">
      <w:pPr>
        <w:pStyle w:val="2"/>
        <w:rPr>
          <w:rFonts w:hint="eastAsia"/>
          <w:bCs/>
          <w:szCs w:val="21"/>
          <w:u w:val="single"/>
          <w:lang w:val="zh-CN"/>
        </w:rPr>
      </w:pPr>
    </w:p>
    <w:p w14:paraId="79BA097E">
      <w:pPr>
        <w:rPr>
          <w:rFonts w:hint="eastAsia"/>
          <w:bCs/>
          <w:szCs w:val="21"/>
          <w:u w:val="single"/>
          <w:lang w:val="zh-CN"/>
        </w:rPr>
      </w:pPr>
    </w:p>
    <w:p w14:paraId="227C884D">
      <w:pPr>
        <w:pStyle w:val="2"/>
        <w:rPr>
          <w:rFonts w:hint="eastAsia"/>
          <w:bCs/>
          <w:szCs w:val="21"/>
          <w:u w:val="single"/>
          <w:lang w:val="zh-CN"/>
        </w:rPr>
      </w:pPr>
    </w:p>
    <w:p w14:paraId="704E8914">
      <w:pPr>
        <w:rPr>
          <w:rFonts w:hint="eastAsia"/>
          <w:bCs/>
          <w:szCs w:val="21"/>
          <w:u w:val="single"/>
          <w:lang w:val="zh-CN"/>
        </w:rPr>
      </w:pPr>
    </w:p>
    <w:p w14:paraId="654A673E">
      <w:pPr>
        <w:pStyle w:val="2"/>
        <w:rPr>
          <w:rFonts w:hint="eastAsia"/>
          <w:bCs/>
          <w:szCs w:val="21"/>
          <w:u w:val="single"/>
          <w:lang w:val="zh-CN"/>
        </w:rPr>
      </w:pPr>
    </w:p>
    <w:p w14:paraId="72AE5246">
      <w:pPr>
        <w:rPr>
          <w:rFonts w:hint="eastAsia"/>
          <w:bCs/>
          <w:szCs w:val="21"/>
          <w:u w:val="single"/>
          <w:lang w:val="zh-CN"/>
        </w:rPr>
      </w:pPr>
    </w:p>
    <w:p w14:paraId="420F22C4">
      <w:pPr>
        <w:pStyle w:val="2"/>
        <w:rPr>
          <w:rFonts w:hint="eastAsia"/>
          <w:bCs/>
          <w:szCs w:val="21"/>
          <w:u w:val="single"/>
          <w:lang w:val="zh-CN"/>
        </w:rPr>
      </w:pPr>
    </w:p>
    <w:p w14:paraId="5A2B5640">
      <w:pPr>
        <w:rPr>
          <w:rFonts w:hint="eastAsia"/>
          <w:bCs/>
          <w:szCs w:val="21"/>
          <w:u w:val="single"/>
          <w:lang w:val="zh-CN"/>
        </w:rPr>
      </w:pPr>
    </w:p>
    <w:p w14:paraId="60B5F3E3">
      <w:pPr>
        <w:pStyle w:val="2"/>
        <w:rPr>
          <w:rFonts w:hint="eastAsia"/>
          <w:bCs/>
          <w:szCs w:val="21"/>
          <w:u w:val="single"/>
          <w:lang w:val="zh-CN"/>
        </w:rPr>
      </w:pPr>
    </w:p>
    <w:p w14:paraId="78B1607D">
      <w:pPr>
        <w:rPr>
          <w:rFonts w:hint="eastAsia"/>
          <w:bCs/>
          <w:szCs w:val="21"/>
          <w:u w:val="single"/>
          <w:lang w:val="zh-CN"/>
        </w:rPr>
      </w:pPr>
    </w:p>
    <w:p w14:paraId="780AEBAA">
      <w:pPr>
        <w:pStyle w:val="2"/>
        <w:rPr>
          <w:rFonts w:hint="eastAsia"/>
          <w:bCs/>
          <w:szCs w:val="21"/>
          <w:u w:val="single"/>
          <w:lang w:val="zh-CN"/>
        </w:rPr>
      </w:pPr>
    </w:p>
    <w:p w14:paraId="63A917E9">
      <w:pPr>
        <w:rPr>
          <w:rFonts w:hint="eastAsia"/>
          <w:bCs/>
          <w:szCs w:val="21"/>
          <w:u w:val="single"/>
          <w:lang w:val="zh-CN"/>
        </w:rPr>
      </w:pPr>
    </w:p>
    <w:p w14:paraId="3A371DE6">
      <w:pPr>
        <w:pStyle w:val="2"/>
        <w:rPr>
          <w:rFonts w:hint="eastAsia"/>
          <w:bCs/>
          <w:szCs w:val="21"/>
          <w:u w:val="single"/>
          <w:lang w:val="zh-CN"/>
        </w:rPr>
      </w:pPr>
    </w:p>
    <w:p w14:paraId="1CF0617B">
      <w:pPr>
        <w:rPr>
          <w:rFonts w:hint="eastAsia"/>
          <w:bCs/>
          <w:szCs w:val="21"/>
          <w:u w:val="single"/>
          <w:lang w:val="zh-CN"/>
        </w:rPr>
      </w:pPr>
    </w:p>
    <w:p w14:paraId="04C4E8CE">
      <w:pPr>
        <w:pStyle w:val="2"/>
        <w:rPr>
          <w:rFonts w:hint="eastAsia"/>
          <w:bCs/>
          <w:szCs w:val="21"/>
          <w:u w:val="single"/>
          <w:lang w:val="zh-CN"/>
        </w:rPr>
      </w:pPr>
    </w:p>
    <w:p w14:paraId="19CD00F9">
      <w:pPr>
        <w:rPr>
          <w:rFonts w:hint="eastAsia"/>
          <w:bCs/>
          <w:szCs w:val="21"/>
          <w:u w:val="single"/>
          <w:lang w:val="zh-CN"/>
        </w:rPr>
      </w:pPr>
    </w:p>
    <w:p w14:paraId="7FDC9F60">
      <w:pPr>
        <w:pStyle w:val="2"/>
        <w:rPr>
          <w:rFonts w:hint="eastAsia"/>
          <w:bCs/>
          <w:szCs w:val="21"/>
          <w:u w:val="single"/>
          <w:lang w:val="zh-CN"/>
        </w:rPr>
      </w:pPr>
    </w:p>
    <w:p w14:paraId="3311A5B1">
      <w:pPr>
        <w:rPr>
          <w:rFonts w:hint="eastAsia"/>
          <w:bCs/>
          <w:szCs w:val="21"/>
          <w:u w:val="single"/>
          <w:lang w:val="zh-CN"/>
        </w:rPr>
      </w:pPr>
    </w:p>
    <w:p w14:paraId="28366462">
      <w:pPr>
        <w:rPr>
          <w:rFonts w:hint="eastAsia"/>
          <w:bCs/>
          <w:szCs w:val="21"/>
          <w:u w:val="single"/>
          <w:lang w:val="zh-CN"/>
        </w:rPr>
      </w:pPr>
    </w:p>
    <w:p w14:paraId="348399A3">
      <w:pPr>
        <w:pStyle w:val="2"/>
        <w:rPr>
          <w:lang w:val="zh-CN"/>
        </w:rPr>
      </w:pPr>
    </w:p>
    <w:p w14:paraId="0E939352">
      <w:pPr>
        <w:pStyle w:val="44"/>
        <w:numPr>
          <w:ilvl w:val="0"/>
          <w:numId w:val="52"/>
        </w:numPr>
        <w:wordWrap w:val="0"/>
        <w:spacing w:line="360" w:lineRule="auto"/>
        <w:ind w:left="1134" w:hanging="566" w:firstLineChars="0"/>
        <w:outlineLvl w:val="2"/>
        <w:rPr>
          <w:szCs w:val="24"/>
          <w:lang w:val="zh-CN"/>
        </w:rPr>
      </w:pPr>
      <w:r>
        <w:rPr>
          <w:rFonts w:hint="eastAsia"/>
          <w:b/>
          <w:szCs w:val="24"/>
        </w:rPr>
        <w:t>国家对</w:t>
      </w:r>
      <w:r>
        <w:rPr>
          <w:rFonts w:hint="eastAsia"/>
          <w:b/>
          <w:szCs w:val="24"/>
          <w:lang w:val="zh-CN"/>
        </w:rPr>
        <w:t>生产</w:t>
      </w:r>
      <w:r>
        <w:rPr>
          <w:rFonts w:hint="eastAsia"/>
          <w:b/>
          <w:szCs w:val="24"/>
        </w:rPr>
        <w:t>和销售相关产品或提供相关服务有专门法律、行政法规规定的，则应提供取得国家有关主管部门行政许可的证明材料。</w:t>
      </w:r>
    </w:p>
    <w:p w14:paraId="76780C8C">
      <w:pPr>
        <w:wordWrap w:val="0"/>
        <w:spacing w:line="360" w:lineRule="auto"/>
        <w:ind w:firstLine="720" w:firstLineChars="300"/>
        <w:rPr>
          <w:szCs w:val="24"/>
          <w:lang w:val="zh-CN"/>
        </w:rPr>
      </w:pPr>
      <w:r>
        <w:rPr>
          <w:rFonts w:hint="eastAsia" w:ascii="楷体" w:hAnsi="楷体" w:eastAsia="楷体"/>
          <w:szCs w:val="24"/>
        </w:rPr>
        <w:t>（</w:t>
      </w:r>
      <w:r>
        <w:rPr>
          <w:rFonts w:ascii="楷体" w:hAnsi="楷体" w:eastAsia="楷体"/>
          <w:szCs w:val="24"/>
        </w:rPr>
        <w:t>自行编写</w:t>
      </w:r>
      <w:r>
        <w:rPr>
          <w:rFonts w:hint="eastAsia" w:ascii="楷体" w:hAnsi="楷体" w:eastAsia="楷体"/>
          <w:szCs w:val="24"/>
        </w:rPr>
        <w:t>，</w:t>
      </w:r>
      <w:r>
        <w:rPr>
          <w:rFonts w:hint="eastAsia" w:ascii="楷体" w:hAnsi="楷体" w:eastAsia="楷体"/>
          <w:bCs/>
          <w:szCs w:val="24"/>
        </w:rPr>
        <w:t>若</w:t>
      </w:r>
      <w:r>
        <w:rPr>
          <w:rFonts w:hint="eastAsia" w:ascii="楷体" w:hAnsi="楷体" w:eastAsia="楷体"/>
          <w:szCs w:val="24"/>
        </w:rPr>
        <w:t>有</w:t>
      </w:r>
      <w:r>
        <w:rPr>
          <w:rFonts w:ascii="楷体" w:hAnsi="楷体" w:eastAsia="楷体"/>
          <w:szCs w:val="24"/>
        </w:rPr>
        <w:t>，</w:t>
      </w:r>
      <w:r>
        <w:rPr>
          <w:rFonts w:hint="eastAsia" w:ascii="楷体" w:hAnsi="楷体" w:eastAsia="楷体"/>
          <w:szCs w:val="24"/>
        </w:rPr>
        <w:t>提供相关证明材料；若</w:t>
      </w:r>
      <w:r>
        <w:rPr>
          <w:rFonts w:ascii="楷体" w:hAnsi="楷体" w:eastAsia="楷体"/>
          <w:szCs w:val="24"/>
        </w:rPr>
        <w:t>无</w:t>
      </w:r>
      <w:r>
        <w:rPr>
          <w:rFonts w:hint="eastAsia" w:ascii="楷体" w:hAnsi="楷体" w:eastAsia="楷体"/>
          <w:szCs w:val="24"/>
        </w:rPr>
        <w:t>，</w:t>
      </w:r>
      <w:r>
        <w:rPr>
          <w:rFonts w:ascii="楷体" w:hAnsi="楷体" w:eastAsia="楷体"/>
          <w:szCs w:val="24"/>
        </w:rPr>
        <w:t>提供无竞争性磋商文件要求之</w:t>
      </w:r>
      <w:r>
        <w:rPr>
          <w:rFonts w:hint="eastAsia" w:ascii="楷体" w:hAnsi="楷体" w:eastAsia="楷体"/>
          <w:szCs w:val="24"/>
        </w:rPr>
        <w:t>外</w:t>
      </w:r>
      <w:r>
        <w:rPr>
          <w:rFonts w:ascii="楷体" w:hAnsi="楷体" w:eastAsia="楷体"/>
          <w:szCs w:val="24"/>
        </w:rPr>
        <w:t>的行政许可声明</w:t>
      </w:r>
      <w:r>
        <w:rPr>
          <w:rFonts w:hint="eastAsia" w:ascii="楷体" w:hAnsi="楷体" w:eastAsia="楷体"/>
          <w:szCs w:val="24"/>
        </w:rPr>
        <w:t>函）</w:t>
      </w:r>
      <w:r>
        <w:rPr>
          <w:szCs w:val="24"/>
          <w:lang w:val="zh-CN"/>
        </w:rPr>
        <w:br w:type="page"/>
      </w:r>
    </w:p>
    <w:p w14:paraId="151E896B">
      <w:pPr>
        <w:pStyle w:val="4"/>
        <w:numPr>
          <w:ilvl w:val="0"/>
          <w:numId w:val="50"/>
        </w:numPr>
        <w:tabs>
          <w:tab w:val="left" w:pos="567"/>
        </w:tabs>
        <w:spacing w:before="0" w:after="0" w:line="360" w:lineRule="auto"/>
        <w:ind w:left="482" w:hanging="482" w:hangingChars="200"/>
        <w:jc w:val="left"/>
        <w:rPr>
          <w:rFonts w:ascii="宋体" w:hAnsi="宋体" w:eastAsia="宋体" w:cs="Times New Roman"/>
          <w:bCs w:val="0"/>
          <w:sz w:val="24"/>
          <w:szCs w:val="24"/>
        </w:rPr>
      </w:pPr>
      <w:bookmarkStart w:id="460" w:name="_Toc117244493"/>
      <w:bookmarkStart w:id="461" w:name="_Toc107561299"/>
      <w:bookmarkStart w:id="462" w:name="_Toc122527549"/>
      <w:bookmarkStart w:id="463" w:name="_Toc117244378"/>
      <w:r>
        <w:rPr>
          <w:rFonts w:hint="eastAsia" w:ascii="宋体" w:hAnsi="宋体" w:eastAsia="宋体" w:cs="Times New Roman"/>
          <w:bCs w:val="0"/>
          <w:sz w:val="24"/>
          <w:szCs w:val="24"/>
        </w:rPr>
        <w:t>未与有关系的其它供应商参加同一合同采购活动的声明函</w:t>
      </w:r>
      <w:bookmarkEnd w:id="460"/>
      <w:bookmarkEnd w:id="461"/>
      <w:bookmarkEnd w:id="462"/>
      <w:bookmarkEnd w:id="463"/>
    </w:p>
    <w:p w14:paraId="302F7535">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14:paraId="6DA23DD1">
      <w:pPr>
        <w:numPr>
          <w:ilvl w:val="0"/>
          <w:numId w:val="55"/>
        </w:numPr>
        <w:tabs>
          <w:tab w:val="left" w:pos="0"/>
        </w:tabs>
        <w:wordWrap w:val="0"/>
        <w:spacing w:line="360" w:lineRule="auto"/>
        <w:rPr>
          <w:szCs w:val="24"/>
        </w:rPr>
      </w:pPr>
      <w:r>
        <w:rPr>
          <w:rFonts w:hint="eastAsia"/>
          <w:szCs w:val="24"/>
        </w:rPr>
        <w:t>未与单位负责人为同一人或者存在直接控股、管理关系的其它供应商</w:t>
      </w:r>
      <w:r>
        <w:rPr>
          <w:rFonts w:hint="eastAsia" w:ascii="楷体" w:hAnsi="楷体" w:eastAsia="楷体"/>
          <w:bCs/>
          <w:szCs w:val="24"/>
        </w:rPr>
        <w:t>（含专门面向中小企业预留的采购项目或采购包，组成联合体或者接受分包合同的中小企业与联合体内其它企业、分包企业之间）</w:t>
      </w:r>
      <w:r>
        <w:rPr>
          <w:rFonts w:hint="eastAsia"/>
          <w:szCs w:val="24"/>
        </w:rPr>
        <w:t>，参加本项目同一合同项下的政府采购活动；</w:t>
      </w:r>
    </w:p>
    <w:p w14:paraId="44BF8E2C">
      <w:pPr>
        <w:numPr>
          <w:ilvl w:val="0"/>
          <w:numId w:val="55"/>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14:paraId="45A61D26">
      <w:pPr>
        <w:wordWrap w:val="0"/>
        <w:spacing w:before="100" w:beforeAutospacing="1" w:after="100" w:afterAutospacing="1" w:line="360" w:lineRule="auto"/>
        <w:ind w:left="2880" w:leftChars="1200" w:firstLine="436" w:firstLineChars="182"/>
        <w:rPr>
          <w:bCs/>
          <w:szCs w:val="21"/>
          <w:u w:val="single"/>
          <w:lang w:val="zh-CN"/>
        </w:rPr>
      </w:pPr>
      <w:r>
        <w:rPr>
          <w:rFonts w:hint="eastAsia"/>
          <w:bCs/>
          <w:szCs w:val="21"/>
          <w:lang w:val="zh-CN"/>
        </w:rPr>
        <w:t>供应商（公章）：</w:t>
      </w:r>
      <w:r>
        <w:rPr>
          <w:rFonts w:hint="eastAsia"/>
          <w:bCs/>
          <w:szCs w:val="21"/>
          <w:u w:val="single"/>
          <w:lang w:val="zh-CN"/>
        </w:rPr>
        <w:t xml:space="preserve">                                </w:t>
      </w:r>
    </w:p>
    <w:p w14:paraId="284BF253">
      <w:pPr>
        <w:wordWrap w:val="0"/>
        <w:spacing w:before="100" w:beforeAutospacing="1" w:after="100" w:afterAutospacing="1" w:line="360" w:lineRule="auto"/>
        <w:ind w:left="2880" w:leftChars="1200" w:firstLine="436" w:firstLineChars="182"/>
        <w:rPr>
          <w:rFonts w:hint="eastAsia"/>
          <w:bCs/>
          <w:szCs w:val="21"/>
          <w:u w:val="single"/>
          <w:lang w:val="zh-CN"/>
        </w:rPr>
      </w:pPr>
      <w:r>
        <w:rPr>
          <w:rFonts w:hint="eastAsia"/>
          <w:szCs w:val="24"/>
        </w:rPr>
        <w:t>日   期：</w:t>
      </w:r>
      <w:r>
        <w:rPr>
          <w:rFonts w:hint="eastAsia"/>
          <w:bCs/>
          <w:szCs w:val="21"/>
          <w:u w:val="single"/>
          <w:lang w:val="zh-CN"/>
        </w:rPr>
        <w:t xml:space="preserve">                                     </w:t>
      </w:r>
    </w:p>
    <w:p w14:paraId="15B670D0">
      <w:pPr>
        <w:pStyle w:val="2"/>
        <w:rPr>
          <w:rFonts w:hint="eastAsia"/>
          <w:bCs/>
          <w:szCs w:val="21"/>
          <w:u w:val="single"/>
          <w:lang w:val="zh-CN"/>
        </w:rPr>
      </w:pPr>
    </w:p>
    <w:p w14:paraId="5D1E06D9">
      <w:pPr>
        <w:rPr>
          <w:rFonts w:hint="eastAsia"/>
          <w:bCs/>
          <w:szCs w:val="21"/>
          <w:u w:val="single"/>
          <w:lang w:val="zh-CN"/>
        </w:rPr>
      </w:pPr>
    </w:p>
    <w:p w14:paraId="0C7E86F2">
      <w:pPr>
        <w:pStyle w:val="2"/>
        <w:rPr>
          <w:rFonts w:hint="eastAsia"/>
          <w:bCs/>
          <w:szCs w:val="21"/>
          <w:u w:val="single"/>
          <w:lang w:val="zh-CN"/>
        </w:rPr>
      </w:pPr>
    </w:p>
    <w:p w14:paraId="1658E42F">
      <w:pPr>
        <w:rPr>
          <w:rFonts w:hint="eastAsia"/>
          <w:bCs/>
          <w:szCs w:val="21"/>
          <w:u w:val="single"/>
          <w:lang w:val="zh-CN"/>
        </w:rPr>
      </w:pPr>
    </w:p>
    <w:p w14:paraId="21F75ACE">
      <w:pPr>
        <w:pStyle w:val="2"/>
        <w:rPr>
          <w:rFonts w:hint="eastAsia"/>
          <w:bCs/>
          <w:szCs w:val="21"/>
          <w:u w:val="single"/>
          <w:lang w:val="zh-CN"/>
        </w:rPr>
      </w:pPr>
    </w:p>
    <w:p w14:paraId="4D926282">
      <w:pPr>
        <w:rPr>
          <w:rFonts w:hint="eastAsia"/>
          <w:bCs/>
          <w:szCs w:val="21"/>
          <w:u w:val="single"/>
          <w:lang w:val="zh-CN"/>
        </w:rPr>
      </w:pPr>
    </w:p>
    <w:p w14:paraId="7BE887EC">
      <w:pPr>
        <w:pStyle w:val="2"/>
        <w:rPr>
          <w:rFonts w:hint="eastAsia"/>
          <w:bCs/>
          <w:szCs w:val="21"/>
          <w:u w:val="single"/>
          <w:lang w:val="zh-CN"/>
        </w:rPr>
      </w:pPr>
    </w:p>
    <w:p w14:paraId="2C55F212">
      <w:pPr>
        <w:rPr>
          <w:rFonts w:hint="eastAsia"/>
          <w:bCs/>
          <w:szCs w:val="21"/>
          <w:u w:val="single"/>
          <w:lang w:val="zh-CN"/>
        </w:rPr>
      </w:pPr>
    </w:p>
    <w:p w14:paraId="19ADF883">
      <w:pPr>
        <w:pStyle w:val="2"/>
        <w:rPr>
          <w:rFonts w:hint="eastAsia"/>
          <w:bCs/>
          <w:szCs w:val="21"/>
          <w:u w:val="single"/>
          <w:lang w:val="zh-CN"/>
        </w:rPr>
      </w:pPr>
    </w:p>
    <w:p w14:paraId="1A01B464">
      <w:pPr>
        <w:rPr>
          <w:rFonts w:hint="eastAsia"/>
          <w:bCs/>
          <w:szCs w:val="21"/>
          <w:u w:val="single"/>
          <w:lang w:val="zh-CN"/>
        </w:rPr>
      </w:pPr>
    </w:p>
    <w:p w14:paraId="08334946">
      <w:pPr>
        <w:pStyle w:val="2"/>
        <w:rPr>
          <w:rFonts w:hint="eastAsia"/>
          <w:bCs/>
          <w:szCs w:val="21"/>
          <w:u w:val="single"/>
          <w:lang w:val="zh-CN"/>
        </w:rPr>
      </w:pPr>
    </w:p>
    <w:p w14:paraId="1749AC7C">
      <w:pPr>
        <w:rPr>
          <w:rFonts w:hint="eastAsia"/>
          <w:bCs/>
          <w:szCs w:val="21"/>
          <w:u w:val="single"/>
          <w:lang w:val="zh-CN"/>
        </w:rPr>
      </w:pPr>
    </w:p>
    <w:p w14:paraId="18AFA1EB">
      <w:pPr>
        <w:pStyle w:val="2"/>
        <w:rPr>
          <w:rFonts w:hint="eastAsia"/>
          <w:bCs/>
          <w:szCs w:val="21"/>
          <w:u w:val="single"/>
          <w:lang w:val="zh-CN"/>
        </w:rPr>
      </w:pPr>
    </w:p>
    <w:p w14:paraId="3DF11328">
      <w:pPr>
        <w:rPr>
          <w:rFonts w:hint="eastAsia"/>
          <w:bCs/>
          <w:szCs w:val="21"/>
          <w:u w:val="single"/>
          <w:lang w:val="zh-CN"/>
        </w:rPr>
      </w:pPr>
    </w:p>
    <w:p w14:paraId="0CB49DB0">
      <w:pPr>
        <w:pStyle w:val="2"/>
        <w:rPr>
          <w:rFonts w:hint="eastAsia"/>
          <w:bCs/>
          <w:szCs w:val="21"/>
          <w:u w:val="single"/>
          <w:lang w:val="zh-CN"/>
        </w:rPr>
      </w:pPr>
    </w:p>
    <w:p w14:paraId="09496F22">
      <w:pPr>
        <w:rPr>
          <w:rFonts w:hint="eastAsia"/>
          <w:bCs/>
          <w:szCs w:val="21"/>
          <w:u w:val="single"/>
          <w:lang w:val="zh-CN"/>
        </w:rPr>
      </w:pPr>
    </w:p>
    <w:p w14:paraId="0DBC0C19">
      <w:pPr>
        <w:pStyle w:val="2"/>
        <w:rPr>
          <w:rFonts w:hint="eastAsia"/>
          <w:bCs/>
          <w:szCs w:val="21"/>
          <w:u w:val="single"/>
          <w:lang w:val="zh-CN"/>
        </w:rPr>
      </w:pPr>
    </w:p>
    <w:p w14:paraId="69C61EEB">
      <w:pPr>
        <w:rPr>
          <w:rFonts w:hint="eastAsia"/>
          <w:bCs/>
          <w:szCs w:val="21"/>
          <w:u w:val="single"/>
          <w:lang w:val="zh-CN"/>
        </w:rPr>
      </w:pPr>
    </w:p>
    <w:p w14:paraId="21C678E5">
      <w:pPr>
        <w:pStyle w:val="2"/>
        <w:rPr>
          <w:rFonts w:hint="eastAsia"/>
          <w:bCs/>
          <w:szCs w:val="21"/>
          <w:u w:val="single"/>
          <w:lang w:val="zh-CN"/>
        </w:rPr>
      </w:pPr>
    </w:p>
    <w:p w14:paraId="6CEA90E4">
      <w:pPr>
        <w:rPr>
          <w:rFonts w:hint="eastAsia"/>
          <w:bCs/>
          <w:szCs w:val="21"/>
          <w:u w:val="single"/>
          <w:lang w:val="zh-CN"/>
        </w:rPr>
      </w:pPr>
    </w:p>
    <w:p w14:paraId="45E6A5D9">
      <w:pPr>
        <w:pStyle w:val="2"/>
        <w:rPr>
          <w:lang w:val="zh-CN"/>
        </w:rPr>
      </w:pPr>
    </w:p>
    <w:p w14:paraId="49DED39B">
      <w:pPr>
        <w:pStyle w:val="4"/>
        <w:numPr>
          <w:ilvl w:val="0"/>
          <w:numId w:val="50"/>
        </w:numPr>
        <w:tabs>
          <w:tab w:val="left" w:pos="567"/>
        </w:tabs>
        <w:spacing w:before="0" w:after="0" w:line="360" w:lineRule="auto"/>
        <w:ind w:left="482" w:hanging="482" w:hangingChars="200"/>
        <w:jc w:val="left"/>
        <w:rPr>
          <w:rFonts w:ascii="宋体" w:hAnsi="宋体" w:eastAsia="宋体" w:cs="Times New Roman"/>
          <w:bCs w:val="0"/>
          <w:sz w:val="24"/>
          <w:szCs w:val="24"/>
        </w:rPr>
      </w:pPr>
      <w:bookmarkStart w:id="464" w:name="_Toc107561300"/>
      <w:bookmarkStart w:id="465" w:name="_Toc117244379"/>
      <w:bookmarkStart w:id="466" w:name="_Toc122527550"/>
      <w:bookmarkStart w:id="467" w:name="_Toc117244494"/>
      <w:r>
        <w:rPr>
          <w:rFonts w:hint="eastAsia" w:ascii="宋体" w:hAnsi="宋体" w:eastAsia="宋体" w:cs="Times New Roman"/>
          <w:bCs w:val="0"/>
          <w:sz w:val="24"/>
          <w:szCs w:val="24"/>
        </w:rPr>
        <w:t>未为本</w:t>
      </w:r>
      <w:r>
        <w:rPr>
          <w:rFonts w:hint="eastAsia"/>
          <w:sz w:val="24"/>
          <w:szCs w:val="21"/>
        </w:rPr>
        <w:t>项目</w:t>
      </w:r>
      <w:r>
        <w:rPr>
          <w:rFonts w:hint="eastAsia" w:ascii="宋体" w:hAnsi="宋体" w:eastAsia="宋体" w:cs="Times New Roman"/>
          <w:bCs w:val="0"/>
          <w:sz w:val="24"/>
          <w:szCs w:val="24"/>
        </w:rPr>
        <w:t>提供相关服务的声明函</w:t>
      </w:r>
      <w:bookmarkEnd w:id="464"/>
      <w:bookmarkEnd w:id="465"/>
      <w:bookmarkEnd w:id="466"/>
      <w:bookmarkEnd w:id="467"/>
      <w:r>
        <w:rPr>
          <w:rFonts w:hint="eastAsia" w:ascii="宋体" w:hAnsi="宋体" w:eastAsia="宋体" w:cs="Times New Roman"/>
          <w:bCs w:val="0"/>
          <w:sz w:val="24"/>
          <w:szCs w:val="24"/>
        </w:rPr>
        <w:t xml:space="preserve"> </w:t>
      </w:r>
    </w:p>
    <w:p w14:paraId="6899F88D">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14:paraId="62438311">
      <w:pPr>
        <w:numPr>
          <w:ilvl w:val="0"/>
          <w:numId w:val="56"/>
        </w:numPr>
        <w:tabs>
          <w:tab w:val="left" w:pos="0"/>
        </w:tabs>
        <w:wordWrap w:val="0"/>
        <w:spacing w:line="360" w:lineRule="auto"/>
        <w:rPr>
          <w:bCs/>
          <w:szCs w:val="24"/>
        </w:rPr>
      </w:pPr>
      <w:r>
        <w:rPr>
          <w:rFonts w:hint="eastAsia"/>
          <w:bCs/>
          <w:szCs w:val="24"/>
        </w:rPr>
        <w:t>未为本</w:t>
      </w:r>
      <w:r>
        <w:rPr>
          <w:rFonts w:hint="eastAsia"/>
          <w:szCs w:val="24"/>
        </w:rPr>
        <w:t>采购</w:t>
      </w:r>
      <w:r>
        <w:rPr>
          <w:rFonts w:hint="eastAsia"/>
          <w:bCs/>
          <w:szCs w:val="24"/>
        </w:rPr>
        <w:t>项目提供整体设计、规范编制或者项目管理、监理、检测等服务；</w:t>
      </w:r>
    </w:p>
    <w:p w14:paraId="3700516E">
      <w:pPr>
        <w:numPr>
          <w:ilvl w:val="0"/>
          <w:numId w:val="56"/>
        </w:numPr>
        <w:tabs>
          <w:tab w:val="left" w:pos="0"/>
        </w:tabs>
        <w:wordWrap w:val="0"/>
        <w:spacing w:line="360" w:lineRule="auto"/>
        <w:rPr>
          <w:bCs/>
          <w:szCs w:val="24"/>
        </w:rPr>
      </w:pPr>
      <w:r>
        <w:rPr>
          <w:rFonts w:hint="eastAsia"/>
          <w:bCs/>
          <w:szCs w:val="24"/>
        </w:rPr>
        <w:t>对上述声明内容的真实性负责。如有虚假，将依法承担相应责任。</w:t>
      </w:r>
    </w:p>
    <w:p w14:paraId="34136B61">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14:paraId="541BE39C">
      <w:pPr>
        <w:wordWrap w:val="0"/>
        <w:spacing w:before="100" w:beforeAutospacing="1" w:after="100" w:afterAutospacing="1" w:line="360" w:lineRule="auto"/>
        <w:ind w:firstLine="3316" w:firstLineChars="1382"/>
        <w:rPr>
          <w:rFonts w:hint="eastAsia"/>
          <w:bCs/>
          <w:szCs w:val="21"/>
          <w:u w:val="single"/>
          <w:lang w:val="zh-CN"/>
        </w:rPr>
      </w:pPr>
      <w:r>
        <w:rPr>
          <w:rFonts w:hint="eastAsia"/>
          <w:szCs w:val="24"/>
        </w:rPr>
        <w:t>日   期：</w:t>
      </w:r>
      <w:r>
        <w:rPr>
          <w:rFonts w:hint="eastAsia"/>
          <w:bCs/>
          <w:szCs w:val="21"/>
          <w:u w:val="single"/>
          <w:lang w:val="zh-CN"/>
        </w:rPr>
        <w:t xml:space="preserve">                                     </w:t>
      </w:r>
    </w:p>
    <w:p w14:paraId="18DD5AA4">
      <w:pPr>
        <w:pStyle w:val="2"/>
        <w:rPr>
          <w:rFonts w:hint="eastAsia"/>
          <w:bCs/>
          <w:szCs w:val="21"/>
          <w:u w:val="single"/>
          <w:lang w:val="zh-CN"/>
        </w:rPr>
      </w:pPr>
    </w:p>
    <w:p w14:paraId="3784B895">
      <w:pPr>
        <w:rPr>
          <w:rFonts w:hint="eastAsia"/>
          <w:bCs/>
          <w:szCs w:val="21"/>
          <w:u w:val="single"/>
          <w:lang w:val="zh-CN"/>
        </w:rPr>
      </w:pPr>
    </w:p>
    <w:p w14:paraId="1710B218">
      <w:pPr>
        <w:pStyle w:val="2"/>
        <w:rPr>
          <w:rFonts w:hint="eastAsia"/>
          <w:bCs/>
          <w:szCs w:val="21"/>
          <w:u w:val="single"/>
          <w:lang w:val="zh-CN"/>
        </w:rPr>
      </w:pPr>
    </w:p>
    <w:p w14:paraId="1993D5D0">
      <w:pPr>
        <w:rPr>
          <w:rFonts w:hint="eastAsia"/>
          <w:bCs/>
          <w:szCs w:val="21"/>
          <w:u w:val="single"/>
          <w:lang w:val="zh-CN"/>
        </w:rPr>
      </w:pPr>
    </w:p>
    <w:p w14:paraId="4C810691">
      <w:pPr>
        <w:pStyle w:val="2"/>
        <w:rPr>
          <w:rFonts w:hint="eastAsia"/>
          <w:bCs/>
          <w:szCs w:val="21"/>
          <w:u w:val="single"/>
          <w:lang w:val="zh-CN"/>
        </w:rPr>
      </w:pPr>
    </w:p>
    <w:p w14:paraId="3435E20E">
      <w:pPr>
        <w:rPr>
          <w:rFonts w:hint="eastAsia"/>
          <w:bCs/>
          <w:szCs w:val="21"/>
          <w:u w:val="single"/>
          <w:lang w:val="zh-CN"/>
        </w:rPr>
      </w:pPr>
    </w:p>
    <w:p w14:paraId="4AB5D9C5">
      <w:pPr>
        <w:pStyle w:val="2"/>
        <w:rPr>
          <w:rFonts w:hint="eastAsia"/>
          <w:bCs/>
          <w:szCs w:val="21"/>
          <w:u w:val="single"/>
          <w:lang w:val="zh-CN"/>
        </w:rPr>
      </w:pPr>
    </w:p>
    <w:p w14:paraId="3F2ED8F5">
      <w:pPr>
        <w:rPr>
          <w:rFonts w:hint="eastAsia"/>
          <w:bCs/>
          <w:szCs w:val="21"/>
          <w:u w:val="single"/>
          <w:lang w:val="zh-CN"/>
        </w:rPr>
      </w:pPr>
    </w:p>
    <w:p w14:paraId="2CF04F4F">
      <w:pPr>
        <w:pStyle w:val="2"/>
        <w:rPr>
          <w:rFonts w:hint="eastAsia"/>
          <w:bCs/>
          <w:szCs w:val="21"/>
          <w:u w:val="single"/>
          <w:lang w:val="zh-CN"/>
        </w:rPr>
      </w:pPr>
    </w:p>
    <w:p w14:paraId="341834AF">
      <w:pPr>
        <w:rPr>
          <w:rFonts w:hint="eastAsia"/>
          <w:bCs/>
          <w:szCs w:val="21"/>
          <w:u w:val="single"/>
          <w:lang w:val="zh-CN"/>
        </w:rPr>
      </w:pPr>
    </w:p>
    <w:p w14:paraId="2E05C407">
      <w:pPr>
        <w:pStyle w:val="2"/>
        <w:rPr>
          <w:rFonts w:hint="eastAsia"/>
          <w:bCs/>
          <w:szCs w:val="21"/>
          <w:u w:val="single"/>
          <w:lang w:val="zh-CN"/>
        </w:rPr>
      </w:pPr>
    </w:p>
    <w:p w14:paraId="2FBE03EE">
      <w:pPr>
        <w:rPr>
          <w:rFonts w:hint="eastAsia"/>
          <w:bCs/>
          <w:szCs w:val="21"/>
          <w:u w:val="single"/>
          <w:lang w:val="zh-CN"/>
        </w:rPr>
      </w:pPr>
    </w:p>
    <w:p w14:paraId="1357829D">
      <w:pPr>
        <w:pStyle w:val="2"/>
        <w:rPr>
          <w:rFonts w:hint="eastAsia"/>
          <w:bCs/>
          <w:szCs w:val="21"/>
          <w:u w:val="single"/>
          <w:lang w:val="zh-CN"/>
        </w:rPr>
      </w:pPr>
    </w:p>
    <w:p w14:paraId="386D6656">
      <w:pPr>
        <w:rPr>
          <w:rFonts w:hint="eastAsia"/>
          <w:bCs/>
          <w:szCs w:val="21"/>
          <w:u w:val="single"/>
          <w:lang w:val="zh-CN"/>
        </w:rPr>
      </w:pPr>
    </w:p>
    <w:p w14:paraId="20ACAC61">
      <w:pPr>
        <w:pStyle w:val="2"/>
        <w:rPr>
          <w:rFonts w:hint="eastAsia"/>
          <w:bCs/>
          <w:szCs w:val="21"/>
          <w:u w:val="single"/>
          <w:lang w:val="zh-CN"/>
        </w:rPr>
      </w:pPr>
    </w:p>
    <w:p w14:paraId="4E5E9F75">
      <w:pPr>
        <w:rPr>
          <w:rFonts w:hint="eastAsia"/>
          <w:bCs/>
          <w:szCs w:val="21"/>
          <w:u w:val="single"/>
          <w:lang w:val="zh-CN"/>
        </w:rPr>
      </w:pPr>
    </w:p>
    <w:p w14:paraId="1A1F339C">
      <w:pPr>
        <w:pStyle w:val="2"/>
        <w:rPr>
          <w:rFonts w:hint="eastAsia"/>
          <w:bCs/>
          <w:szCs w:val="21"/>
          <w:u w:val="single"/>
          <w:lang w:val="zh-CN"/>
        </w:rPr>
      </w:pPr>
    </w:p>
    <w:p w14:paraId="0D4DA723">
      <w:pPr>
        <w:rPr>
          <w:rFonts w:hint="eastAsia"/>
          <w:bCs/>
          <w:szCs w:val="21"/>
          <w:u w:val="single"/>
          <w:lang w:val="zh-CN"/>
        </w:rPr>
      </w:pPr>
    </w:p>
    <w:p w14:paraId="644DCC69">
      <w:pPr>
        <w:pStyle w:val="2"/>
        <w:rPr>
          <w:rFonts w:hint="eastAsia"/>
          <w:bCs/>
          <w:szCs w:val="21"/>
          <w:u w:val="single"/>
          <w:lang w:val="zh-CN"/>
        </w:rPr>
      </w:pPr>
    </w:p>
    <w:p w14:paraId="4DFA8301">
      <w:pPr>
        <w:rPr>
          <w:rFonts w:hint="eastAsia"/>
          <w:bCs/>
          <w:szCs w:val="21"/>
          <w:u w:val="single"/>
          <w:lang w:val="zh-CN"/>
        </w:rPr>
      </w:pPr>
    </w:p>
    <w:p w14:paraId="14452A41">
      <w:pPr>
        <w:pStyle w:val="2"/>
        <w:rPr>
          <w:rFonts w:hint="eastAsia"/>
          <w:bCs/>
          <w:szCs w:val="21"/>
          <w:u w:val="single"/>
          <w:lang w:val="zh-CN"/>
        </w:rPr>
      </w:pPr>
    </w:p>
    <w:p w14:paraId="62369913">
      <w:pPr>
        <w:rPr>
          <w:rFonts w:hint="eastAsia"/>
          <w:bCs/>
          <w:szCs w:val="21"/>
          <w:u w:val="single"/>
          <w:lang w:val="zh-CN"/>
        </w:rPr>
      </w:pPr>
    </w:p>
    <w:p w14:paraId="31F9050B">
      <w:pPr>
        <w:pStyle w:val="2"/>
        <w:rPr>
          <w:lang w:val="zh-CN"/>
        </w:rPr>
      </w:pPr>
    </w:p>
    <w:p w14:paraId="00A5487C">
      <w:pPr>
        <w:pStyle w:val="4"/>
        <w:numPr>
          <w:ilvl w:val="0"/>
          <w:numId w:val="50"/>
        </w:numPr>
        <w:tabs>
          <w:tab w:val="left" w:pos="567"/>
        </w:tabs>
        <w:spacing w:before="0" w:after="0" w:line="360" w:lineRule="auto"/>
        <w:ind w:left="482" w:hanging="482" w:hangingChars="200"/>
        <w:jc w:val="left"/>
        <w:rPr>
          <w:rFonts w:cs="Times New Roman" w:asciiTheme="majorEastAsia" w:hAnsiTheme="majorEastAsia"/>
          <w:bCs w:val="0"/>
          <w:sz w:val="28"/>
          <w:szCs w:val="28"/>
        </w:rPr>
      </w:pPr>
      <w:bookmarkStart w:id="468" w:name="_Toc122527551"/>
      <w:bookmarkStart w:id="469" w:name="_Toc107561301"/>
      <w:bookmarkStart w:id="470" w:name="_Toc117244495"/>
      <w:bookmarkStart w:id="471" w:name="_Toc117244380"/>
      <w:r>
        <w:rPr>
          <w:rFonts w:hint="eastAsia" w:ascii="宋体" w:hAnsi="宋体" w:eastAsia="宋体" w:cs="Times New Roman"/>
          <w:bCs w:val="0"/>
          <w:sz w:val="24"/>
          <w:szCs w:val="24"/>
        </w:rPr>
        <w:t>未被列入</w:t>
      </w:r>
      <w:r>
        <w:rPr>
          <w:rFonts w:hint="eastAsia"/>
          <w:sz w:val="24"/>
          <w:szCs w:val="21"/>
        </w:rPr>
        <w:t>违法</w:t>
      </w:r>
      <w:r>
        <w:rPr>
          <w:rFonts w:hint="eastAsia" w:ascii="宋体" w:hAnsi="宋体" w:eastAsia="宋体" w:cs="Times New Roman"/>
          <w:bCs w:val="0"/>
          <w:sz w:val="24"/>
          <w:szCs w:val="24"/>
        </w:rPr>
        <w:t>失信行为记录名单的声明函</w:t>
      </w:r>
      <w:bookmarkEnd w:id="468"/>
      <w:bookmarkEnd w:id="469"/>
    </w:p>
    <w:p w14:paraId="69776066">
      <w:pPr>
        <w:wordWrap w:val="0"/>
        <w:spacing w:line="360" w:lineRule="auto"/>
        <w:ind w:firstLine="480" w:firstLineChars="200"/>
        <w:rPr>
          <w:rFonts w:ascii="楷体" w:hAnsi="楷体" w:eastAsia="楷体"/>
          <w:bCs/>
          <w:sz w:val="28"/>
          <w:szCs w:val="28"/>
        </w:rPr>
      </w:pPr>
      <w:r>
        <w:rPr>
          <w:rFonts w:hint="eastAsia" w:ascii="楷体" w:hAnsi="楷体" w:eastAsia="楷体"/>
          <w:szCs w:val="24"/>
        </w:rPr>
        <w:t>（可不再提供其它证明材料）</w:t>
      </w:r>
      <w:bookmarkEnd w:id="470"/>
      <w:bookmarkEnd w:id="471"/>
    </w:p>
    <w:p w14:paraId="6A19B8C0">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14:paraId="3DA6DA67">
      <w:pPr>
        <w:numPr>
          <w:ilvl w:val="0"/>
          <w:numId w:val="57"/>
        </w:numPr>
        <w:wordWrap w:val="0"/>
        <w:spacing w:line="360" w:lineRule="auto"/>
        <w:ind w:left="919" w:leftChars="229" w:hanging="369"/>
        <w:rPr>
          <w:szCs w:val="24"/>
        </w:rPr>
      </w:pPr>
      <w:r>
        <w:rPr>
          <w:rFonts w:hint="eastAsia"/>
          <w:szCs w:val="24"/>
        </w:rPr>
        <w:t>未被“信用中国”网站(www.creditchina.gov.cn) 、“中国政府采购网”(www.ccgp.gov.cn)列入失信被执行人、重大税收违法案件当事人名单、政府采购严重违法失信行为记录名单；</w:t>
      </w:r>
    </w:p>
    <w:p w14:paraId="0CF0210B">
      <w:pPr>
        <w:numPr>
          <w:ilvl w:val="0"/>
          <w:numId w:val="57"/>
        </w:numPr>
        <w:wordWrap w:val="0"/>
        <w:spacing w:line="360" w:lineRule="auto"/>
        <w:ind w:left="919" w:leftChars="229" w:hanging="369"/>
        <w:rPr>
          <w:szCs w:val="24"/>
        </w:rPr>
      </w:pPr>
      <w:r>
        <w:rPr>
          <w:rFonts w:hint="eastAsia"/>
          <w:szCs w:val="24"/>
        </w:rPr>
        <w:t>对上述声明内容的真实性负责。如有虚假，将依法承担相应责任。</w:t>
      </w:r>
    </w:p>
    <w:p w14:paraId="726EC1E0">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14:paraId="73FF6B82">
      <w:pPr>
        <w:wordWrap w:val="0"/>
        <w:spacing w:before="100" w:beforeAutospacing="1" w:after="100" w:afterAutospacing="1" w:line="360" w:lineRule="auto"/>
        <w:ind w:firstLine="3316" w:firstLineChars="1382"/>
        <w:rPr>
          <w:bCs/>
          <w:szCs w:val="21"/>
          <w:lang w:val="zh-CN"/>
        </w:rPr>
      </w:pPr>
      <w:r>
        <w:rPr>
          <w:rFonts w:hint="eastAsia"/>
          <w:szCs w:val="24"/>
        </w:rPr>
        <w:t>日   期：</w:t>
      </w:r>
      <w:r>
        <w:rPr>
          <w:rFonts w:hint="eastAsia"/>
          <w:bCs/>
          <w:szCs w:val="21"/>
          <w:u w:val="single"/>
          <w:lang w:val="zh-CN"/>
        </w:rPr>
        <w:t xml:space="preserve">             </w:t>
      </w:r>
      <w:r>
        <w:rPr>
          <w:bCs/>
          <w:szCs w:val="21"/>
          <w:u w:val="single"/>
          <w:lang w:val="zh-CN"/>
        </w:rPr>
        <w:br w:type="page"/>
      </w:r>
    </w:p>
    <w:p w14:paraId="373902C9">
      <w:pPr>
        <w:pStyle w:val="4"/>
        <w:numPr>
          <w:ilvl w:val="0"/>
          <w:numId w:val="50"/>
        </w:numPr>
        <w:tabs>
          <w:tab w:val="left" w:pos="567"/>
        </w:tabs>
        <w:spacing w:before="0" w:after="0" w:line="360" w:lineRule="auto"/>
        <w:ind w:left="482" w:hanging="482" w:hangingChars="200"/>
        <w:jc w:val="left"/>
        <w:rPr>
          <w:rFonts w:ascii="宋体" w:hAnsi="宋体" w:eastAsia="宋体" w:cs="Times New Roman"/>
          <w:bCs w:val="0"/>
          <w:sz w:val="28"/>
          <w:szCs w:val="28"/>
        </w:rPr>
      </w:pPr>
      <w:bookmarkStart w:id="472" w:name="_Toc107561302"/>
      <w:r>
        <w:rPr>
          <w:rFonts w:hint="eastAsia" w:ascii="宋体" w:hAnsi="宋体" w:eastAsia="宋体" w:cs="Times New Roman"/>
          <w:bCs w:val="0"/>
          <w:sz w:val="24"/>
          <w:szCs w:val="24"/>
        </w:rPr>
        <w:tab/>
      </w:r>
      <w:bookmarkStart w:id="473" w:name="_Toc122527552"/>
      <w:bookmarkStart w:id="474" w:name="_Toc117244496"/>
      <w:bookmarkStart w:id="475" w:name="_Toc117244381"/>
      <w:r>
        <w:rPr>
          <w:rFonts w:hint="eastAsia" w:ascii="宋体" w:hAnsi="宋体" w:eastAsia="宋体" w:cs="Times New Roman"/>
          <w:bCs w:val="0"/>
          <w:sz w:val="24"/>
          <w:szCs w:val="24"/>
        </w:rPr>
        <w:t>落实政府采购政策应提供的资料</w:t>
      </w:r>
      <w:bookmarkEnd w:id="473"/>
    </w:p>
    <w:p w14:paraId="01B95E5B">
      <w:pPr>
        <w:pStyle w:val="28"/>
        <w:wordWrap w:val="0"/>
        <w:adjustRightInd w:val="0"/>
        <w:snapToGrid w:val="0"/>
        <w:spacing w:before="0" w:beforeAutospacing="0" w:after="0" w:afterAutospacing="0" w:line="360" w:lineRule="auto"/>
        <w:ind w:firstLine="480"/>
        <w:rPr>
          <w:rFonts w:ascii="楷体" w:hAnsi="楷体" w:eastAsia="楷体" w:cs="Times New Roman"/>
          <w:bCs/>
        </w:rPr>
      </w:pPr>
      <w:r>
        <w:rPr>
          <w:rFonts w:hint="eastAsia" w:ascii="楷体" w:hAnsi="楷体" w:eastAsia="楷体" w:cs="Times New Roman"/>
        </w:rPr>
        <w:t>（若有，根据项目要求提供）</w:t>
      </w:r>
      <w:bookmarkEnd w:id="474"/>
      <w:bookmarkEnd w:id="475"/>
    </w:p>
    <w:p w14:paraId="7E1C0074">
      <w:pPr>
        <w:pStyle w:val="5"/>
        <w:numPr>
          <w:ilvl w:val="0"/>
          <w:numId w:val="58"/>
        </w:numPr>
        <w:adjustRightInd w:val="0"/>
        <w:snapToGrid w:val="0"/>
        <w:spacing w:before="0" w:after="0" w:line="360" w:lineRule="auto"/>
        <w:ind w:left="569" w:hanging="569" w:hangingChars="236"/>
        <w:rPr>
          <w:bCs w:val="0"/>
          <w:sz w:val="24"/>
          <w:szCs w:val="24"/>
        </w:rPr>
      </w:pPr>
      <w:r>
        <w:rPr>
          <w:bCs w:val="0"/>
          <w:sz w:val="24"/>
          <w:szCs w:val="24"/>
        </w:rPr>
        <w:t>联合协议书</w:t>
      </w:r>
      <w:bookmarkEnd w:id="472"/>
    </w:p>
    <w:p w14:paraId="75BE1AF7">
      <w:pPr>
        <w:pStyle w:val="28"/>
        <w:wordWrap w:val="0"/>
        <w:adjustRightInd w:val="0"/>
        <w:snapToGrid w:val="0"/>
        <w:spacing w:before="0" w:beforeAutospacing="0" w:after="0" w:afterAutospacing="0" w:line="360" w:lineRule="auto"/>
        <w:ind w:firstLine="480"/>
        <w:rPr>
          <w:rFonts w:ascii="楷体" w:hAnsi="楷体" w:eastAsia="楷体"/>
          <w:bCs/>
        </w:rPr>
      </w:pPr>
      <w:r>
        <w:rPr>
          <w:rFonts w:hint="eastAsia" w:ascii="楷体" w:hAnsi="楷体" w:eastAsia="楷体"/>
        </w:rPr>
        <w:t>（</w:t>
      </w:r>
      <w:r>
        <w:rPr>
          <w:rFonts w:hint="eastAsia" w:ascii="楷体" w:hAnsi="楷体" w:eastAsia="楷体" w:cs="Tahoma"/>
        </w:rPr>
        <w:t>联合体</w:t>
      </w:r>
      <w:r>
        <w:rPr>
          <w:rFonts w:hint="eastAsia" w:ascii="楷体" w:hAnsi="楷体" w:eastAsia="楷体"/>
        </w:rPr>
        <w:t>磋商时应提供，非联合体不用提供）</w:t>
      </w:r>
    </w:p>
    <w:p w14:paraId="5E49C741">
      <w:pPr>
        <w:pStyle w:val="28"/>
        <w:wordWrap w:val="0"/>
        <w:adjustRightInd w:val="0"/>
        <w:snapToGrid w:val="0"/>
        <w:spacing w:before="0" w:beforeAutospacing="0" w:after="0" w:afterAutospacing="0" w:line="360" w:lineRule="auto"/>
        <w:ind w:firstLine="480"/>
        <w:rPr>
          <w:rFonts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14:paraId="6512E56F">
      <w:pPr>
        <w:pStyle w:val="28"/>
        <w:wordWrap w:val="0"/>
        <w:adjustRightInd w:val="0"/>
        <w:snapToGrid w:val="0"/>
        <w:spacing w:before="0" w:beforeAutospacing="0" w:after="0" w:afterAutospacing="0" w:line="360" w:lineRule="auto"/>
        <w:ind w:firstLine="480"/>
        <w:rPr>
          <w:rFonts w:cs="Tahoma"/>
        </w:rPr>
      </w:pPr>
      <w:r>
        <w:rPr>
          <w:rFonts w:hint="eastAsia" w:cs="Tahoma"/>
          <w:i/>
          <w:u w:val="single"/>
        </w:rPr>
        <w:t xml:space="preserve">    (乙公司名称) </w:t>
      </w:r>
      <w:r>
        <w:rPr>
          <w:rFonts w:hint="eastAsia" w:cs="Tahoma"/>
          <w:u w:val="single"/>
        </w:rPr>
        <w:t xml:space="preserve">   </w:t>
      </w:r>
      <w:r>
        <w:rPr>
          <w:rFonts w:hint="eastAsia" w:cs="Tahoma"/>
        </w:rPr>
        <w:t>（以下简称乙方）</w:t>
      </w:r>
    </w:p>
    <w:p w14:paraId="0D95618B">
      <w:pPr>
        <w:pStyle w:val="28"/>
        <w:wordWrap w:val="0"/>
        <w:adjustRightInd w:val="0"/>
        <w:snapToGrid w:val="0"/>
        <w:spacing w:before="0" w:beforeAutospacing="0" w:after="0" w:afterAutospacing="0" w:line="360" w:lineRule="auto"/>
        <w:ind w:firstLine="480"/>
        <w:rPr>
          <w:rFonts w:ascii="楷体" w:hAnsi="楷体" w:eastAsia="楷体" w:cs="Tahoma"/>
        </w:rPr>
      </w:pPr>
      <w:r>
        <w:rPr>
          <w:rFonts w:hint="eastAsia" w:cs="Tahoma"/>
        </w:rPr>
        <w:t>……</w:t>
      </w:r>
      <w:r>
        <w:rPr>
          <w:rFonts w:hint="eastAsia" w:ascii="楷体" w:hAnsi="楷体" w:eastAsia="楷体" w:cs="Tahoma"/>
        </w:rPr>
        <w:t>（多家企业的以甲、乙、丙、丁……描述）</w:t>
      </w:r>
    </w:p>
    <w:p w14:paraId="58F16BD6">
      <w:pPr>
        <w:pStyle w:val="28"/>
        <w:wordWrap w:val="0"/>
        <w:adjustRightInd w:val="0"/>
        <w:snapToGrid w:val="0"/>
        <w:spacing w:before="0" w:beforeAutospacing="0" w:after="0" w:afterAutospacing="0" w:line="360" w:lineRule="auto"/>
        <w:ind w:firstLine="480"/>
        <w:rPr>
          <w:rFonts w:cs="Tahoma"/>
        </w:rPr>
      </w:pPr>
      <w:r>
        <w:rPr>
          <w:rFonts w:hint="eastAsia" w:cs="Tahoma"/>
        </w:rPr>
        <w:t>以上各方</w:t>
      </w:r>
      <w:r>
        <w:rPr>
          <w:rFonts w:cs="Tahoma"/>
        </w:rPr>
        <w:t>自愿组成联合体，参加</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的</w:t>
      </w:r>
      <w:r>
        <w:rPr>
          <w:rFonts w:cs="Tahoma"/>
        </w:rPr>
        <w:t>磋商</w:t>
      </w:r>
      <w:r>
        <w:rPr>
          <w:rFonts w:hint="eastAsia" w:cs="Tahoma"/>
        </w:rPr>
        <w:t>，不再单独参加或者与其他供应商另外组成联合体参加本项目的采购活动。</w:t>
      </w:r>
      <w:r>
        <w:rPr>
          <w:rFonts w:cs="Tahoma"/>
        </w:rPr>
        <w:t>现就有关事宜订立协议如下：</w:t>
      </w:r>
    </w:p>
    <w:p w14:paraId="3C50A284">
      <w:pPr>
        <w:pStyle w:val="28"/>
        <w:wordWrap w:val="0"/>
        <w:adjustRightInd w:val="0"/>
        <w:snapToGrid w:val="0"/>
        <w:spacing w:before="0" w:beforeAutospacing="0" w:after="0" w:afterAutospacing="0" w:line="360" w:lineRule="auto"/>
        <w:ind w:firstLine="480"/>
        <w:rPr>
          <w:rFonts w:cs="Tahoma"/>
        </w:rPr>
      </w:pPr>
      <w:r>
        <w:rPr>
          <w:rFonts w:hint="eastAsia" w:cs="Tahoma"/>
        </w:rPr>
        <w:t>1、</w:t>
      </w:r>
      <w:r>
        <w:rPr>
          <w:rFonts w:hint="eastAsia" w:cs="Tahoma"/>
          <w:u w:val="single"/>
        </w:rPr>
        <w:t xml:space="preserve"> </w:t>
      </w:r>
      <w:r>
        <w:rPr>
          <w:rFonts w:hint="eastAsia" w:cs="Tahoma"/>
          <w:i/>
          <w:u w:val="single"/>
        </w:rPr>
        <w:t>（甲方）</w:t>
      </w:r>
      <w:r>
        <w:rPr>
          <w:rFonts w:hint="eastAsia" w:cs="Tahoma"/>
          <w:u w:val="single"/>
        </w:rPr>
        <w:t xml:space="preserve"> </w:t>
      </w:r>
      <w:r>
        <w:rPr>
          <w:rFonts w:cs="Tahoma"/>
        </w:rPr>
        <w:t>为联合体</w:t>
      </w:r>
      <w:r>
        <w:rPr>
          <w:rFonts w:hint="eastAsia" w:cs="Tahoma"/>
        </w:rPr>
        <w:t>主体，其它各方为联合体成员。</w:t>
      </w:r>
    </w:p>
    <w:p w14:paraId="2BF74E85">
      <w:pPr>
        <w:pStyle w:val="28"/>
        <w:wordWrap w:val="0"/>
        <w:adjustRightInd w:val="0"/>
        <w:snapToGrid w:val="0"/>
        <w:spacing w:before="0" w:beforeAutospacing="0" w:after="0" w:afterAutospacing="0" w:line="360" w:lineRule="auto"/>
        <w:ind w:firstLine="480"/>
        <w:rPr>
          <w:rFonts w:cs="Tahoma"/>
        </w:rPr>
      </w:pPr>
      <w:r>
        <w:rPr>
          <w:rFonts w:hint="eastAsia" w:cs="Tahoma"/>
        </w:rPr>
        <w:t>2、</w:t>
      </w:r>
      <w:r>
        <w:rPr>
          <w:rFonts w:cs="Tahoma"/>
        </w:rPr>
        <w:t>联合体将严格按照</w:t>
      </w:r>
      <w:r>
        <w:fldChar w:fldCharType="begin"/>
      </w:r>
      <w:r>
        <w:instrText xml:space="preserve"> HYPERLINK "https://www.66law.cn/special/zb/" \t "_blank" \o "招标" </w:instrText>
      </w:r>
      <w:r>
        <w:fldChar w:fldCharType="separate"/>
      </w:r>
      <w:r>
        <w:rPr>
          <w:rStyle w:val="35"/>
          <w:rFonts w:cs="Tahoma"/>
          <w:color w:val="auto"/>
        </w:rPr>
        <w:t>竞争性磋商</w:t>
      </w:r>
      <w:r>
        <w:rPr>
          <w:rStyle w:val="35"/>
          <w:rFonts w:cs="Tahoma"/>
          <w:color w:val="auto"/>
        </w:rPr>
        <w:fldChar w:fldCharType="end"/>
      </w:r>
      <w:r>
        <w:rPr>
          <w:rFonts w:cs="Tahoma"/>
        </w:rPr>
        <w:t>文件的各项要求办理磋商事宜，磋商文件中的所有承诺均代表了联合体各成员</w:t>
      </w:r>
      <w:r>
        <w:rPr>
          <w:rFonts w:hint="eastAsia" w:cs="Tahoma"/>
        </w:rPr>
        <w:t>，联合体各成员共同承担相应的法律责任</w:t>
      </w:r>
      <w:r>
        <w:rPr>
          <w:rFonts w:cs="Tahoma"/>
        </w:rPr>
        <w:t>。</w:t>
      </w:r>
    </w:p>
    <w:p w14:paraId="15AF8577">
      <w:pPr>
        <w:pStyle w:val="28"/>
        <w:wordWrap w:val="0"/>
        <w:adjustRightInd w:val="0"/>
        <w:snapToGrid w:val="0"/>
        <w:spacing w:before="0" w:beforeAutospacing="0" w:after="0" w:afterAutospacing="0" w:line="360" w:lineRule="auto"/>
        <w:ind w:firstLine="480"/>
        <w:rPr>
          <w:rFonts w:cs="Tahoma"/>
        </w:rPr>
      </w:pPr>
      <w:r>
        <w:rPr>
          <w:rFonts w:hint="eastAsia" w:cs="Tahoma"/>
        </w:rPr>
        <w:t>3、</w:t>
      </w:r>
      <w:r>
        <w:rPr>
          <w:rFonts w:cs="Tahoma"/>
        </w:rPr>
        <w:t>联合体分工：</w:t>
      </w:r>
      <w:r>
        <w:rPr>
          <w:rFonts w:hint="eastAsia" w:cs="Tahoma"/>
        </w:rPr>
        <w:t xml:space="preserve"> </w:t>
      </w:r>
    </w:p>
    <w:p w14:paraId="42CD83B3">
      <w:pPr>
        <w:pStyle w:val="28"/>
        <w:wordWrap w:val="0"/>
        <w:adjustRightInd w:val="0"/>
        <w:snapToGrid w:val="0"/>
        <w:spacing w:before="0" w:beforeAutospacing="0" w:after="0" w:afterAutospacing="0" w:line="360" w:lineRule="auto"/>
        <w:ind w:firstLine="480"/>
        <w:rPr>
          <w:rFonts w:cs="Tahoma"/>
        </w:rPr>
      </w:pPr>
      <w:r>
        <w:rPr>
          <w:rFonts w:hint="eastAsia" w:cs="Tahoma"/>
          <w:u w:val="single"/>
        </w:rPr>
        <w:t>（</w:t>
      </w:r>
      <w:r>
        <w:rPr>
          <w:rFonts w:hint="eastAsia" w:cs="Tahoma"/>
          <w:i/>
          <w:u w:val="single"/>
        </w:rPr>
        <w:t>甲方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w:t>
      </w:r>
      <w:r>
        <w:rPr>
          <w:rFonts w:cs="Tahoma"/>
        </w:rPr>
        <w:t>负责</w:t>
      </w:r>
      <w:r>
        <w:rPr>
          <w:rFonts w:hint="eastAsia" w:cs="Tahoma"/>
        </w:rPr>
        <w:t>的工作为：</w:t>
      </w:r>
      <w:r>
        <w:rPr>
          <w:rFonts w:hint="eastAsia" w:cs="Tahoma"/>
          <w:i/>
          <w:u w:val="single"/>
        </w:rPr>
        <w:t xml:space="preserve">                     </w:t>
      </w:r>
      <w:r>
        <w:rPr>
          <w:rFonts w:hint="eastAsia" w:cs="Tahoma"/>
        </w:rPr>
        <w:t>；</w:t>
      </w:r>
    </w:p>
    <w:p w14:paraId="61900F64">
      <w:pPr>
        <w:pStyle w:val="28"/>
        <w:wordWrap w:val="0"/>
        <w:adjustRightInd w:val="0"/>
        <w:snapToGrid w:val="0"/>
        <w:spacing w:before="0" w:beforeAutospacing="0" w:after="0" w:afterAutospacing="0" w:line="360" w:lineRule="auto"/>
        <w:ind w:firstLine="480"/>
        <w:rPr>
          <w:rFonts w:cs="Tahoma"/>
        </w:rPr>
      </w:pPr>
      <w:r>
        <w:rPr>
          <w:rFonts w:hint="eastAsia" w:cs="Tahoma"/>
          <w:i/>
          <w:u w:val="single"/>
        </w:rPr>
        <w:t>（乙方）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，负责的工作为：</w:t>
      </w:r>
      <w:r>
        <w:rPr>
          <w:rFonts w:hint="eastAsia" w:cs="Tahoma"/>
          <w:u w:val="single"/>
        </w:rPr>
        <w:t xml:space="preserve">                     </w:t>
      </w:r>
      <w:r>
        <w:rPr>
          <w:rFonts w:hint="eastAsia" w:cs="Tahoma"/>
        </w:rPr>
        <w:t>；</w:t>
      </w:r>
    </w:p>
    <w:p w14:paraId="187818F1">
      <w:pPr>
        <w:pStyle w:val="28"/>
        <w:wordWrap w:val="0"/>
        <w:adjustRightInd w:val="0"/>
        <w:snapToGrid w:val="0"/>
        <w:spacing w:before="0" w:beforeAutospacing="0" w:after="0" w:afterAutospacing="0" w:line="360" w:lineRule="auto"/>
        <w:ind w:firstLine="480"/>
        <w:rPr>
          <w:rFonts w:cs="Tahoma"/>
        </w:rPr>
      </w:pPr>
      <w:r>
        <w:rPr>
          <w:rFonts w:hint="eastAsia" w:cs="Tahoma"/>
        </w:rPr>
        <w:t>……</w:t>
      </w:r>
    </w:p>
    <w:p w14:paraId="30692E46">
      <w:pPr>
        <w:pStyle w:val="28"/>
        <w:wordWrap w:val="0"/>
        <w:adjustRightInd w:val="0"/>
        <w:snapToGrid w:val="0"/>
        <w:spacing w:before="0" w:beforeAutospacing="0" w:after="0" w:afterAutospacing="0" w:line="360" w:lineRule="auto"/>
        <w:ind w:firstLine="480"/>
        <w:rPr>
          <w:rFonts w:cs="Tahoma"/>
        </w:rPr>
      </w:pPr>
      <w:r>
        <w:rPr>
          <w:rFonts w:hint="eastAsia" w:cs="Tahoma"/>
        </w:rPr>
        <w:t>4、若</w:t>
      </w:r>
      <w:r>
        <w:rPr>
          <w:rFonts w:cs="Tahoma"/>
        </w:rPr>
        <w:t>成交，联合体成员共同与</w:t>
      </w:r>
      <w:r>
        <w:rPr>
          <w:rFonts w:hint="eastAsia" w:cs="Tahoma"/>
        </w:rPr>
        <w:t>采购人</w:t>
      </w:r>
      <w:r>
        <w:rPr>
          <w:rFonts w:cs="Tahoma"/>
        </w:rPr>
        <w:t>签订</w:t>
      </w:r>
      <w:r>
        <w:rPr>
          <w:rFonts w:hint="eastAsia" w:cs="Tahoma"/>
        </w:rPr>
        <w:t>采购合同（本协议应作为采购合同的组成部分）</w:t>
      </w:r>
      <w:r>
        <w:rPr>
          <w:rFonts w:cs="Tahoma"/>
        </w:rPr>
        <w:t>，</w:t>
      </w:r>
      <w:r>
        <w:rPr>
          <w:rFonts w:hint="eastAsia" w:cs="Tahoma"/>
        </w:rPr>
        <w:t>就采购合同约定的事项对采购人承担连带责任，联合体主体负主要责任。</w:t>
      </w:r>
    </w:p>
    <w:p w14:paraId="3F1D4D59">
      <w:pPr>
        <w:pStyle w:val="28"/>
        <w:wordWrap w:val="0"/>
        <w:adjustRightInd w:val="0"/>
        <w:snapToGrid w:val="0"/>
        <w:spacing w:before="0" w:beforeAutospacing="0" w:after="0" w:afterAutospacing="0" w:line="360" w:lineRule="auto"/>
        <w:ind w:firstLine="480"/>
        <w:rPr>
          <w:rFonts w:cs="Tahoma"/>
        </w:rPr>
      </w:pPr>
      <w:r>
        <w:rPr>
          <w:rFonts w:hint="eastAsia" w:cs="Tahoma"/>
        </w:rPr>
        <w:t>5、其他：</w:t>
      </w:r>
      <w:r>
        <w:rPr>
          <w:rFonts w:cs="Tahoma"/>
        </w:rPr>
        <w:t>……</w:t>
      </w:r>
    </w:p>
    <w:p w14:paraId="6F52C1E1">
      <w:pPr>
        <w:pStyle w:val="28"/>
        <w:wordWrap w:val="0"/>
        <w:adjustRightInd w:val="0"/>
        <w:snapToGrid w:val="0"/>
        <w:spacing w:before="0" w:beforeAutospacing="0" w:after="0" w:afterAutospacing="0" w:line="360" w:lineRule="auto"/>
        <w:ind w:firstLine="480"/>
        <w:rPr>
          <w:rFonts w:cs="Tahoma"/>
        </w:rPr>
      </w:pPr>
      <w:r>
        <w:rPr>
          <w:rFonts w:hint="eastAsia" w:cs="Tahoma"/>
        </w:rPr>
        <w:t>6、本协议书自签署之日起生效，若未成交，自本次磋商有效期结束后自行失效；若成交，自合同书规定的期限之后自行失效。</w:t>
      </w:r>
    </w:p>
    <w:p w14:paraId="2F6DB8FD">
      <w:pPr>
        <w:pStyle w:val="28"/>
        <w:wordWrap w:val="0"/>
        <w:adjustRightInd w:val="0"/>
        <w:snapToGrid w:val="0"/>
        <w:spacing w:before="0" w:beforeAutospacing="0" w:after="0" w:afterAutospacing="0" w:line="360" w:lineRule="auto"/>
        <w:ind w:left="274" w:leftChars="114" w:firstLine="240" w:firstLineChars="100"/>
        <w:rPr>
          <w:rFonts w:cs="Tahoma"/>
        </w:rPr>
      </w:pPr>
      <w:r>
        <w:rPr>
          <w:rFonts w:hint="eastAsia" w:cs="Tahoma"/>
        </w:rPr>
        <w:t>7、</w:t>
      </w:r>
      <w:r>
        <w:rPr>
          <w:rFonts w:cs="Tahoma"/>
        </w:rPr>
        <w:t>本协议书正本一式</w:t>
      </w:r>
      <w:r>
        <w:rPr>
          <w:rFonts w:hint="eastAsia" w:cs="Tahoma"/>
          <w:u w:val="single"/>
        </w:rPr>
        <w:t xml:space="preserve">    </w:t>
      </w:r>
      <w:r>
        <w:rPr>
          <w:rFonts w:cs="Tahoma"/>
        </w:rPr>
        <w:t>份，联合体成员各</w:t>
      </w:r>
      <w:r>
        <w:rPr>
          <w:rFonts w:hint="eastAsia" w:cs="Tahoma"/>
        </w:rPr>
        <w:t>执</w:t>
      </w:r>
      <w:r>
        <w:rPr>
          <w:rFonts w:hint="eastAsia" w:cs="Tahoma"/>
          <w:u w:val="single"/>
        </w:rPr>
        <w:t xml:space="preserve">    </w:t>
      </w:r>
      <w:r>
        <w:rPr>
          <w:rFonts w:cs="Tahoma"/>
        </w:rPr>
        <w:t>份；副本一式</w:t>
      </w:r>
      <w:r>
        <w:rPr>
          <w:rFonts w:hint="eastAsia" w:cs="Tahoma"/>
          <w:u w:val="single"/>
        </w:rPr>
        <w:t xml:space="preserve">    </w:t>
      </w:r>
      <w:r>
        <w:rPr>
          <w:rFonts w:cs="Tahoma"/>
        </w:rPr>
        <w:t>份，联合体成员各执</w:t>
      </w:r>
      <w:r>
        <w:rPr>
          <w:rFonts w:hint="eastAsia" w:cs="Tahoma"/>
          <w:u w:val="single"/>
        </w:rPr>
        <w:t xml:space="preserve">     </w:t>
      </w:r>
      <w:r>
        <w:rPr>
          <w:rFonts w:cs="Tahoma"/>
        </w:rPr>
        <w:t>份。</w:t>
      </w:r>
    </w:p>
    <w:p w14:paraId="2DBF52F3">
      <w:pPr>
        <w:pStyle w:val="28"/>
        <w:wordWrap w:val="0"/>
        <w:adjustRightInd w:val="0"/>
        <w:snapToGrid w:val="0"/>
        <w:spacing w:before="0" w:beforeAutospacing="0" w:after="0" w:afterAutospacing="0" w:line="360" w:lineRule="auto"/>
        <w:ind w:firstLine="3600" w:firstLineChars="1500"/>
        <w:rPr>
          <w:rFonts w:cs="Tahoma"/>
        </w:rPr>
      </w:pPr>
      <w:r>
        <w:rPr>
          <w:rFonts w:hint="eastAsia" w:cs="Tahoma"/>
        </w:rPr>
        <w:t>甲  方（公章）：</w:t>
      </w:r>
      <w:r>
        <w:rPr>
          <w:rFonts w:hint="eastAsia" w:cs="Tahoma"/>
          <w:u w:val="single"/>
        </w:rPr>
        <w:t xml:space="preserve">                             </w:t>
      </w:r>
    </w:p>
    <w:p w14:paraId="1CD4567D">
      <w:pPr>
        <w:pStyle w:val="28"/>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r>
        <w:rPr>
          <w:rFonts w:hint="eastAsia" w:cs="Tahoma"/>
          <w:u w:val="single"/>
        </w:rPr>
        <w:t xml:space="preserve">                   </w:t>
      </w:r>
    </w:p>
    <w:p w14:paraId="02C80383">
      <w:pPr>
        <w:pStyle w:val="28"/>
        <w:wordWrap w:val="0"/>
        <w:adjustRightInd w:val="0"/>
        <w:snapToGrid w:val="0"/>
        <w:spacing w:before="0" w:beforeAutospacing="0" w:after="0" w:afterAutospacing="0" w:line="360" w:lineRule="auto"/>
        <w:ind w:firstLine="3600" w:firstLineChars="1500"/>
        <w:rPr>
          <w:rFonts w:cs="Tahoma"/>
        </w:rPr>
      </w:pPr>
      <w:r>
        <w:rPr>
          <w:rFonts w:hint="eastAsia" w:cs="Tahoma"/>
        </w:rPr>
        <w:t>乙  方（公章）：</w:t>
      </w:r>
      <w:r>
        <w:rPr>
          <w:rFonts w:hint="eastAsia" w:cs="Tahoma"/>
          <w:u w:val="single"/>
        </w:rPr>
        <w:t xml:space="preserve">                             </w:t>
      </w:r>
    </w:p>
    <w:p w14:paraId="7E925723">
      <w:pPr>
        <w:pStyle w:val="28"/>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r>
        <w:rPr>
          <w:rFonts w:hint="eastAsia" w:cs="Tahoma"/>
          <w:u w:val="single"/>
        </w:rPr>
        <w:t xml:space="preserve">                   </w:t>
      </w:r>
      <w:r>
        <w:rPr>
          <w:rFonts w:hint="eastAsia" w:cs="Tahoma"/>
        </w:rPr>
        <w:t xml:space="preserve"> </w:t>
      </w:r>
    </w:p>
    <w:p w14:paraId="5688B297">
      <w:pPr>
        <w:pStyle w:val="28"/>
        <w:wordWrap w:val="0"/>
        <w:adjustRightInd w:val="0"/>
        <w:snapToGrid w:val="0"/>
        <w:spacing w:before="0" w:beforeAutospacing="0" w:after="0" w:afterAutospacing="0" w:line="360" w:lineRule="auto"/>
        <w:ind w:firstLine="3720" w:firstLineChars="1550"/>
        <w:rPr>
          <w:rFonts w:cs="Tahoma"/>
        </w:rPr>
      </w:pPr>
      <w:r>
        <w:rPr>
          <w:rFonts w:hint="eastAsia" w:cs="Tahoma"/>
        </w:rPr>
        <w:t xml:space="preserve">……            </w:t>
      </w:r>
    </w:p>
    <w:p w14:paraId="3528988E">
      <w:pPr>
        <w:pStyle w:val="28"/>
        <w:wordWrap w:val="0"/>
        <w:adjustRightInd w:val="0"/>
        <w:snapToGrid w:val="0"/>
        <w:spacing w:before="0" w:beforeAutospacing="0" w:after="0" w:afterAutospacing="0" w:line="360" w:lineRule="auto"/>
        <w:ind w:firstLine="3480" w:firstLineChars="1450"/>
        <w:rPr>
          <w:rFonts w:cs="Tahoma"/>
        </w:rPr>
      </w:pPr>
      <w:r>
        <w:rPr>
          <w:rFonts w:hint="eastAsia" w:cs="Tahoma"/>
        </w:rPr>
        <w:t xml:space="preserve"> 签订日期: </w:t>
      </w:r>
      <w:r>
        <w:rPr>
          <w:rFonts w:hint="eastAsia" w:cs="Tahoma"/>
          <w:u w:val="single"/>
        </w:rPr>
        <w:t xml:space="preserve">            </w:t>
      </w:r>
      <w:r>
        <w:rPr>
          <w:rFonts w:cs="Tahoma"/>
          <w:u w:val="single"/>
        </w:rPr>
        <w:br w:type="page"/>
      </w:r>
    </w:p>
    <w:p w14:paraId="103AACD0">
      <w:pPr>
        <w:pStyle w:val="5"/>
        <w:numPr>
          <w:ilvl w:val="0"/>
          <w:numId w:val="58"/>
        </w:numPr>
        <w:spacing w:before="0" w:after="0" w:line="360" w:lineRule="auto"/>
        <w:ind w:left="569" w:hanging="569" w:hangingChars="236"/>
        <w:rPr>
          <w:bCs w:val="0"/>
          <w:sz w:val="24"/>
          <w:szCs w:val="24"/>
        </w:rPr>
      </w:pPr>
      <w:bookmarkStart w:id="476" w:name="_Toc107561303"/>
      <w:r>
        <w:rPr>
          <w:rFonts w:hint="eastAsia"/>
          <w:bCs w:val="0"/>
          <w:sz w:val="24"/>
          <w:szCs w:val="24"/>
        </w:rPr>
        <w:t>分包意</w:t>
      </w:r>
      <w:r>
        <w:rPr>
          <w:rFonts w:hint="eastAsia"/>
          <w:sz w:val="24"/>
          <w:szCs w:val="24"/>
        </w:rPr>
        <w:t>向</w:t>
      </w:r>
      <w:r>
        <w:rPr>
          <w:rFonts w:hint="eastAsia"/>
          <w:bCs w:val="0"/>
          <w:sz w:val="24"/>
          <w:szCs w:val="24"/>
        </w:rPr>
        <w:t>协议书</w:t>
      </w:r>
      <w:bookmarkEnd w:id="476"/>
    </w:p>
    <w:p w14:paraId="3C7F7E2A">
      <w:pPr>
        <w:pStyle w:val="28"/>
        <w:wordWrap w:val="0"/>
        <w:adjustRightInd w:val="0"/>
        <w:snapToGrid w:val="0"/>
        <w:spacing w:before="0" w:beforeAutospacing="0" w:after="0" w:afterAutospacing="0" w:line="360" w:lineRule="auto"/>
        <w:ind w:firstLine="360" w:firstLineChars="150"/>
        <w:rPr>
          <w:rFonts w:ascii="楷体" w:hAnsi="楷体" w:eastAsia="楷体"/>
          <w:bCs/>
        </w:rPr>
      </w:pPr>
      <w:r>
        <w:rPr>
          <w:rFonts w:hint="eastAsia" w:ascii="楷体" w:hAnsi="楷体" w:eastAsia="楷体"/>
        </w:rPr>
        <w:t>（拟成交后合同分包的应提供，未分包的不用提供）</w:t>
      </w:r>
    </w:p>
    <w:p w14:paraId="3E79B195">
      <w:pPr>
        <w:pStyle w:val="28"/>
        <w:wordWrap w:val="0"/>
        <w:adjustRightInd w:val="0"/>
        <w:snapToGrid w:val="0"/>
        <w:spacing w:before="0" w:beforeAutospacing="0" w:after="0" w:afterAutospacing="0" w:line="360" w:lineRule="auto"/>
        <w:ind w:firstLine="480"/>
        <w:rPr>
          <w:rFonts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14:paraId="2F614D95">
      <w:pPr>
        <w:pStyle w:val="28"/>
        <w:wordWrap w:val="0"/>
        <w:adjustRightInd w:val="0"/>
        <w:snapToGrid w:val="0"/>
        <w:spacing w:before="0" w:beforeAutospacing="0" w:after="0" w:afterAutospacing="0" w:line="360" w:lineRule="auto"/>
        <w:ind w:firstLine="480"/>
        <w:rPr>
          <w:rFonts w:cs="Tahoma"/>
        </w:rPr>
      </w:pPr>
      <w:r>
        <w:rPr>
          <w:rFonts w:hint="eastAsia" w:cs="Tahoma"/>
          <w:i/>
          <w:u w:val="single"/>
        </w:rPr>
        <w:t xml:space="preserve">   (乙公司名称)</w:t>
      </w:r>
      <w:r>
        <w:rPr>
          <w:rFonts w:hint="eastAsia" w:cs="Tahoma"/>
          <w:u w:val="single"/>
        </w:rPr>
        <w:t xml:space="preserve">    </w:t>
      </w:r>
      <w:r>
        <w:rPr>
          <w:rFonts w:hint="eastAsia" w:cs="Tahoma"/>
        </w:rPr>
        <w:t>（以下简称乙方）</w:t>
      </w:r>
    </w:p>
    <w:p w14:paraId="0D02091B">
      <w:pPr>
        <w:pStyle w:val="28"/>
        <w:wordWrap w:val="0"/>
        <w:adjustRightInd w:val="0"/>
        <w:snapToGrid w:val="0"/>
        <w:spacing w:before="0" w:beforeAutospacing="0" w:after="0" w:afterAutospacing="0" w:line="360" w:lineRule="auto"/>
        <w:ind w:firstLine="480"/>
        <w:rPr>
          <w:rFonts w:cs="Tahoma"/>
        </w:rPr>
      </w:pPr>
      <w:r>
        <w:rPr>
          <w:rFonts w:hint="eastAsia" w:cs="Tahoma"/>
        </w:rPr>
        <w:t xml:space="preserve">……  </w:t>
      </w:r>
      <w:r>
        <w:rPr>
          <w:rFonts w:hint="eastAsia" w:ascii="楷体" w:hAnsi="楷体" w:eastAsia="楷体" w:cs="Tahoma"/>
        </w:rPr>
        <w:t>（多家企业的以甲、乙、丙、丁……描述）</w:t>
      </w:r>
      <w:r>
        <w:rPr>
          <w:rFonts w:hint="eastAsia" w:cs="Tahoma"/>
        </w:rPr>
        <w:t xml:space="preserve">                          </w:t>
      </w:r>
    </w:p>
    <w:p w14:paraId="03942A04">
      <w:pPr>
        <w:pStyle w:val="28"/>
        <w:wordWrap w:val="0"/>
        <w:adjustRightInd w:val="0"/>
        <w:snapToGrid w:val="0"/>
        <w:spacing w:before="0" w:beforeAutospacing="0" w:after="0" w:afterAutospacing="0" w:line="360" w:lineRule="auto"/>
        <w:ind w:firstLine="480"/>
        <w:rPr>
          <w:rFonts w:cs="Tahoma"/>
        </w:rPr>
      </w:pPr>
      <w:r>
        <w:rPr>
          <w:rFonts w:hint="eastAsia" w:cs="Tahoma"/>
        </w:rPr>
        <w:t>甲方就</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与其它各方通过友好协商达成如下分包意向协议：</w:t>
      </w:r>
    </w:p>
    <w:p w14:paraId="6D3BADEC">
      <w:pPr>
        <w:pStyle w:val="28"/>
        <w:wordWrap w:val="0"/>
        <w:adjustRightInd w:val="0"/>
        <w:snapToGrid w:val="0"/>
        <w:spacing w:before="0" w:beforeAutospacing="0" w:after="0" w:afterAutospacing="0" w:line="360" w:lineRule="auto"/>
        <w:ind w:firstLine="480"/>
        <w:rPr>
          <w:rFonts w:cs="Tahoma"/>
        </w:rPr>
      </w:pPr>
      <w:r>
        <w:rPr>
          <w:rFonts w:hint="eastAsia" w:cs="Tahoma"/>
        </w:rPr>
        <w:t>1、在本次磋商有效期内，其它各方同意甲方代理磋商事宜；</w:t>
      </w:r>
    </w:p>
    <w:p w14:paraId="4DAA001A">
      <w:pPr>
        <w:pStyle w:val="28"/>
        <w:wordWrap w:val="0"/>
        <w:adjustRightInd w:val="0"/>
        <w:snapToGrid w:val="0"/>
        <w:spacing w:before="0" w:beforeAutospacing="0" w:after="0" w:afterAutospacing="0" w:line="360" w:lineRule="auto"/>
        <w:ind w:firstLine="480"/>
        <w:rPr>
          <w:rFonts w:cs="Tahoma"/>
        </w:rPr>
      </w:pPr>
      <w:r>
        <w:rPr>
          <w:rFonts w:hint="eastAsia" w:cs="Tahoma"/>
        </w:rPr>
        <w:t>2、其它各方合同金额及负责的工作；</w:t>
      </w:r>
    </w:p>
    <w:p w14:paraId="00BC34F5">
      <w:pPr>
        <w:pStyle w:val="28"/>
        <w:wordWrap w:val="0"/>
        <w:adjustRightInd w:val="0"/>
        <w:snapToGrid w:val="0"/>
        <w:spacing w:before="0" w:beforeAutospacing="0" w:after="0" w:afterAutospacing="0" w:line="360" w:lineRule="auto"/>
        <w:ind w:firstLine="480"/>
        <w:rPr>
          <w:rFonts w:cs="Tahoma"/>
        </w:rPr>
      </w:pPr>
      <w:r>
        <w:rPr>
          <w:rFonts w:hint="eastAsia" w:cs="Tahoma"/>
        </w:rPr>
        <w:t>乙方承担的分包合同金额为项目采购合同金额的</w:t>
      </w:r>
      <w:r>
        <w:rPr>
          <w:rFonts w:cs="Tahoma"/>
          <w:u w:val="single"/>
        </w:rPr>
        <w:t xml:space="preserve">    %</w:t>
      </w:r>
      <w:r>
        <w:rPr>
          <w:rFonts w:hint="eastAsia" w:cs="Tahoma"/>
        </w:rPr>
        <w:t>，负责的工作为：</w:t>
      </w:r>
      <w:r>
        <w:rPr>
          <w:rFonts w:hint="eastAsia" w:cs="Tahoma"/>
          <w:u w:val="single"/>
        </w:rPr>
        <w:t xml:space="preserve">           </w:t>
      </w:r>
      <w:r>
        <w:rPr>
          <w:rFonts w:hint="eastAsia" w:cs="Tahoma"/>
        </w:rPr>
        <w:t>。</w:t>
      </w:r>
    </w:p>
    <w:p w14:paraId="0D76E4CC">
      <w:pPr>
        <w:pStyle w:val="28"/>
        <w:wordWrap w:val="0"/>
        <w:adjustRightInd w:val="0"/>
        <w:snapToGrid w:val="0"/>
        <w:spacing w:before="0" w:beforeAutospacing="0" w:after="0" w:afterAutospacing="0" w:line="360" w:lineRule="auto"/>
        <w:ind w:firstLine="480"/>
        <w:rPr>
          <w:rFonts w:cs="Tahoma"/>
        </w:rPr>
      </w:pPr>
      <w:r>
        <w:rPr>
          <w:rFonts w:hint="eastAsia" w:cs="Tahoma"/>
        </w:rPr>
        <w:t>……</w:t>
      </w:r>
    </w:p>
    <w:p w14:paraId="334ABF16">
      <w:pPr>
        <w:pStyle w:val="28"/>
        <w:wordWrap w:val="0"/>
        <w:adjustRightInd w:val="0"/>
        <w:snapToGrid w:val="0"/>
        <w:spacing w:before="0" w:beforeAutospacing="0" w:after="0" w:afterAutospacing="0" w:line="360" w:lineRule="auto"/>
        <w:ind w:firstLine="480"/>
        <w:rPr>
          <w:rFonts w:cs="Tahoma"/>
        </w:rPr>
      </w:pPr>
      <w:r>
        <w:rPr>
          <w:rFonts w:hint="eastAsia" w:cs="Tahoma"/>
        </w:rPr>
        <w:t>3、各方责任和义务：</w:t>
      </w:r>
    </w:p>
    <w:p w14:paraId="2217BBFD">
      <w:pPr>
        <w:pStyle w:val="28"/>
        <w:wordWrap w:val="0"/>
        <w:adjustRightInd w:val="0"/>
        <w:snapToGrid w:val="0"/>
        <w:spacing w:before="0" w:beforeAutospacing="0" w:after="0" w:afterAutospacing="0" w:line="360" w:lineRule="auto"/>
        <w:ind w:firstLine="480"/>
        <w:rPr>
          <w:rFonts w:cs="Tahoma"/>
        </w:rPr>
      </w:pPr>
      <w:r>
        <w:rPr>
          <w:rFonts w:hint="eastAsia" w:cs="Tahoma"/>
        </w:rPr>
        <w:t>（</w:t>
      </w:r>
      <w:r>
        <w:rPr>
          <w:rFonts w:cs="Tahoma"/>
        </w:rPr>
        <w:t>1</w:t>
      </w:r>
      <w:r>
        <w:rPr>
          <w:rFonts w:hint="eastAsia" w:cs="Tahoma"/>
        </w:rPr>
        <w:t>）其它方按甲方的要求，负责提供分包负责工作量的相关资料；（包括资质、报价、技术文件等资料）；</w:t>
      </w:r>
    </w:p>
    <w:p w14:paraId="0A31FA79">
      <w:pPr>
        <w:pStyle w:val="28"/>
        <w:wordWrap w:val="0"/>
        <w:adjustRightInd w:val="0"/>
        <w:snapToGrid w:val="0"/>
        <w:spacing w:before="0" w:beforeAutospacing="0" w:after="0" w:afterAutospacing="0" w:line="360" w:lineRule="auto"/>
        <w:ind w:firstLine="480"/>
        <w:rPr>
          <w:rFonts w:cs="Tahoma"/>
        </w:rPr>
      </w:pPr>
      <w:r>
        <w:rPr>
          <w:rFonts w:hint="eastAsia" w:cs="Tahoma"/>
        </w:rPr>
        <w:t>（2）甲方负责提供竞争性磋商文件中规定的除其它方应提供的资料外的所有资料，并组织、汇编磋商文件、参与磋商；甲方未经其它方同意不得擅自提高或降低其它方所提供的报价；</w:t>
      </w:r>
    </w:p>
    <w:p w14:paraId="1533A01A">
      <w:pPr>
        <w:pStyle w:val="28"/>
        <w:wordWrap w:val="0"/>
        <w:adjustRightInd w:val="0"/>
        <w:snapToGrid w:val="0"/>
        <w:spacing w:before="0" w:beforeAutospacing="0" w:after="0" w:afterAutospacing="0" w:line="360" w:lineRule="auto"/>
        <w:ind w:firstLine="480"/>
        <w:rPr>
          <w:rFonts w:cs="Tahoma"/>
        </w:rPr>
      </w:pPr>
      <w:r>
        <w:rPr>
          <w:rFonts w:hint="eastAsia" w:cs="Tahoma"/>
        </w:rPr>
        <w:t>（3）若成交，其它方应各自承担全部分包内容的工作量，并对所承担工作的质量、工期向甲方负责；甲方不得将其它方各自负责的工作量全部或部分转让给另外的供应商。</w:t>
      </w:r>
    </w:p>
    <w:p w14:paraId="5FDD4836">
      <w:pPr>
        <w:pStyle w:val="28"/>
        <w:wordWrap w:val="0"/>
        <w:adjustRightInd w:val="0"/>
        <w:snapToGrid w:val="0"/>
        <w:spacing w:before="0" w:beforeAutospacing="0" w:after="0" w:afterAutospacing="0" w:line="360" w:lineRule="auto"/>
        <w:ind w:firstLine="480"/>
        <w:rPr>
          <w:rFonts w:cs="Tahoma"/>
        </w:rPr>
      </w:pPr>
      <w:r>
        <w:rPr>
          <w:rFonts w:hint="eastAsia" w:cs="Tahoma"/>
        </w:rPr>
        <w:t>4、若成交，甲方与采购人签订采购合同，就采购合同约定的事项对采购人负责，同时本协议应作为采购合同的组成部分。</w:t>
      </w:r>
    </w:p>
    <w:p w14:paraId="736F2E9C">
      <w:pPr>
        <w:pStyle w:val="28"/>
        <w:wordWrap w:val="0"/>
        <w:adjustRightInd w:val="0"/>
        <w:snapToGrid w:val="0"/>
        <w:spacing w:before="0" w:beforeAutospacing="0" w:after="0" w:afterAutospacing="0" w:line="360" w:lineRule="auto"/>
        <w:ind w:firstLine="480"/>
        <w:rPr>
          <w:rFonts w:cs="Tahoma"/>
        </w:rPr>
      </w:pPr>
      <w:r>
        <w:rPr>
          <w:rFonts w:hint="eastAsia" w:cs="Tahoma"/>
        </w:rPr>
        <w:t>5、其他:</w:t>
      </w:r>
      <w:r>
        <w:rPr>
          <w:rFonts w:cs="Tahoma"/>
        </w:rPr>
        <w:t>……</w:t>
      </w:r>
    </w:p>
    <w:p w14:paraId="224515B0">
      <w:pPr>
        <w:pStyle w:val="28"/>
        <w:wordWrap w:val="0"/>
        <w:adjustRightInd w:val="0"/>
        <w:snapToGrid w:val="0"/>
        <w:spacing w:before="0" w:beforeAutospacing="0" w:after="0" w:afterAutospacing="0" w:line="360" w:lineRule="auto"/>
        <w:ind w:firstLine="480"/>
        <w:rPr>
          <w:rFonts w:cs="Tahoma"/>
        </w:rPr>
      </w:pPr>
      <w:r>
        <w:rPr>
          <w:rFonts w:hint="eastAsia" w:cs="Tahoma"/>
        </w:rPr>
        <w:t>6、本协议书自签署之日起生效，若未成交，自本次磋商有效期结束后自行失效；若成交，自项目合同书规定的期限之后自行失效。</w:t>
      </w:r>
    </w:p>
    <w:p w14:paraId="294B8821">
      <w:pPr>
        <w:pStyle w:val="28"/>
        <w:wordWrap w:val="0"/>
        <w:adjustRightInd w:val="0"/>
        <w:snapToGrid w:val="0"/>
        <w:spacing w:before="0" w:beforeAutospacing="0" w:after="0" w:afterAutospacing="0" w:line="360" w:lineRule="auto"/>
        <w:ind w:firstLine="480"/>
        <w:rPr>
          <w:rFonts w:cs="Tahoma"/>
        </w:rPr>
      </w:pPr>
      <w:r>
        <w:rPr>
          <w:rFonts w:hint="eastAsia" w:cs="Tahoma"/>
        </w:rPr>
        <w:t>7、</w:t>
      </w:r>
      <w:r>
        <w:rPr>
          <w:rFonts w:cs="Tahoma"/>
        </w:rPr>
        <w:t>本协议书正本一式</w:t>
      </w:r>
      <w:r>
        <w:rPr>
          <w:rFonts w:hint="eastAsia" w:cs="Tahoma"/>
          <w:u w:val="single"/>
        </w:rPr>
        <w:t xml:space="preserve">   </w:t>
      </w:r>
      <w:r>
        <w:rPr>
          <w:rFonts w:cs="Tahoma"/>
        </w:rPr>
        <w:t>份，</w:t>
      </w:r>
      <w:r>
        <w:rPr>
          <w:rFonts w:hint="eastAsia" w:cs="Tahoma"/>
        </w:rPr>
        <w:t>甲方与其它方</w:t>
      </w:r>
      <w:r>
        <w:rPr>
          <w:rFonts w:cs="Tahoma"/>
        </w:rPr>
        <w:t>各</w:t>
      </w:r>
      <w:r>
        <w:rPr>
          <w:rFonts w:hint="eastAsia" w:cs="Tahoma"/>
        </w:rPr>
        <w:t>执</w:t>
      </w:r>
      <w:r>
        <w:rPr>
          <w:rFonts w:hint="eastAsia" w:cs="Tahoma"/>
          <w:u w:val="single"/>
        </w:rPr>
        <w:t xml:space="preserve">   </w:t>
      </w:r>
      <w:r>
        <w:rPr>
          <w:rFonts w:cs="Tahoma"/>
        </w:rPr>
        <w:t>份；副本一式</w:t>
      </w:r>
      <w:r>
        <w:rPr>
          <w:rFonts w:hint="eastAsia" w:cs="Tahoma"/>
          <w:u w:val="single"/>
        </w:rPr>
        <w:t xml:space="preserve">   </w:t>
      </w:r>
      <w:r>
        <w:rPr>
          <w:rFonts w:cs="Tahoma"/>
        </w:rPr>
        <w:t>份，</w:t>
      </w:r>
      <w:r>
        <w:rPr>
          <w:rFonts w:hint="eastAsia" w:cs="Tahoma"/>
        </w:rPr>
        <w:t>甲方与其它方</w:t>
      </w:r>
      <w:r>
        <w:rPr>
          <w:rFonts w:cs="Tahoma"/>
        </w:rPr>
        <w:t>各执</w:t>
      </w:r>
      <w:r>
        <w:rPr>
          <w:rFonts w:hint="eastAsia" w:cs="Tahoma"/>
          <w:u w:val="single"/>
        </w:rPr>
        <w:t xml:space="preserve">   </w:t>
      </w:r>
      <w:r>
        <w:rPr>
          <w:rFonts w:cs="Tahoma"/>
        </w:rPr>
        <w:t>份。</w:t>
      </w:r>
    </w:p>
    <w:p w14:paraId="0B2E31BB">
      <w:pPr>
        <w:pStyle w:val="28"/>
        <w:wordWrap w:val="0"/>
        <w:adjustRightInd w:val="0"/>
        <w:snapToGrid w:val="0"/>
        <w:spacing w:before="0" w:beforeAutospacing="0" w:after="0" w:afterAutospacing="0" w:line="360" w:lineRule="auto"/>
        <w:ind w:firstLine="3600" w:firstLineChars="1500"/>
        <w:rPr>
          <w:rFonts w:cs="Tahoma"/>
        </w:rPr>
      </w:pPr>
      <w:r>
        <w:rPr>
          <w:rFonts w:hint="eastAsia" w:cs="Tahoma"/>
        </w:rPr>
        <w:t>甲  方（公章）：</w:t>
      </w:r>
      <w:r>
        <w:rPr>
          <w:rFonts w:hint="eastAsia" w:cs="Tahoma"/>
          <w:u w:val="single"/>
        </w:rPr>
        <w:t xml:space="preserve">                             </w:t>
      </w:r>
    </w:p>
    <w:p w14:paraId="6ADD7A46">
      <w:pPr>
        <w:pStyle w:val="28"/>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r>
        <w:rPr>
          <w:rFonts w:hint="eastAsia" w:cs="Tahoma"/>
          <w:u w:val="single"/>
        </w:rPr>
        <w:t xml:space="preserve">                   </w:t>
      </w:r>
    </w:p>
    <w:p w14:paraId="5AF99F87">
      <w:pPr>
        <w:pStyle w:val="28"/>
        <w:wordWrap w:val="0"/>
        <w:adjustRightInd w:val="0"/>
        <w:snapToGrid w:val="0"/>
        <w:spacing w:before="0" w:beforeAutospacing="0" w:after="0" w:afterAutospacing="0" w:line="360" w:lineRule="auto"/>
        <w:ind w:firstLine="3600" w:firstLineChars="1500"/>
        <w:rPr>
          <w:rFonts w:cs="Tahoma"/>
        </w:rPr>
      </w:pPr>
      <w:r>
        <w:rPr>
          <w:rFonts w:hint="eastAsia" w:cs="Tahoma"/>
        </w:rPr>
        <w:t>乙  方（公章）：</w:t>
      </w:r>
      <w:r>
        <w:rPr>
          <w:rFonts w:hint="eastAsia" w:cs="Tahoma"/>
          <w:u w:val="single"/>
        </w:rPr>
        <w:t xml:space="preserve">                             </w:t>
      </w:r>
    </w:p>
    <w:p w14:paraId="02B17AFB">
      <w:pPr>
        <w:pStyle w:val="28"/>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r>
        <w:rPr>
          <w:rFonts w:hint="eastAsia" w:cs="Tahoma"/>
          <w:u w:val="single"/>
        </w:rPr>
        <w:t xml:space="preserve">                   </w:t>
      </w:r>
      <w:r>
        <w:rPr>
          <w:rFonts w:hint="eastAsia" w:cs="Tahoma"/>
        </w:rPr>
        <w:t xml:space="preserve"> </w:t>
      </w:r>
    </w:p>
    <w:p w14:paraId="205C7C86">
      <w:pPr>
        <w:pStyle w:val="28"/>
        <w:wordWrap w:val="0"/>
        <w:adjustRightInd w:val="0"/>
        <w:snapToGrid w:val="0"/>
        <w:spacing w:before="0" w:beforeAutospacing="0" w:after="0" w:afterAutospacing="0" w:line="360" w:lineRule="auto"/>
        <w:ind w:firstLine="3720" w:firstLineChars="1550"/>
        <w:rPr>
          <w:rFonts w:cs="Tahoma"/>
        </w:rPr>
      </w:pPr>
      <w:r>
        <w:rPr>
          <w:rFonts w:hint="eastAsia" w:cs="Tahoma"/>
        </w:rPr>
        <w:t xml:space="preserve">……             </w:t>
      </w:r>
    </w:p>
    <w:p w14:paraId="16F8577F">
      <w:pPr>
        <w:wordWrap w:val="0"/>
        <w:spacing w:line="360" w:lineRule="auto"/>
        <w:ind w:firstLine="4200" w:firstLineChars="1750"/>
        <w:rPr>
          <w:rFonts w:cs="Tahoma"/>
          <w:u w:val="single"/>
        </w:rPr>
      </w:pPr>
      <w:r>
        <w:rPr>
          <w:rFonts w:hint="eastAsia" w:cs="Tahoma"/>
        </w:rPr>
        <w:t xml:space="preserve">签订日期: </w:t>
      </w:r>
      <w:r>
        <w:rPr>
          <w:rFonts w:hint="eastAsia" w:cs="Tahoma"/>
          <w:u w:val="single"/>
        </w:rPr>
        <w:t xml:space="preserve">      </w:t>
      </w:r>
      <w:r>
        <w:rPr>
          <w:rFonts w:cs="Tahoma"/>
          <w:u w:val="single"/>
        </w:rPr>
        <w:t xml:space="preserve"> </w:t>
      </w:r>
      <w:r>
        <w:rPr>
          <w:rFonts w:cs="Tahoma"/>
          <w:u w:val="single"/>
        </w:rPr>
        <w:br w:type="page"/>
      </w:r>
    </w:p>
    <w:p w14:paraId="4E7F262F">
      <w:pPr>
        <w:pStyle w:val="11"/>
        <w:spacing w:line="360" w:lineRule="auto"/>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p>
    <w:p w14:paraId="21DDBBAB">
      <w:pPr>
        <w:pStyle w:val="5"/>
        <w:numPr>
          <w:ilvl w:val="0"/>
          <w:numId w:val="58"/>
        </w:numPr>
        <w:spacing w:line="360" w:lineRule="auto"/>
        <w:ind w:left="567" w:hanging="567"/>
        <w:rPr>
          <w:bCs w:val="0"/>
          <w:sz w:val="24"/>
          <w:szCs w:val="24"/>
        </w:rPr>
      </w:pPr>
      <w:bookmarkStart w:id="477" w:name="_Toc106962849"/>
      <w:bookmarkStart w:id="478" w:name="_Toc107561304"/>
      <w:r>
        <w:rPr>
          <w:rFonts w:hint="eastAsia"/>
          <w:bCs w:val="0"/>
          <w:sz w:val="24"/>
          <w:szCs w:val="24"/>
        </w:rPr>
        <w:t>中小企业声明函</w:t>
      </w:r>
      <w:bookmarkEnd w:id="477"/>
      <w:bookmarkEnd w:id="478"/>
    </w:p>
    <w:p w14:paraId="128A3E7B">
      <w:pPr>
        <w:wordWrap w:val="0"/>
        <w:spacing w:line="360" w:lineRule="auto"/>
        <w:ind w:firstLine="480" w:firstLineChars="200"/>
        <w:rPr>
          <w:szCs w:val="24"/>
        </w:rPr>
      </w:pPr>
      <w:r>
        <w:rPr>
          <w:rFonts w:hint="eastAsia"/>
          <w:szCs w:val="24"/>
        </w:rPr>
        <w:t>（</w:t>
      </w:r>
      <w:r>
        <w:rPr>
          <w:rFonts w:hint="eastAsia" w:ascii="楷体" w:hAnsi="楷体" w:eastAsia="楷体"/>
          <w:szCs w:val="24"/>
        </w:rPr>
        <w:t>符合条件的可选择提供，专门面向或部分预留给中小企业采购的项目或采购包,承担预留份额的应选择提供</w:t>
      </w:r>
      <w:r>
        <w:rPr>
          <w:rFonts w:hint="eastAsia"/>
          <w:szCs w:val="24"/>
        </w:rPr>
        <w:t>）</w:t>
      </w:r>
    </w:p>
    <w:p w14:paraId="61E5D143">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1：中小企业声明函（货物）</w:t>
      </w:r>
    </w:p>
    <w:p w14:paraId="6DB3780A">
      <w:pPr>
        <w:wordWrap w:val="0"/>
        <w:spacing w:line="360" w:lineRule="auto"/>
        <w:ind w:firstLine="480" w:firstLineChars="200"/>
        <w:rPr>
          <w:szCs w:val="24"/>
        </w:rPr>
      </w:pPr>
      <w:r>
        <w:rPr>
          <w:rFonts w:hint="eastAsia"/>
          <w:szCs w:val="24"/>
        </w:rPr>
        <w:t>本公司（联合体）郑重声明，根据《政府采购促进中小企业发展管理办法》（财库﹝2020﹞46 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采购活动，提供的货物</w:t>
      </w:r>
      <w:r>
        <w:rPr>
          <w:rFonts w:hint="eastAsia"/>
          <w:b/>
          <w:szCs w:val="24"/>
        </w:rPr>
        <w:t>全部由</w:t>
      </w:r>
      <w:r>
        <w:rPr>
          <w:rFonts w:hint="eastAsia"/>
          <w:szCs w:val="24"/>
        </w:rPr>
        <w:t>符合政策要求的</w:t>
      </w:r>
      <w:r>
        <w:rPr>
          <w:rFonts w:hint="eastAsia"/>
          <w:b/>
          <w:szCs w:val="24"/>
        </w:rPr>
        <w:t>中小企业制造</w:t>
      </w:r>
      <w:r>
        <w:rPr>
          <w:rFonts w:hint="eastAsia"/>
          <w:szCs w:val="24"/>
        </w:rPr>
        <w:t>。相关企业（含联合体中的中小企业、签订分包意向协议的中小企业）的具体情况如下：</w:t>
      </w:r>
    </w:p>
    <w:p w14:paraId="3D6C42BA">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货物1名称</w:t>
      </w:r>
      <w:r>
        <w:rPr>
          <w:rFonts w:hint="eastAsia"/>
          <w:szCs w:val="24"/>
          <w:u w:val="single"/>
        </w:rPr>
        <w:t>）</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u w:val="single"/>
        </w:rPr>
        <w:t>）</w:t>
      </w:r>
      <w:r>
        <w:rPr>
          <w:rFonts w:hint="eastAsia"/>
          <w:szCs w:val="24"/>
        </w:rPr>
        <w:t>行业；制造商为</w:t>
      </w:r>
      <w:r>
        <w:rPr>
          <w:rFonts w:hint="eastAsia"/>
          <w:szCs w:val="24"/>
          <w:u w:val="single"/>
        </w:rPr>
        <w:t>（</w:t>
      </w:r>
      <w:r>
        <w:rPr>
          <w:rFonts w:hint="eastAsia"/>
          <w:i/>
          <w:szCs w:val="24"/>
          <w:u w:val="single"/>
        </w:rPr>
        <w:t>企业名称</w:t>
      </w:r>
      <w:r>
        <w:rPr>
          <w:rFonts w:hint="eastAsia"/>
          <w:szCs w:val="24"/>
          <w:u w:val="single"/>
        </w:rPr>
        <w:t>）</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14:paraId="015814AD">
      <w:pPr>
        <w:wordWrap w:val="0"/>
        <w:spacing w:line="360" w:lineRule="auto"/>
        <w:ind w:firstLine="480" w:firstLineChars="200"/>
        <w:rPr>
          <w:szCs w:val="24"/>
        </w:rPr>
      </w:pPr>
      <w:r>
        <w:rPr>
          <w:rFonts w:hint="eastAsia"/>
          <w:szCs w:val="24"/>
        </w:rPr>
        <w:t xml:space="preserve">2. </w:t>
      </w:r>
      <w:r>
        <w:rPr>
          <w:rFonts w:hint="eastAsia"/>
          <w:szCs w:val="24"/>
          <w:u w:val="single"/>
        </w:rPr>
        <w:t>（</w:t>
      </w:r>
      <w:r>
        <w:rPr>
          <w:rFonts w:hint="eastAsia"/>
          <w:i/>
          <w:szCs w:val="24"/>
          <w:u w:val="single"/>
        </w:rPr>
        <w:t>货物2名称</w:t>
      </w:r>
      <w:r>
        <w:rPr>
          <w:rFonts w:hint="eastAsia"/>
          <w:szCs w:val="24"/>
          <w:u w:val="single"/>
        </w:rPr>
        <w:t xml:space="preserve">） </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u w:val="single"/>
        </w:rPr>
        <w:t>）</w:t>
      </w:r>
      <w:r>
        <w:rPr>
          <w:rFonts w:hint="eastAsia"/>
          <w:szCs w:val="24"/>
        </w:rPr>
        <w:t xml:space="preserve">行业 ；制造商为 </w:t>
      </w:r>
      <w:r>
        <w:rPr>
          <w:rFonts w:hint="eastAsia"/>
          <w:szCs w:val="24"/>
          <w:u w:val="single"/>
        </w:rPr>
        <w:t>（</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14:paraId="3B1B23FB">
      <w:pPr>
        <w:wordWrap w:val="0"/>
        <w:spacing w:line="360" w:lineRule="auto"/>
        <w:ind w:firstLine="480" w:firstLineChars="200"/>
        <w:rPr>
          <w:szCs w:val="24"/>
        </w:rPr>
      </w:pPr>
      <w:r>
        <w:rPr>
          <w:rFonts w:hint="eastAsia"/>
          <w:szCs w:val="24"/>
        </w:rPr>
        <w:t>……</w:t>
      </w:r>
    </w:p>
    <w:p w14:paraId="2285600D">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06CB32BA">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077E6FA6">
      <w:pPr>
        <w:wordWrap w:val="0"/>
        <w:spacing w:line="360" w:lineRule="auto"/>
        <w:ind w:left="1091" w:hanging="1087" w:hangingChars="453"/>
        <w:jc w:val="left"/>
        <w:rPr>
          <w:b/>
          <w:bCs/>
          <w:szCs w:val="24"/>
        </w:rPr>
      </w:pPr>
    </w:p>
    <w:p w14:paraId="32EEE157">
      <w:pPr>
        <w:wordWrap w:val="0"/>
        <w:spacing w:line="360" w:lineRule="auto"/>
        <w:ind w:left="1091" w:hanging="1087" w:hangingChars="453"/>
        <w:jc w:val="left"/>
        <w:rPr>
          <w:bCs/>
          <w:szCs w:val="24"/>
        </w:rPr>
      </w:pPr>
      <w:r>
        <w:rPr>
          <w:rFonts w:hint="eastAsia"/>
          <w:b/>
          <w:bCs/>
          <w:szCs w:val="24"/>
        </w:rPr>
        <w:t>说明：</w:t>
      </w:r>
      <w:r>
        <w:rPr>
          <w:rFonts w:hint="eastAsia"/>
          <w:bCs/>
          <w:szCs w:val="24"/>
        </w:rPr>
        <w:t>1、</w:t>
      </w:r>
      <w:r>
        <w:rPr>
          <w:rFonts w:hint="eastAsia"/>
          <w:bCs/>
          <w:szCs w:val="21"/>
          <w:lang w:val="zh-CN"/>
        </w:rPr>
        <w:t>应严格按上述格式及内容进行填写；</w:t>
      </w:r>
    </w:p>
    <w:p w14:paraId="16247D7B">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以联合体方式参与项目磋商的供应商，应由联合体各方盖章。</w:t>
      </w:r>
    </w:p>
    <w:p w14:paraId="5F5F21B9">
      <w:pPr>
        <w:wordWrap w:val="0"/>
        <w:spacing w:before="100" w:beforeAutospacing="1" w:after="100" w:afterAutospacing="1" w:line="360" w:lineRule="auto"/>
        <w:ind w:firstLine="3436" w:firstLineChars="1432"/>
        <w:rPr>
          <w:bCs/>
          <w:szCs w:val="21"/>
          <w:lang w:val="zh-CN"/>
        </w:rPr>
      </w:pPr>
      <w:r>
        <w:rPr>
          <w:rFonts w:hint="eastAsia"/>
          <w:bCs/>
          <w:szCs w:val="21"/>
          <w:lang w:val="zh-CN"/>
        </w:rPr>
        <w:t>供应商（公章）：</w:t>
      </w:r>
      <w:r>
        <w:rPr>
          <w:rFonts w:hint="eastAsia"/>
          <w:bCs/>
          <w:szCs w:val="21"/>
          <w:u w:val="single"/>
          <w:lang w:val="zh-CN"/>
        </w:rPr>
        <w:t xml:space="preserve">                              </w:t>
      </w:r>
    </w:p>
    <w:p w14:paraId="25F131EB">
      <w:pPr>
        <w:wordWrap w:val="0"/>
        <w:spacing w:before="100" w:beforeAutospacing="1" w:after="100" w:afterAutospacing="1" w:line="360" w:lineRule="auto"/>
        <w:ind w:firstLine="3436" w:firstLineChars="1432"/>
        <w:rPr>
          <w:szCs w:val="24"/>
        </w:rPr>
      </w:pPr>
      <w:r>
        <w:rPr>
          <w:rFonts w:hint="eastAsia"/>
          <w:szCs w:val="24"/>
        </w:rPr>
        <w:t>日 </w:t>
      </w:r>
      <w:r>
        <w:rPr>
          <w:szCs w:val="24"/>
        </w:rPr>
        <w:t xml:space="preserve"> </w:t>
      </w:r>
      <w:r>
        <w:rPr>
          <w:rFonts w:hint="eastAsia"/>
          <w:szCs w:val="24"/>
        </w:rPr>
        <w:t> 期：</w:t>
      </w:r>
      <w:r>
        <w:rPr>
          <w:bCs/>
          <w:szCs w:val="24"/>
          <w:u w:val="single"/>
        </w:rPr>
        <w:t xml:space="preserve">                       </w:t>
      </w:r>
      <w:r>
        <w:rPr>
          <w:rFonts w:hint="eastAsia"/>
          <w:bCs/>
          <w:szCs w:val="24"/>
          <w:u w:val="single"/>
        </w:rPr>
        <w:t xml:space="preserve">   </w:t>
      </w:r>
      <w:r>
        <w:rPr>
          <w:bCs/>
          <w:szCs w:val="24"/>
          <w:u w:val="single"/>
        </w:rPr>
        <w:t xml:space="preserve">         </w:t>
      </w:r>
    </w:p>
    <w:p w14:paraId="6F51A6AB">
      <w:pPr>
        <w:widowControl/>
        <w:tabs>
          <w:tab w:val="right" w:leader="dot" w:pos="9514"/>
        </w:tabs>
        <w:wordWrap w:val="0"/>
        <w:spacing w:line="360" w:lineRule="auto"/>
        <w:jc w:val="left"/>
        <w:rPr>
          <w:b/>
          <w:iCs/>
          <w:sz w:val="28"/>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p>
    <w:p w14:paraId="348FAD2A">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-2：中小企业声明函（工程</w:t>
      </w:r>
      <w:r>
        <w:rPr>
          <w:rFonts w:ascii="宋体" w:hAnsi="宋体" w:eastAsia="宋体"/>
          <w:sz w:val="24"/>
          <w:szCs w:val="24"/>
        </w:rPr>
        <w:t>或</w:t>
      </w:r>
      <w:r>
        <w:rPr>
          <w:rFonts w:hint="eastAsia" w:ascii="宋体" w:hAnsi="宋体" w:eastAsia="宋体"/>
          <w:sz w:val="24"/>
          <w:szCs w:val="24"/>
        </w:rPr>
        <w:t>服务）</w:t>
      </w:r>
    </w:p>
    <w:p w14:paraId="04F157DC">
      <w:pPr>
        <w:wordWrap w:val="0"/>
        <w:spacing w:line="360" w:lineRule="auto"/>
        <w:ind w:firstLine="480" w:firstLineChars="200"/>
        <w:rPr>
          <w:szCs w:val="24"/>
        </w:rPr>
      </w:pPr>
      <w:r>
        <w:rPr>
          <w:rFonts w:hint="eastAsia"/>
          <w:szCs w:val="24"/>
        </w:rPr>
        <w:t>本公司（联合体）郑重声明，根据《政府采购促进中小企业发展管理办法》（财库﹝2020﹞46 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采购活动，工程</w:t>
      </w:r>
      <w:r>
        <w:rPr>
          <w:szCs w:val="24"/>
        </w:rPr>
        <w:t>（或</w:t>
      </w:r>
      <w:r>
        <w:rPr>
          <w:rFonts w:hint="eastAsia"/>
          <w:szCs w:val="24"/>
        </w:rPr>
        <w:t>服务）</w:t>
      </w:r>
      <w:r>
        <w:rPr>
          <w:rFonts w:hint="eastAsia"/>
          <w:b/>
          <w:szCs w:val="24"/>
        </w:rPr>
        <w:t>全部由</w:t>
      </w:r>
      <w:r>
        <w:rPr>
          <w:rFonts w:hint="eastAsia"/>
          <w:szCs w:val="24"/>
        </w:rPr>
        <w:t>符合政策要求的</w:t>
      </w:r>
      <w:r>
        <w:rPr>
          <w:rFonts w:hint="eastAsia"/>
          <w:b/>
          <w:szCs w:val="24"/>
        </w:rPr>
        <w:t>中小企业承建</w:t>
      </w:r>
      <w:r>
        <w:rPr>
          <w:b/>
          <w:szCs w:val="24"/>
        </w:rPr>
        <w:t>（或</w:t>
      </w:r>
      <w:r>
        <w:rPr>
          <w:rFonts w:hint="eastAsia"/>
          <w:b/>
          <w:szCs w:val="24"/>
        </w:rPr>
        <w:t>承接）</w:t>
      </w:r>
      <w:r>
        <w:rPr>
          <w:rFonts w:hint="eastAsia"/>
          <w:szCs w:val="24"/>
        </w:rPr>
        <w:t>。相关企业（含联合体中的中小企业、签订分包意向协议的中小企业）的具体情况如下：</w:t>
      </w:r>
    </w:p>
    <w:p w14:paraId="6CCF30F5">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（工程</w:t>
      </w:r>
      <w:r>
        <w:rPr>
          <w:i/>
          <w:szCs w:val="24"/>
          <w:u w:val="single"/>
        </w:rPr>
        <w:t>或</w:t>
      </w:r>
      <w:r>
        <w:rPr>
          <w:rFonts w:hint="eastAsia"/>
          <w:i/>
          <w:szCs w:val="24"/>
          <w:u w:val="single"/>
        </w:rPr>
        <w:t>服务1名称）</w:t>
      </w:r>
      <w:r>
        <w:rPr>
          <w:rFonts w:hint="eastAsia"/>
          <w:szCs w:val="24"/>
          <w:u w:val="single"/>
        </w:rPr>
        <w:t xml:space="preserve"> </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rPr>
        <w:t>行业 ；承建</w:t>
      </w:r>
      <w:r>
        <w:rPr>
          <w:szCs w:val="24"/>
        </w:rPr>
        <w:t>或</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14:paraId="533511E7">
      <w:pPr>
        <w:wordWrap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（工程</w:t>
      </w:r>
      <w:r>
        <w:rPr>
          <w:i/>
          <w:szCs w:val="24"/>
          <w:u w:val="single"/>
        </w:rPr>
        <w:t>或</w:t>
      </w:r>
      <w:r>
        <w:rPr>
          <w:rFonts w:hint="eastAsia"/>
          <w:i/>
          <w:szCs w:val="24"/>
          <w:u w:val="single"/>
        </w:rPr>
        <w:t>服务2名称）</w:t>
      </w:r>
      <w:r>
        <w:rPr>
          <w:rFonts w:hint="eastAsia"/>
          <w:szCs w:val="24"/>
          <w:u w:val="single"/>
        </w:rPr>
        <w:t xml:space="preserve"> </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rPr>
        <w:t>行业 ；承建</w:t>
      </w:r>
      <w:r>
        <w:rPr>
          <w:szCs w:val="24"/>
        </w:rPr>
        <w:t>或</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14:paraId="70D6AC29">
      <w:pPr>
        <w:wordWrap w:val="0"/>
        <w:spacing w:line="360" w:lineRule="auto"/>
        <w:ind w:firstLine="480" w:firstLineChars="200"/>
        <w:rPr>
          <w:szCs w:val="24"/>
        </w:rPr>
      </w:pPr>
      <w:r>
        <w:rPr>
          <w:rFonts w:hint="eastAsia"/>
          <w:szCs w:val="24"/>
        </w:rPr>
        <w:t>……</w:t>
      </w:r>
    </w:p>
    <w:p w14:paraId="711F850C">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7ED86C13">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58A3494B">
      <w:pPr>
        <w:wordWrap w:val="0"/>
        <w:spacing w:line="360" w:lineRule="auto"/>
        <w:ind w:left="1091" w:hanging="1091" w:hangingChars="453"/>
        <w:jc w:val="left"/>
        <w:rPr>
          <w:b/>
          <w:szCs w:val="21"/>
          <w:lang w:val="zh-CN"/>
        </w:rPr>
      </w:pPr>
    </w:p>
    <w:p w14:paraId="6D198B75">
      <w:pPr>
        <w:wordWrap w:val="0"/>
        <w:spacing w:line="360" w:lineRule="auto"/>
        <w:ind w:left="1091" w:hanging="1091" w:hangingChars="453"/>
        <w:jc w:val="left"/>
        <w:rPr>
          <w:bCs/>
          <w:szCs w:val="24"/>
        </w:rPr>
      </w:pPr>
      <w:r>
        <w:rPr>
          <w:rFonts w:hint="eastAsia"/>
          <w:b/>
          <w:szCs w:val="21"/>
          <w:lang w:val="zh-CN"/>
        </w:rPr>
        <w:t>说明：</w:t>
      </w:r>
      <w:r>
        <w:rPr>
          <w:rFonts w:hint="eastAsia"/>
          <w:bCs/>
          <w:szCs w:val="24"/>
        </w:rPr>
        <w:t>1、</w:t>
      </w:r>
      <w:r>
        <w:rPr>
          <w:rFonts w:hint="eastAsia"/>
          <w:bCs/>
          <w:szCs w:val="21"/>
          <w:lang w:val="zh-CN"/>
        </w:rPr>
        <w:t>应严格按上述格式及内容进行填写；</w:t>
      </w:r>
    </w:p>
    <w:p w14:paraId="0F90A738">
      <w:pPr>
        <w:wordWrap w:val="0"/>
        <w:spacing w:line="360" w:lineRule="auto"/>
        <w:ind w:left="1087" w:hanging="1087" w:hangingChars="453"/>
        <w:jc w:val="left"/>
        <w:rPr>
          <w:bCs/>
          <w:szCs w:val="21"/>
          <w:lang w:val="zh-CN"/>
        </w:rPr>
      </w:pPr>
      <w:r>
        <w:rPr>
          <w:rFonts w:hint="eastAsia"/>
          <w:bCs/>
          <w:szCs w:val="21"/>
          <w:lang w:val="zh-CN"/>
        </w:rPr>
        <w:t xml:space="preserve">      2、</w:t>
      </w:r>
      <w:r>
        <w:rPr>
          <w:rFonts w:hint="eastAsia" w:cs="Courier New"/>
          <w:szCs w:val="21"/>
        </w:rPr>
        <w:t>以联合体方式参与项目磋商的供应商，应由联合体各方盖章。</w:t>
      </w:r>
    </w:p>
    <w:p w14:paraId="28CF5DEF">
      <w:pPr>
        <w:wordWrap w:val="0"/>
        <w:spacing w:before="100" w:beforeAutospacing="1" w:after="100" w:afterAutospacing="1" w:line="360" w:lineRule="auto"/>
        <w:ind w:firstLine="3436" w:firstLineChars="1432"/>
        <w:rPr>
          <w:bCs/>
          <w:szCs w:val="21"/>
          <w:lang w:val="zh-CN"/>
        </w:rPr>
      </w:pPr>
      <w:r>
        <w:rPr>
          <w:rFonts w:hint="eastAsia"/>
          <w:bCs/>
          <w:szCs w:val="21"/>
          <w:lang w:val="zh-CN"/>
        </w:rPr>
        <w:t>供应商（公章）：</w:t>
      </w:r>
      <w:r>
        <w:rPr>
          <w:rFonts w:hint="eastAsia"/>
          <w:bCs/>
          <w:szCs w:val="21"/>
          <w:u w:val="single"/>
          <w:lang w:val="zh-CN"/>
        </w:rPr>
        <w:t xml:space="preserve">                              </w:t>
      </w:r>
    </w:p>
    <w:p w14:paraId="32414EE6">
      <w:pPr>
        <w:wordWrap w:val="0"/>
        <w:spacing w:before="100" w:beforeAutospacing="1" w:after="100" w:afterAutospacing="1" w:line="360" w:lineRule="auto"/>
        <w:ind w:firstLine="3436" w:firstLineChars="1432"/>
        <w:rPr>
          <w:bCs/>
          <w:szCs w:val="24"/>
          <w:u w:val="single"/>
        </w:rPr>
      </w:pPr>
      <w:r>
        <w:rPr>
          <w:rFonts w:hint="eastAsia"/>
          <w:szCs w:val="24"/>
        </w:rPr>
        <w:t>日 </w:t>
      </w:r>
      <w:r>
        <w:rPr>
          <w:szCs w:val="24"/>
        </w:rPr>
        <w:t xml:space="preserve"> </w:t>
      </w:r>
      <w:r>
        <w:rPr>
          <w:rFonts w:hint="eastAsia"/>
          <w:szCs w:val="24"/>
        </w:rPr>
        <w:t> 期：</w:t>
      </w:r>
      <w:r>
        <w:rPr>
          <w:bCs/>
          <w:szCs w:val="24"/>
          <w:u w:val="single"/>
        </w:rPr>
        <w:t xml:space="preserve">                      </w:t>
      </w:r>
      <w:r>
        <w:rPr>
          <w:rFonts w:hint="eastAsia"/>
          <w:bCs/>
          <w:szCs w:val="24"/>
          <w:u w:val="single"/>
        </w:rPr>
        <w:t xml:space="preserve">     </w:t>
      </w:r>
      <w:r>
        <w:rPr>
          <w:bCs/>
          <w:szCs w:val="24"/>
          <w:u w:val="single"/>
        </w:rPr>
        <w:t xml:space="preserve">        </w:t>
      </w:r>
    </w:p>
    <w:p w14:paraId="16BB9A4B">
      <w:pPr>
        <w:pStyle w:val="11"/>
        <w:wordWrap w:val="0"/>
        <w:spacing w:line="360" w:lineRule="auto"/>
      </w:pPr>
      <w:r>
        <w:br w:type="page"/>
      </w:r>
    </w:p>
    <w:p w14:paraId="5256818C">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-3：创新产品应用示范推荐目录内中小企业声明函（货物）</w:t>
      </w:r>
    </w:p>
    <w:p w14:paraId="2A98D545">
      <w:pPr>
        <w:wordWrap w:val="0"/>
        <w:adjustRightInd w:val="0"/>
        <w:snapToGrid w:val="0"/>
        <w:spacing w:line="360" w:lineRule="auto"/>
        <w:ind w:firstLine="435"/>
        <w:rPr>
          <w:rFonts w:cs="@仿宋_GB2312"/>
          <w:strike/>
          <w:spacing w:val="6"/>
          <w:szCs w:val="24"/>
        </w:rPr>
      </w:pPr>
      <w:r>
        <w:rPr>
          <w:rFonts w:hint="eastAsia" w:cs="@仿宋_GB2312"/>
          <w:spacing w:val="6"/>
          <w:szCs w:val="24"/>
        </w:rPr>
        <w:t>本公司（联合体）郑重声明，根据《政府采购促进中小企业发展管理办法》（财库〔2020〕46 号）和《关于落实稳住经济一揽子政策进一步加大政府采购支持中小企业力度的通知》（鄂财采发〔2022〕5号）的规定，本公司（联合体）参加</w:t>
      </w:r>
      <w:r>
        <w:rPr>
          <w:rFonts w:hint="eastAsia" w:cs="@仿宋_GB2312"/>
          <w:i/>
          <w:spacing w:val="6"/>
          <w:szCs w:val="24"/>
          <w:u w:val="single"/>
        </w:rPr>
        <w:t xml:space="preserve"> （单位名称） </w:t>
      </w:r>
      <w:r>
        <w:rPr>
          <w:rFonts w:hint="eastAsia" w:cs="@仿宋_GB2312"/>
          <w:spacing w:val="6"/>
          <w:szCs w:val="24"/>
        </w:rPr>
        <w:t>的</w:t>
      </w:r>
      <w:r>
        <w:rPr>
          <w:rFonts w:hint="eastAsia" w:cs="@仿宋_GB2312"/>
          <w:i/>
          <w:spacing w:val="6"/>
          <w:szCs w:val="24"/>
          <w:u w:val="single"/>
        </w:rPr>
        <w:t xml:space="preserve"> （项目名称） </w:t>
      </w:r>
      <w:r>
        <w:rPr>
          <w:rFonts w:hint="eastAsia" w:cs="@仿宋_GB2312"/>
          <w:spacing w:val="6"/>
          <w:szCs w:val="24"/>
        </w:rPr>
        <w:t>采购活动，提供的货物</w:t>
      </w:r>
      <w:r>
        <w:rPr>
          <w:rFonts w:hint="eastAsia" w:cs="@仿宋_GB2312"/>
          <w:b/>
          <w:spacing w:val="6"/>
          <w:szCs w:val="24"/>
        </w:rPr>
        <w:t>全部由</w:t>
      </w:r>
      <w:r>
        <w:rPr>
          <w:rFonts w:hint="eastAsia"/>
          <w:bCs/>
          <w:szCs w:val="24"/>
          <w:lang w:val="zh-CN"/>
        </w:rPr>
        <w:t>行政部门颁发的（有效期内）</w:t>
      </w:r>
      <w:r>
        <w:rPr>
          <w:rFonts w:hint="eastAsia" w:cs="@仿宋_GB2312"/>
          <w:spacing w:val="6"/>
          <w:szCs w:val="24"/>
        </w:rPr>
        <w:t>创新产品应用示范推荐</w:t>
      </w:r>
      <w:r>
        <w:rPr>
          <w:rFonts w:hint="eastAsia" w:cs="@仿宋_GB2312"/>
          <w:b/>
          <w:spacing w:val="6"/>
          <w:szCs w:val="24"/>
        </w:rPr>
        <w:t>目录内</w:t>
      </w:r>
      <w:r>
        <w:rPr>
          <w:rFonts w:hint="eastAsia" w:cs="@仿宋_GB2312"/>
          <w:spacing w:val="6"/>
          <w:szCs w:val="24"/>
        </w:rPr>
        <w:t>符合政策要求的</w:t>
      </w:r>
      <w:r>
        <w:rPr>
          <w:rFonts w:hint="eastAsia" w:cs="@仿宋_GB2312"/>
          <w:b/>
          <w:spacing w:val="6"/>
          <w:szCs w:val="24"/>
        </w:rPr>
        <w:t>中小企业制造</w:t>
      </w:r>
      <w:r>
        <w:rPr>
          <w:rFonts w:hint="eastAsia" w:cs="@仿宋_GB2312"/>
          <w:spacing w:val="6"/>
          <w:szCs w:val="24"/>
        </w:rPr>
        <w:t>。相关企业（含联合体中的企业、签订分包意向协议的企业）的具体情况如下：</w:t>
      </w:r>
    </w:p>
    <w:p w14:paraId="350A1BB0">
      <w:pPr>
        <w:wordWrap w:val="0"/>
        <w:adjustRightInd w:val="0"/>
        <w:snapToGrid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（货物1名称）</w:t>
      </w:r>
      <w:r>
        <w:rPr>
          <w:rFonts w:hint="eastAsia"/>
          <w:szCs w:val="24"/>
          <w:u w:val="single"/>
        </w:rPr>
        <w:t xml:space="preserve"> </w:t>
      </w:r>
      <w:r>
        <w:rPr>
          <w:rFonts w:hint="eastAsia"/>
          <w:szCs w:val="24"/>
        </w:rPr>
        <w:t>，属于</w:t>
      </w:r>
      <w:r>
        <w:rPr>
          <w:rFonts w:hint="eastAsia"/>
          <w:bCs/>
          <w:szCs w:val="24"/>
          <w:lang w:val="zh-CN"/>
        </w:rPr>
        <w:t>行政部门颁发的（有效期内）</w:t>
      </w:r>
      <w:r>
        <w:rPr>
          <w:rFonts w:hint="eastAsia"/>
          <w:szCs w:val="24"/>
        </w:rPr>
        <w:t>创新产品应用示范推荐目录内产品，属于</w:t>
      </w:r>
      <w:r>
        <w:rPr>
          <w:rFonts w:hint="eastAsia"/>
          <w:szCs w:val="24"/>
          <w:u w:val="single"/>
        </w:rPr>
        <w:t xml:space="preserve"> </w:t>
      </w:r>
      <w:r>
        <w:rPr>
          <w:rFonts w:hint="eastAsia"/>
          <w:i/>
          <w:szCs w:val="24"/>
          <w:u w:val="single"/>
        </w:rPr>
        <w:t>（采购文件中明确的所属行业）</w:t>
      </w:r>
      <w:r>
        <w:rPr>
          <w:rFonts w:hint="eastAsia"/>
          <w:szCs w:val="24"/>
        </w:rPr>
        <w:t>行业 ；制造商为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14:paraId="5DFC99E5">
      <w:pPr>
        <w:wordWrap w:val="0"/>
        <w:adjustRightInd w:val="0"/>
        <w:snapToGrid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（货物2名称）</w:t>
      </w:r>
      <w:r>
        <w:rPr>
          <w:rFonts w:hint="eastAsia"/>
          <w:szCs w:val="24"/>
          <w:u w:val="single"/>
        </w:rPr>
        <w:t xml:space="preserve"> </w:t>
      </w:r>
      <w:r>
        <w:rPr>
          <w:rFonts w:hint="eastAsia"/>
          <w:szCs w:val="24"/>
        </w:rPr>
        <w:t>，属于</w:t>
      </w:r>
      <w:r>
        <w:rPr>
          <w:rFonts w:hint="eastAsia"/>
          <w:bCs/>
          <w:szCs w:val="24"/>
          <w:lang w:val="zh-CN"/>
        </w:rPr>
        <w:t>行政部门颁发的（有效期内）</w:t>
      </w:r>
      <w:r>
        <w:rPr>
          <w:rFonts w:hint="eastAsia"/>
          <w:szCs w:val="24"/>
        </w:rPr>
        <w:t>创新产品应用示范推荐目录内产品，属于</w:t>
      </w:r>
      <w:r>
        <w:rPr>
          <w:rFonts w:hint="eastAsia"/>
          <w:szCs w:val="24"/>
          <w:u w:val="single"/>
        </w:rPr>
        <w:t xml:space="preserve"> </w:t>
      </w:r>
      <w:r>
        <w:rPr>
          <w:rFonts w:hint="eastAsia"/>
          <w:i/>
          <w:szCs w:val="24"/>
          <w:u w:val="single"/>
        </w:rPr>
        <w:t>（采购文件中明确的所属行业）</w:t>
      </w:r>
      <w:r>
        <w:rPr>
          <w:rFonts w:hint="eastAsia"/>
          <w:szCs w:val="24"/>
        </w:rPr>
        <w:t>行业 ；制造商为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14:paraId="22959CBA">
      <w:pPr>
        <w:wordWrap w:val="0"/>
        <w:adjustRightInd w:val="0"/>
        <w:snapToGrid w:val="0"/>
        <w:spacing w:line="360" w:lineRule="auto"/>
        <w:ind w:firstLine="480" w:firstLineChars="200"/>
        <w:rPr>
          <w:szCs w:val="24"/>
        </w:rPr>
      </w:pPr>
      <w:r>
        <w:rPr>
          <w:rFonts w:hint="eastAsia"/>
          <w:szCs w:val="24"/>
        </w:rPr>
        <w:t>……</w:t>
      </w:r>
    </w:p>
    <w:p w14:paraId="42DDBC2C">
      <w:pPr>
        <w:wordWrap w:val="0"/>
        <w:adjustRightInd w:val="0"/>
        <w:snapToGrid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6AFD5D30">
      <w:pPr>
        <w:wordWrap w:val="0"/>
        <w:adjustRightInd w:val="0"/>
        <w:snapToGrid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23E2DB44">
      <w:pPr>
        <w:wordWrap w:val="0"/>
        <w:adjustRightInd w:val="0"/>
        <w:snapToGrid w:val="0"/>
        <w:spacing w:line="360" w:lineRule="auto"/>
        <w:ind w:left="1091" w:hanging="1091" w:hangingChars="453"/>
        <w:jc w:val="left"/>
        <w:rPr>
          <w:b/>
          <w:bCs/>
          <w:szCs w:val="24"/>
        </w:rPr>
      </w:pPr>
    </w:p>
    <w:p w14:paraId="65FCE565">
      <w:pPr>
        <w:wordWrap w:val="0"/>
        <w:spacing w:line="360" w:lineRule="auto"/>
        <w:ind w:left="1091" w:hanging="1091" w:hangingChars="453"/>
        <w:jc w:val="left"/>
        <w:rPr>
          <w:bCs/>
          <w:szCs w:val="24"/>
        </w:rPr>
      </w:pPr>
      <w:r>
        <w:rPr>
          <w:rFonts w:hint="eastAsia"/>
          <w:b/>
          <w:bCs/>
          <w:szCs w:val="24"/>
        </w:rPr>
        <w:t>说明：</w:t>
      </w:r>
      <w:r>
        <w:rPr>
          <w:rFonts w:hint="eastAsia"/>
          <w:bCs/>
          <w:szCs w:val="24"/>
        </w:rPr>
        <w:t>1、</w:t>
      </w:r>
      <w:r>
        <w:rPr>
          <w:rFonts w:hint="eastAsia"/>
          <w:bCs/>
          <w:szCs w:val="21"/>
          <w:lang w:val="zh-CN"/>
        </w:rPr>
        <w:t>应严格按上述格式及内容进行填写；</w:t>
      </w:r>
    </w:p>
    <w:p w14:paraId="7CCEBA20">
      <w:pPr>
        <w:wordWrap w:val="0"/>
        <w:spacing w:line="360" w:lineRule="auto"/>
        <w:ind w:left="1087" w:hanging="1087" w:hangingChars="453"/>
        <w:jc w:val="left"/>
        <w:rPr>
          <w:bCs/>
          <w:szCs w:val="21"/>
          <w:lang w:val="zh-CN"/>
        </w:rPr>
      </w:pPr>
      <w:r>
        <w:rPr>
          <w:rFonts w:hint="eastAsia"/>
          <w:bCs/>
          <w:szCs w:val="21"/>
          <w:lang w:val="zh-CN"/>
        </w:rPr>
        <w:t xml:space="preserve">      2、</w:t>
      </w:r>
      <w:r>
        <w:rPr>
          <w:rFonts w:hint="eastAsia" w:cs="Courier New"/>
          <w:szCs w:val="21"/>
        </w:rPr>
        <w:t>以联合体方式参与项目磋商的供应商，应由联合体各方盖章。</w:t>
      </w:r>
    </w:p>
    <w:p w14:paraId="0AE15D09">
      <w:pPr>
        <w:wordWrap w:val="0"/>
        <w:spacing w:line="360" w:lineRule="auto"/>
        <w:ind w:left="1087" w:leftChars="350" w:hanging="247" w:hangingChars="103"/>
        <w:jc w:val="left"/>
        <w:rPr>
          <w:bCs/>
          <w:szCs w:val="21"/>
          <w:lang w:val="zh-CN"/>
        </w:rPr>
      </w:pPr>
      <w:r>
        <w:rPr>
          <w:rFonts w:hint="eastAsia"/>
          <w:bCs/>
          <w:szCs w:val="21"/>
          <w:lang w:val="zh-CN"/>
        </w:rPr>
        <w:t>3、应提供行政部门颁发的（有效期内）的创新产品应用示范推荐目录（所投产品应与清单中产品规格型号一致）。</w:t>
      </w:r>
    </w:p>
    <w:p w14:paraId="0B82DC19">
      <w:pPr>
        <w:wordWrap w:val="0"/>
        <w:adjustRightInd w:val="0"/>
        <w:snapToGrid w:val="0"/>
        <w:spacing w:before="100" w:beforeAutospacing="1" w:after="100" w:afterAutospacing="1" w:line="360" w:lineRule="auto"/>
        <w:ind w:firstLine="3436" w:firstLineChars="1432"/>
        <w:rPr>
          <w:bCs/>
          <w:szCs w:val="21"/>
          <w:lang w:val="zh-CN"/>
        </w:rPr>
      </w:pPr>
      <w:r>
        <w:rPr>
          <w:rFonts w:hint="eastAsia"/>
          <w:bCs/>
          <w:szCs w:val="21"/>
          <w:lang w:val="zh-CN"/>
        </w:rPr>
        <w:t>供应商（公章）：</w:t>
      </w:r>
      <w:r>
        <w:rPr>
          <w:rFonts w:hint="eastAsia"/>
          <w:bCs/>
          <w:szCs w:val="21"/>
          <w:u w:val="single"/>
          <w:lang w:val="zh-CN"/>
        </w:rPr>
        <w:t xml:space="preserve">                              </w:t>
      </w:r>
    </w:p>
    <w:p w14:paraId="4BEAD98A">
      <w:pPr>
        <w:wordWrap w:val="0"/>
        <w:adjustRightInd w:val="0"/>
        <w:snapToGrid w:val="0"/>
        <w:spacing w:before="100" w:beforeAutospacing="1" w:after="100" w:afterAutospacing="1" w:line="360" w:lineRule="auto"/>
        <w:ind w:firstLine="3436" w:firstLineChars="1432"/>
        <w:rPr>
          <w:b/>
          <w:sz w:val="28"/>
        </w:rPr>
      </w:pPr>
      <w:r>
        <w:rPr>
          <w:rFonts w:hint="eastAsia"/>
          <w:szCs w:val="24"/>
        </w:rPr>
        <w:t>日     期：</w:t>
      </w:r>
      <w:r>
        <w:rPr>
          <w:bCs/>
          <w:szCs w:val="24"/>
          <w:u w:val="single"/>
        </w:rPr>
        <w:t xml:space="preserve">                   </w:t>
      </w:r>
      <w:r>
        <w:rPr>
          <w:rFonts w:hint="eastAsia"/>
          <w:bCs/>
          <w:szCs w:val="24"/>
          <w:u w:val="single"/>
        </w:rPr>
        <w:t xml:space="preserve"> </w:t>
      </w:r>
      <w:r>
        <w:rPr>
          <w:bCs/>
          <w:szCs w:val="24"/>
          <w:u w:val="single"/>
        </w:rPr>
        <w:t xml:space="preserve">  </w:t>
      </w:r>
      <w:r>
        <w:rPr>
          <w:rFonts w:hint="eastAsia"/>
          <w:bCs/>
          <w:szCs w:val="24"/>
          <w:u w:val="single"/>
        </w:rPr>
        <w:t xml:space="preserve">  </w:t>
      </w:r>
      <w:r>
        <w:rPr>
          <w:bCs/>
          <w:szCs w:val="24"/>
          <w:u w:val="single"/>
        </w:rPr>
        <w:t xml:space="preserve">   </w:t>
      </w:r>
      <w:r>
        <w:rPr>
          <w:rFonts w:hint="eastAsia"/>
          <w:bCs/>
          <w:szCs w:val="24"/>
          <w:u w:val="single"/>
        </w:rPr>
        <w:t xml:space="preserve">    </w:t>
      </w:r>
      <w:r>
        <w:rPr>
          <w:bCs/>
          <w:szCs w:val="24"/>
          <w:u w:val="single"/>
        </w:rPr>
        <w:t xml:space="preserve">   </w:t>
      </w:r>
      <w:r>
        <w:br w:type="page"/>
      </w:r>
    </w:p>
    <w:p w14:paraId="6BD09AC8">
      <w:pPr>
        <w:pStyle w:val="6"/>
        <w:spacing w:before="260" w:after="260" w:line="360" w:lineRule="auto"/>
        <w:rPr>
          <w:rFonts w:ascii="宋体" w:hAnsi="宋体" w:eastAsia="宋体"/>
          <w:bCs/>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-4：节能环保产品中小企业声明函（货物）</w:t>
      </w:r>
    </w:p>
    <w:p w14:paraId="64599D08">
      <w:pPr>
        <w:wordWrap w:val="0"/>
        <w:spacing w:line="360" w:lineRule="auto"/>
        <w:ind w:firstLine="504" w:firstLineChars="200"/>
        <w:rPr>
          <w:rFonts w:cs="@仿宋_GB2312"/>
          <w:spacing w:val="6"/>
          <w:szCs w:val="24"/>
        </w:rPr>
      </w:pPr>
      <w:r>
        <w:rPr>
          <w:rFonts w:hint="eastAsia" w:cs="@仿宋_GB2312"/>
          <w:spacing w:val="6"/>
          <w:szCs w:val="24"/>
        </w:rPr>
        <w:t>本公司（联合体）郑重声明，根据《政府采购促进中小企业发展管理办法》（财库〔2020〕46 号）和《关于落实稳住经济一揽子政策进一步加大政府采购支持中小企业力度的通知》（鄂财采发〔2022〕5号）的规定，本公司（联合体）参加</w:t>
      </w:r>
      <w:r>
        <w:rPr>
          <w:rFonts w:hint="eastAsia" w:cs="@仿宋_GB2312"/>
          <w:i/>
          <w:spacing w:val="6"/>
          <w:szCs w:val="24"/>
          <w:u w:val="single"/>
        </w:rPr>
        <w:t xml:space="preserve"> （单位名称） </w:t>
      </w:r>
      <w:r>
        <w:rPr>
          <w:rFonts w:hint="eastAsia" w:cs="@仿宋_GB2312"/>
          <w:spacing w:val="6"/>
          <w:szCs w:val="24"/>
        </w:rPr>
        <w:t>的</w:t>
      </w:r>
      <w:r>
        <w:rPr>
          <w:rFonts w:hint="eastAsia" w:cs="@仿宋_GB2312"/>
          <w:i/>
          <w:spacing w:val="6"/>
          <w:szCs w:val="24"/>
          <w:u w:val="single"/>
        </w:rPr>
        <w:t xml:space="preserve"> （项目名称） </w:t>
      </w:r>
      <w:r>
        <w:rPr>
          <w:rFonts w:hint="eastAsia" w:cs="@仿宋_GB2312"/>
          <w:spacing w:val="6"/>
          <w:szCs w:val="24"/>
        </w:rPr>
        <w:t>采购活动，提供的货物</w:t>
      </w:r>
      <w:r>
        <w:rPr>
          <w:rFonts w:hint="eastAsia" w:cs="@仿宋_GB2312"/>
          <w:b/>
          <w:spacing w:val="6"/>
          <w:szCs w:val="24"/>
        </w:rPr>
        <w:t>全部</w:t>
      </w:r>
      <w:r>
        <w:rPr>
          <w:rFonts w:hint="eastAsia"/>
          <w:b/>
          <w:szCs w:val="24"/>
        </w:rPr>
        <w:t>获得</w:t>
      </w:r>
      <w:r>
        <w:rPr>
          <w:rFonts w:hint="eastAsia"/>
          <w:szCs w:val="24"/>
        </w:rPr>
        <w:t>节能产品或环境标志产品认证证书</w:t>
      </w:r>
      <w:r>
        <w:rPr>
          <w:rFonts w:hint="eastAsia" w:cs="@仿宋_GB2312"/>
          <w:b/>
          <w:spacing w:val="6"/>
          <w:szCs w:val="24"/>
        </w:rPr>
        <w:t>且由</w:t>
      </w:r>
      <w:r>
        <w:rPr>
          <w:rFonts w:hint="eastAsia" w:cs="@仿宋_GB2312"/>
          <w:spacing w:val="6"/>
          <w:szCs w:val="24"/>
        </w:rPr>
        <w:t>符合政策要求的</w:t>
      </w:r>
      <w:r>
        <w:rPr>
          <w:rFonts w:hint="eastAsia" w:cs="@仿宋_GB2312"/>
          <w:b/>
          <w:spacing w:val="6"/>
          <w:szCs w:val="24"/>
        </w:rPr>
        <w:t>中小企业制造</w:t>
      </w:r>
      <w:r>
        <w:rPr>
          <w:rFonts w:hint="eastAsia" w:cs="@仿宋_GB2312"/>
          <w:spacing w:val="6"/>
          <w:szCs w:val="24"/>
        </w:rPr>
        <w:t>。相关企业（含联合体中的企业、签订分包意向协议的企业）的具体情况如下：</w:t>
      </w:r>
    </w:p>
    <w:p w14:paraId="77ADA35D">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（货物1名称）</w:t>
      </w:r>
      <w:r>
        <w:rPr>
          <w:rFonts w:hint="eastAsia"/>
          <w:szCs w:val="24"/>
          <w:u w:val="single"/>
        </w:rPr>
        <w:t xml:space="preserve"> </w:t>
      </w:r>
      <w:r>
        <w:rPr>
          <w:rFonts w:hint="eastAsia"/>
          <w:szCs w:val="24"/>
        </w:rPr>
        <w:t>，属于政府优先采购《节能产品政府采购品目清单》或《环境标志产品政府采购品目清单》范围内且获得节能产品或环境标志产品认证证书的产品，属于</w:t>
      </w:r>
      <w:r>
        <w:rPr>
          <w:rFonts w:hint="eastAsia"/>
          <w:szCs w:val="24"/>
          <w:u w:val="single"/>
        </w:rPr>
        <w:t xml:space="preserve"> </w:t>
      </w:r>
      <w:r>
        <w:rPr>
          <w:rFonts w:hint="eastAsia"/>
          <w:i/>
          <w:szCs w:val="24"/>
          <w:u w:val="single"/>
        </w:rPr>
        <w:t xml:space="preserve">（采购文件中明确的所属行业）  </w:t>
      </w:r>
      <w:r>
        <w:rPr>
          <w:rFonts w:hint="eastAsia"/>
          <w:szCs w:val="24"/>
        </w:rPr>
        <w:t>行业，制造商为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14:paraId="27CEC679">
      <w:pPr>
        <w:wordWrap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（货物2名称）</w:t>
      </w:r>
      <w:r>
        <w:rPr>
          <w:rFonts w:hint="eastAsia"/>
          <w:szCs w:val="24"/>
          <w:u w:val="single"/>
        </w:rPr>
        <w:t xml:space="preserve"> </w:t>
      </w:r>
      <w:r>
        <w:rPr>
          <w:rFonts w:hint="eastAsia"/>
          <w:szCs w:val="24"/>
        </w:rPr>
        <w:t>，属于政府优先采购《节能产品政府采购品目清单》《环境标志产品政府采购品目清单》范围内且获得节能产品或环境标志产品认证证书的产品，属于</w:t>
      </w:r>
      <w:r>
        <w:rPr>
          <w:rFonts w:hint="eastAsia"/>
          <w:szCs w:val="24"/>
          <w:u w:val="single"/>
        </w:rPr>
        <w:t xml:space="preserve"> </w:t>
      </w:r>
      <w:r>
        <w:rPr>
          <w:rFonts w:hint="eastAsia"/>
          <w:i/>
          <w:szCs w:val="24"/>
          <w:u w:val="single"/>
        </w:rPr>
        <w:t xml:space="preserve">（采购文件中明确的所属行业） </w:t>
      </w:r>
      <w:r>
        <w:rPr>
          <w:rFonts w:hint="eastAsia"/>
          <w:szCs w:val="24"/>
        </w:rPr>
        <w:t>行业，制造商为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14:paraId="61CD4F0B">
      <w:pPr>
        <w:wordWrap w:val="0"/>
        <w:spacing w:line="360" w:lineRule="auto"/>
        <w:ind w:firstLine="480" w:firstLineChars="200"/>
        <w:rPr>
          <w:szCs w:val="24"/>
        </w:rPr>
      </w:pPr>
      <w:r>
        <w:rPr>
          <w:rFonts w:hint="eastAsia"/>
          <w:szCs w:val="24"/>
        </w:rPr>
        <w:t>……</w:t>
      </w:r>
    </w:p>
    <w:p w14:paraId="2457F161">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3B9527F0">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649A581B">
      <w:pPr>
        <w:wordWrap w:val="0"/>
        <w:spacing w:line="360" w:lineRule="auto"/>
        <w:ind w:left="1091" w:hanging="1091" w:hangingChars="453"/>
        <w:jc w:val="left"/>
        <w:rPr>
          <w:b/>
          <w:bCs/>
          <w:szCs w:val="24"/>
        </w:rPr>
      </w:pPr>
    </w:p>
    <w:p w14:paraId="2ADCF579">
      <w:pPr>
        <w:wordWrap w:val="0"/>
        <w:spacing w:line="360" w:lineRule="auto"/>
        <w:ind w:left="1091" w:hanging="1091" w:hangingChars="453"/>
        <w:jc w:val="left"/>
        <w:rPr>
          <w:bCs/>
          <w:szCs w:val="21"/>
          <w:lang w:val="zh-CN"/>
        </w:rPr>
      </w:pPr>
      <w:r>
        <w:rPr>
          <w:rFonts w:hint="eastAsia"/>
          <w:b/>
          <w:bCs/>
          <w:szCs w:val="24"/>
        </w:rPr>
        <w:t>说明：</w:t>
      </w:r>
      <w:r>
        <w:rPr>
          <w:rFonts w:hint="eastAsia"/>
          <w:bCs/>
          <w:szCs w:val="24"/>
        </w:rPr>
        <w:t>1、</w:t>
      </w:r>
      <w:r>
        <w:rPr>
          <w:rFonts w:hint="eastAsia"/>
          <w:bCs/>
          <w:szCs w:val="21"/>
          <w:lang w:val="zh-CN"/>
        </w:rPr>
        <w:t>应严格按上述格式及内容进行填写；</w:t>
      </w:r>
    </w:p>
    <w:p w14:paraId="63F92B1E">
      <w:pPr>
        <w:wordWrap w:val="0"/>
        <w:spacing w:line="360" w:lineRule="auto"/>
        <w:ind w:left="1087" w:hanging="1087" w:hangingChars="453"/>
        <w:jc w:val="left"/>
        <w:rPr>
          <w:lang w:val="zh-CN"/>
        </w:rPr>
      </w:pPr>
      <w:r>
        <w:rPr>
          <w:rFonts w:hint="eastAsia"/>
          <w:lang w:val="zh-CN"/>
        </w:rPr>
        <w:t xml:space="preserve">       </w:t>
      </w:r>
      <w:r>
        <w:rPr>
          <w:rFonts w:hint="eastAsia"/>
          <w:bCs/>
          <w:szCs w:val="21"/>
          <w:lang w:val="zh-CN"/>
        </w:rPr>
        <w:t>2、应提供节能环保产品在“品目清单”中的相关产品截图（所投产品应与清单中产品规格型号一致）。</w:t>
      </w:r>
    </w:p>
    <w:p w14:paraId="20148706">
      <w:pPr>
        <w:wordWrap w:val="0"/>
        <w:spacing w:line="360" w:lineRule="auto"/>
        <w:ind w:left="1087" w:hanging="1087" w:hangingChars="453"/>
        <w:jc w:val="left"/>
        <w:rPr>
          <w:rFonts w:cs="Courier New"/>
          <w:szCs w:val="21"/>
        </w:rPr>
      </w:pPr>
      <w:r>
        <w:rPr>
          <w:rFonts w:hint="eastAsia"/>
          <w:bCs/>
          <w:szCs w:val="21"/>
          <w:lang w:val="zh-CN"/>
        </w:rPr>
        <w:t xml:space="preserve">      3、</w:t>
      </w:r>
      <w:r>
        <w:rPr>
          <w:rFonts w:hint="eastAsia" w:cs="Courier New"/>
          <w:szCs w:val="21"/>
        </w:rPr>
        <w:t>以联合体方式参与项目磋商的供应商，应由联合体各方盖章。</w:t>
      </w:r>
    </w:p>
    <w:p w14:paraId="4AC82B47">
      <w:pPr>
        <w:wordWrap w:val="0"/>
        <w:spacing w:before="100" w:beforeAutospacing="1" w:after="100" w:afterAutospacing="1" w:line="360" w:lineRule="auto"/>
        <w:ind w:firstLine="3436" w:firstLineChars="1432"/>
        <w:rPr>
          <w:bCs/>
          <w:szCs w:val="21"/>
          <w:lang w:val="zh-CN"/>
        </w:rPr>
      </w:pPr>
      <w:r>
        <w:rPr>
          <w:rFonts w:hint="eastAsia"/>
          <w:bCs/>
          <w:szCs w:val="21"/>
          <w:lang w:val="zh-CN"/>
        </w:rPr>
        <w:t>供应商（公章）：</w:t>
      </w:r>
      <w:r>
        <w:rPr>
          <w:rFonts w:hint="eastAsia"/>
          <w:bCs/>
          <w:szCs w:val="21"/>
          <w:u w:val="single"/>
          <w:lang w:val="zh-CN"/>
        </w:rPr>
        <w:t xml:space="preserve">                              </w:t>
      </w:r>
    </w:p>
    <w:p w14:paraId="4CBB051F">
      <w:pPr>
        <w:wordWrap w:val="0"/>
        <w:spacing w:before="100" w:beforeAutospacing="1" w:after="100" w:afterAutospacing="1" w:line="360" w:lineRule="auto"/>
        <w:ind w:firstLine="3436" w:firstLineChars="1432"/>
        <w:rPr>
          <w:bCs/>
          <w:szCs w:val="24"/>
          <w:u w:val="single"/>
        </w:rPr>
      </w:pPr>
      <w:r>
        <w:rPr>
          <w:rFonts w:hint="eastAsia"/>
          <w:szCs w:val="24"/>
        </w:rPr>
        <w:t>日     期：</w:t>
      </w:r>
      <w:r>
        <w:rPr>
          <w:bCs/>
          <w:szCs w:val="24"/>
          <w:u w:val="single"/>
        </w:rPr>
        <w:t xml:space="preserve">                            </w:t>
      </w:r>
      <w:r>
        <w:rPr>
          <w:rFonts w:hint="eastAsia"/>
          <w:bCs/>
          <w:szCs w:val="24"/>
          <w:u w:val="single"/>
        </w:rPr>
        <w:t xml:space="preserve">  </w:t>
      </w:r>
      <w:r>
        <w:rPr>
          <w:bCs/>
          <w:szCs w:val="24"/>
          <w:u w:val="single"/>
        </w:rPr>
        <w:t xml:space="preserve">    </w:t>
      </w:r>
    </w:p>
    <w:p w14:paraId="2711F5CE">
      <w:pPr>
        <w:pStyle w:val="5"/>
        <w:numPr>
          <w:ilvl w:val="0"/>
          <w:numId w:val="58"/>
        </w:numPr>
        <w:spacing w:line="360" w:lineRule="auto"/>
        <w:ind w:left="567" w:hanging="567"/>
        <w:rPr>
          <w:bCs w:val="0"/>
          <w:sz w:val="24"/>
          <w:szCs w:val="24"/>
        </w:rPr>
      </w:pPr>
      <w:bookmarkStart w:id="479" w:name="_Toc106962850"/>
      <w:bookmarkStart w:id="480" w:name="_Toc107561305"/>
      <w:r>
        <w:rPr>
          <w:rFonts w:hint="eastAsia"/>
          <w:bCs w:val="0"/>
          <w:sz w:val="24"/>
          <w:szCs w:val="24"/>
        </w:rPr>
        <w:t>监狱企业证明文件</w:t>
      </w:r>
    </w:p>
    <w:p w14:paraId="6F1F6B40">
      <w:pPr>
        <w:adjustRightInd w:val="0"/>
        <w:snapToGrid w:val="0"/>
        <w:spacing w:line="360" w:lineRule="auto"/>
        <w:ind w:firstLine="480" w:firstLineChars="200"/>
        <w:jc w:val="left"/>
        <w:rPr>
          <w:szCs w:val="24"/>
        </w:rPr>
      </w:pPr>
      <w:r>
        <w:rPr>
          <w:rFonts w:hint="eastAsia"/>
          <w:szCs w:val="24"/>
        </w:rPr>
        <w:t>（</w:t>
      </w:r>
      <w:r>
        <w:rPr>
          <w:rFonts w:hint="eastAsia" w:ascii="楷体" w:hAnsi="楷体" w:eastAsia="楷体"/>
          <w:szCs w:val="24"/>
        </w:rPr>
        <w:t>监狱企业应提供由省级及以上监狱管理局、戒毒管理局（含新疆生产建设兵团）出具的监狱企业的证明文件，格式自行编写</w:t>
      </w:r>
      <w:r>
        <w:rPr>
          <w:rFonts w:hint="eastAsia"/>
          <w:szCs w:val="24"/>
        </w:rPr>
        <w:t>）</w:t>
      </w:r>
    </w:p>
    <w:p w14:paraId="1DA1CDBF">
      <w:pPr>
        <w:pStyle w:val="5"/>
        <w:numPr>
          <w:ilvl w:val="0"/>
          <w:numId w:val="58"/>
        </w:numPr>
        <w:spacing w:line="360" w:lineRule="auto"/>
        <w:ind w:left="567" w:hanging="567"/>
        <w:rPr>
          <w:bCs w:val="0"/>
          <w:sz w:val="24"/>
          <w:szCs w:val="24"/>
        </w:rPr>
      </w:pPr>
      <w:r>
        <w:rPr>
          <w:rFonts w:hint="eastAsia"/>
          <w:bCs w:val="0"/>
          <w:sz w:val="24"/>
          <w:szCs w:val="24"/>
        </w:rPr>
        <w:t>残疾人福利性单位声明函</w:t>
      </w:r>
      <w:bookmarkEnd w:id="479"/>
      <w:bookmarkEnd w:id="480"/>
    </w:p>
    <w:p w14:paraId="63B2427E">
      <w:pPr>
        <w:adjustRightInd w:val="0"/>
        <w:snapToGrid w:val="0"/>
        <w:spacing w:line="360" w:lineRule="auto"/>
        <w:ind w:firstLine="480" w:firstLineChars="200"/>
        <w:jc w:val="left"/>
        <w:rPr>
          <w:szCs w:val="24"/>
        </w:rPr>
      </w:pPr>
      <w:r>
        <w:rPr>
          <w:rFonts w:hint="eastAsia"/>
          <w:szCs w:val="24"/>
        </w:rPr>
        <w:t>（</w:t>
      </w:r>
      <w:r>
        <w:rPr>
          <w:rFonts w:hint="eastAsia" w:ascii="楷体" w:hAnsi="楷体" w:eastAsia="楷体"/>
          <w:szCs w:val="24"/>
        </w:rPr>
        <w:t>符合条件的可选择提供，专门面向或部分预留给中小企业采购的项目或采购包，承担预留份额的应选择提供</w:t>
      </w:r>
      <w:r>
        <w:rPr>
          <w:rFonts w:hint="eastAsia"/>
          <w:szCs w:val="24"/>
        </w:rPr>
        <w:t>）</w:t>
      </w:r>
    </w:p>
    <w:p w14:paraId="2744917A">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.5</w:t>
      </w:r>
      <w:r>
        <w:rPr>
          <w:rFonts w:hint="eastAsia" w:ascii="宋体" w:hAnsi="宋体" w:eastAsia="宋体"/>
          <w:sz w:val="24"/>
          <w:szCs w:val="24"/>
        </w:rPr>
        <w:t>-1：残疾人福利性单位声明函（货物）</w:t>
      </w:r>
    </w:p>
    <w:p w14:paraId="0436C5AB">
      <w:pPr>
        <w:wordWrap w:val="0"/>
        <w:spacing w:line="360" w:lineRule="auto"/>
        <w:ind w:firstLine="480" w:firstLineChars="200"/>
        <w:rPr>
          <w:szCs w:val="24"/>
        </w:rPr>
      </w:pPr>
      <w:r>
        <w:rPr>
          <w:rFonts w:hint="eastAsia"/>
          <w:szCs w:val="24"/>
        </w:rPr>
        <w:t>本公司（联合体）郑重声明，根据《财政部 民政部 中国残疾人联合会关于促进残疾人就业政府采购政策的通知》（财库〔2017〕141号）的规定，本公司（联合体）参加</w:t>
      </w:r>
      <w:r>
        <w:rPr>
          <w:rFonts w:hint="eastAsia"/>
          <w:szCs w:val="24"/>
          <w:u w:val="single"/>
        </w:rPr>
        <w:t xml:space="preserve"> （单位名称） </w:t>
      </w:r>
      <w:r>
        <w:rPr>
          <w:rFonts w:hint="eastAsia"/>
          <w:szCs w:val="24"/>
        </w:rPr>
        <w:t>的</w:t>
      </w:r>
      <w:r>
        <w:rPr>
          <w:rFonts w:hint="eastAsia"/>
          <w:szCs w:val="24"/>
          <w:u w:val="single"/>
        </w:rPr>
        <w:t xml:space="preserve"> （项目名称） </w:t>
      </w:r>
      <w:r>
        <w:rPr>
          <w:rFonts w:hint="eastAsia"/>
          <w:szCs w:val="24"/>
        </w:rPr>
        <w:t>采购活动，提供的货物</w:t>
      </w:r>
      <w:r>
        <w:rPr>
          <w:rFonts w:hint="eastAsia"/>
          <w:b/>
          <w:szCs w:val="24"/>
        </w:rPr>
        <w:t>全部由</w:t>
      </w:r>
      <w:r>
        <w:rPr>
          <w:rFonts w:hint="eastAsia"/>
          <w:szCs w:val="24"/>
        </w:rPr>
        <w:t>符合政策要求的</w:t>
      </w:r>
      <w:r>
        <w:rPr>
          <w:rFonts w:hint="eastAsia"/>
          <w:b/>
          <w:szCs w:val="24"/>
        </w:rPr>
        <w:t>残疾人福利性单位制造</w:t>
      </w:r>
      <w:r>
        <w:rPr>
          <w:rFonts w:hint="eastAsia"/>
          <w:szCs w:val="24"/>
        </w:rPr>
        <w:t>。相关企业（含联合体中的残疾人福利性单位、签订分包意向协议的残疾人福利性单位）的具体情况如下：</w:t>
      </w:r>
    </w:p>
    <w:p w14:paraId="39BC932E">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（货物1名称）</w:t>
      </w:r>
      <w:r>
        <w:rPr>
          <w:rFonts w:hint="eastAsia"/>
          <w:szCs w:val="24"/>
          <w:u w:val="single"/>
        </w:rPr>
        <w:t xml:space="preserve"> </w:t>
      </w:r>
      <w:r>
        <w:rPr>
          <w:rFonts w:hint="eastAsia"/>
          <w:szCs w:val="24"/>
        </w:rPr>
        <w:t xml:space="preserve">，制造商为 </w:t>
      </w:r>
      <w:r>
        <w:rPr>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7C73869A">
      <w:pPr>
        <w:wordWrap w:val="0"/>
        <w:spacing w:line="360" w:lineRule="auto"/>
        <w:ind w:firstLine="480" w:firstLineChars="200"/>
        <w:rPr>
          <w:szCs w:val="24"/>
        </w:rPr>
      </w:pPr>
      <w:r>
        <w:rPr>
          <w:rFonts w:hint="eastAsia"/>
          <w:szCs w:val="24"/>
        </w:rPr>
        <w:t xml:space="preserve">2. </w:t>
      </w:r>
      <w:r>
        <w:rPr>
          <w:rFonts w:hint="eastAsia"/>
          <w:i/>
          <w:szCs w:val="24"/>
          <w:u w:val="single"/>
        </w:rPr>
        <w:t>（货物2名称）</w:t>
      </w:r>
      <w:r>
        <w:rPr>
          <w:rFonts w:hint="eastAsia"/>
          <w:szCs w:val="24"/>
          <w:u w:val="single"/>
        </w:rPr>
        <w:t xml:space="preserve"> </w:t>
      </w:r>
      <w:r>
        <w:rPr>
          <w:rFonts w:hint="eastAsia"/>
          <w:szCs w:val="24"/>
        </w:rPr>
        <w:t xml:space="preserve">，制造商为 </w:t>
      </w:r>
      <w:r>
        <w:rPr>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75638F24">
      <w:pPr>
        <w:wordWrap w:val="0"/>
        <w:spacing w:line="360" w:lineRule="auto"/>
        <w:ind w:firstLine="480" w:firstLineChars="200"/>
        <w:rPr>
          <w:szCs w:val="24"/>
        </w:rPr>
      </w:pPr>
      <w:r>
        <w:rPr>
          <w:rFonts w:hint="eastAsia"/>
          <w:szCs w:val="24"/>
        </w:rPr>
        <w:t>……</w:t>
      </w:r>
    </w:p>
    <w:p w14:paraId="7AC54C88">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008601E9">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1E07D7B8">
      <w:pPr>
        <w:wordWrap w:val="0"/>
        <w:spacing w:line="360" w:lineRule="auto"/>
        <w:ind w:left="1091" w:hanging="1091" w:hangingChars="453"/>
        <w:jc w:val="left"/>
        <w:rPr>
          <w:b/>
          <w:bCs/>
          <w:szCs w:val="24"/>
        </w:rPr>
      </w:pPr>
    </w:p>
    <w:p w14:paraId="2830620A">
      <w:pPr>
        <w:wordWrap w:val="0"/>
        <w:spacing w:line="360" w:lineRule="auto"/>
        <w:ind w:left="1091" w:hanging="1091" w:hangingChars="453"/>
        <w:jc w:val="left"/>
        <w:rPr>
          <w:bCs/>
          <w:szCs w:val="24"/>
        </w:rPr>
      </w:pPr>
      <w:r>
        <w:rPr>
          <w:rFonts w:hint="eastAsia"/>
          <w:b/>
          <w:bCs/>
          <w:szCs w:val="24"/>
        </w:rPr>
        <w:t>说明：</w:t>
      </w:r>
      <w:r>
        <w:rPr>
          <w:rFonts w:hint="eastAsia"/>
          <w:bCs/>
          <w:szCs w:val="24"/>
        </w:rPr>
        <w:t>1、</w:t>
      </w:r>
      <w:r>
        <w:rPr>
          <w:rFonts w:hint="eastAsia"/>
          <w:bCs/>
          <w:szCs w:val="21"/>
          <w:lang w:val="zh-CN"/>
        </w:rPr>
        <w:t>应严格按上述格式及内容进行填写；</w:t>
      </w:r>
    </w:p>
    <w:p w14:paraId="2E4FB69D">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以联合体方式参与项目磋商的供应商，应由联合体各方盖章。</w:t>
      </w:r>
    </w:p>
    <w:p w14:paraId="0CF678BC">
      <w:pPr>
        <w:wordWrap w:val="0"/>
        <w:spacing w:before="100" w:beforeAutospacing="1" w:after="100" w:afterAutospacing="1" w:line="360" w:lineRule="auto"/>
        <w:ind w:firstLine="3316" w:firstLineChars="1382"/>
        <w:rPr>
          <w:bCs/>
          <w:szCs w:val="21"/>
          <w:lang w:val="zh-CN"/>
        </w:rPr>
      </w:pPr>
      <w:r>
        <w:rPr>
          <w:rFonts w:hint="eastAsia"/>
          <w:bCs/>
          <w:szCs w:val="21"/>
          <w:lang w:val="zh-CN"/>
        </w:rPr>
        <w:t>供应商</w:t>
      </w:r>
      <w:r>
        <w:rPr>
          <w:rFonts w:hint="eastAsia"/>
          <w:bCs/>
        </w:rPr>
        <w:t>（公章）</w:t>
      </w:r>
      <w:r>
        <w:rPr>
          <w:rFonts w:hint="eastAsia"/>
          <w:bCs/>
          <w:szCs w:val="21"/>
          <w:lang w:val="zh-CN"/>
        </w:rPr>
        <w:t>：</w:t>
      </w:r>
      <w:r>
        <w:rPr>
          <w:rFonts w:hint="eastAsia"/>
          <w:bCs/>
          <w:szCs w:val="21"/>
          <w:u w:val="single"/>
          <w:lang w:val="zh-CN"/>
        </w:rPr>
        <w:t xml:space="preserve">                         </w:t>
      </w:r>
    </w:p>
    <w:p w14:paraId="5D09F77B">
      <w:pPr>
        <w:wordWrap w:val="0"/>
        <w:spacing w:before="100" w:beforeAutospacing="1" w:after="100" w:afterAutospacing="1" w:line="360" w:lineRule="auto"/>
        <w:ind w:firstLine="3316" w:firstLineChars="1382"/>
        <w:rPr>
          <w:bCs/>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szCs w:val="24"/>
        </w:rPr>
        <w:t>日 </w:t>
      </w:r>
      <w:r>
        <w:rPr>
          <w:szCs w:val="24"/>
        </w:rPr>
        <w:t xml:space="preserve"> </w:t>
      </w:r>
      <w:r>
        <w:rPr>
          <w:rFonts w:hint="eastAsia"/>
          <w:szCs w:val="24"/>
        </w:rPr>
        <w:t> 期：</w:t>
      </w:r>
      <w:r>
        <w:rPr>
          <w:bCs/>
          <w:szCs w:val="24"/>
          <w:u w:val="single"/>
        </w:rPr>
        <w:t xml:space="preserve">                              </w:t>
      </w:r>
    </w:p>
    <w:p w14:paraId="185DE9F8">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.5</w:t>
      </w:r>
      <w:r>
        <w:rPr>
          <w:rFonts w:hint="eastAsia" w:ascii="宋体" w:hAnsi="宋体" w:eastAsia="宋体"/>
          <w:sz w:val="24"/>
          <w:szCs w:val="24"/>
        </w:rPr>
        <w:t>-2：残疾人福利性单位声明函（工程</w:t>
      </w:r>
      <w:r>
        <w:rPr>
          <w:rFonts w:ascii="宋体" w:hAnsi="宋体" w:eastAsia="宋体"/>
          <w:sz w:val="24"/>
          <w:szCs w:val="24"/>
        </w:rPr>
        <w:t>或</w:t>
      </w:r>
      <w:r>
        <w:rPr>
          <w:rFonts w:hint="eastAsia" w:ascii="宋体" w:hAnsi="宋体" w:eastAsia="宋体"/>
          <w:sz w:val="24"/>
          <w:szCs w:val="24"/>
        </w:rPr>
        <w:t>服务）</w:t>
      </w:r>
    </w:p>
    <w:p w14:paraId="7BB7448D">
      <w:pPr>
        <w:wordWrap w:val="0"/>
        <w:spacing w:line="360" w:lineRule="auto"/>
        <w:ind w:firstLine="480" w:firstLineChars="200"/>
        <w:rPr>
          <w:szCs w:val="24"/>
        </w:rPr>
      </w:pPr>
      <w:r>
        <w:rPr>
          <w:rFonts w:hint="eastAsia"/>
          <w:szCs w:val="24"/>
        </w:rPr>
        <w:t>本公司（联合体）郑重声明，根据《财政部 民政部 中国残疾人联合会关于促进残疾人就业政府采购政策的通知》（财库〔2017〕141号）的规定，本公司（联合体）参加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采购活动，工程</w:t>
      </w:r>
      <w:r>
        <w:rPr>
          <w:szCs w:val="24"/>
        </w:rPr>
        <w:t>（</w:t>
      </w:r>
      <w:r>
        <w:rPr>
          <w:rFonts w:hint="eastAsia"/>
          <w:szCs w:val="24"/>
        </w:rPr>
        <w:t>或服务）</w:t>
      </w:r>
      <w:r>
        <w:rPr>
          <w:rFonts w:hint="eastAsia"/>
          <w:b/>
          <w:szCs w:val="24"/>
        </w:rPr>
        <w:t>全部由</w:t>
      </w:r>
      <w:r>
        <w:rPr>
          <w:rFonts w:hint="eastAsia"/>
          <w:szCs w:val="24"/>
        </w:rPr>
        <w:t>符合政策要求的</w:t>
      </w:r>
      <w:r>
        <w:rPr>
          <w:rFonts w:hint="eastAsia"/>
          <w:b/>
          <w:szCs w:val="24"/>
        </w:rPr>
        <w:t>残疾人福利性单位承建</w:t>
      </w:r>
      <w:r>
        <w:rPr>
          <w:b/>
          <w:szCs w:val="24"/>
        </w:rPr>
        <w:t>（或</w:t>
      </w:r>
      <w:r>
        <w:rPr>
          <w:rFonts w:hint="eastAsia"/>
          <w:b/>
          <w:szCs w:val="24"/>
        </w:rPr>
        <w:t>承接）</w:t>
      </w:r>
      <w:r>
        <w:rPr>
          <w:rFonts w:hint="eastAsia"/>
          <w:szCs w:val="24"/>
        </w:rPr>
        <w:t>。相关企业（含联合体中的残疾人福利性单位、签订分包意向协议的残疾人福利性单位）的具体情况如下：</w:t>
      </w:r>
    </w:p>
    <w:p w14:paraId="4CDE86A2">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（工程</w:t>
      </w:r>
      <w:r>
        <w:rPr>
          <w:i/>
          <w:szCs w:val="24"/>
          <w:u w:val="single"/>
        </w:rPr>
        <w:t>或</w:t>
      </w:r>
      <w:r>
        <w:rPr>
          <w:rFonts w:hint="eastAsia"/>
          <w:i/>
          <w:szCs w:val="24"/>
          <w:u w:val="single"/>
        </w:rPr>
        <w:t>服务1名称）</w:t>
      </w:r>
      <w:r>
        <w:rPr>
          <w:rFonts w:hint="eastAsia"/>
          <w:szCs w:val="24"/>
          <w:u w:val="single"/>
        </w:rPr>
        <w:t xml:space="preserve"> </w:t>
      </w:r>
      <w:r>
        <w:rPr>
          <w:rFonts w:hint="eastAsia"/>
          <w:szCs w:val="24"/>
        </w:rPr>
        <w:t>，承建</w:t>
      </w:r>
      <w:r>
        <w:rPr>
          <w:szCs w:val="24"/>
        </w:rPr>
        <w:t>或</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4562AA15">
      <w:pPr>
        <w:wordWrap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（工程</w:t>
      </w:r>
      <w:r>
        <w:rPr>
          <w:i/>
          <w:szCs w:val="24"/>
          <w:u w:val="single"/>
        </w:rPr>
        <w:t>或</w:t>
      </w:r>
      <w:r>
        <w:rPr>
          <w:rFonts w:hint="eastAsia"/>
          <w:i/>
          <w:szCs w:val="24"/>
          <w:u w:val="single"/>
        </w:rPr>
        <w:t>服务2名称）</w:t>
      </w:r>
      <w:r>
        <w:rPr>
          <w:rFonts w:hint="eastAsia"/>
          <w:szCs w:val="24"/>
          <w:u w:val="single"/>
        </w:rPr>
        <w:t xml:space="preserve"> </w:t>
      </w:r>
      <w:r>
        <w:rPr>
          <w:rFonts w:hint="eastAsia"/>
          <w:szCs w:val="24"/>
        </w:rPr>
        <w:t>，承建</w:t>
      </w:r>
      <w:r>
        <w:rPr>
          <w:szCs w:val="24"/>
        </w:rPr>
        <w:t>或</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47BBB5C7">
      <w:pPr>
        <w:wordWrap w:val="0"/>
        <w:spacing w:line="360" w:lineRule="auto"/>
        <w:ind w:firstLine="480" w:firstLineChars="200"/>
        <w:rPr>
          <w:szCs w:val="24"/>
        </w:rPr>
      </w:pPr>
      <w:r>
        <w:rPr>
          <w:rFonts w:hint="eastAsia"/>
          <w:szCs w:val="24"/>
        </w:rPr>
        <w:t>……</w:t>
      </w:r>
    </w:p>
    <w:p w14:paraId="665D6914">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76D07723">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056C7D78">
      <w:pPr>
        <w:wordWrap w:val="0"/>
        <w:spacing w:line="360" w:lineRule="auto"/>
        <w:ind w:left="1091" w:hanging="1087" w:hangingChars="453"/>
        <w:jc w:val="left"/>
        <w:rPr>
          <w:b/>
          <w:szCs w:val="21"/>
          <w:lang w:val="zh-CN"/>
        </w:rPr>
      </w:pPr>
    </w:p>
    <w:p w14:paraId="6260643D">
      <w:pPr>
        <w:wordWrap w:val="0"/>
        <w:spacing w:line="360" w:lineRule="auto"/>
        <w:ind w:left="1091" w:hanging="1087" w:hangingChars="453"/>
        <w:jc w:val="left"/>
        <w:rPr>
          <w:bCs/>
          <w:szCs w:val="24"/>
        </w:rPr>
      </w:pPr>
      <w:r>
        <w:rPr>
          <w:rFonts w:hint="eastAsia"/>
          <w:b/>
          <w:szCs w:val="21"/>
          <w:lang w:val="zh-CN"/>
        </w:rPr>
        <w:t>说明：</w:t>
      </w:r>
      <w:r>
        <w:rPr>
          <w:rFonts w:hint="eastAsia"/>
          <w:bCs/>
          <w:szCs w:val="24"/>
        </w:rPr>
        <w:t>1、</w:t>
      </w:r>
      <w:r>
        <w:rPr>
          <w:rFonts w:hint="eastAsia"/>
          <w:bCs/>
          <w:szCs w:val="21"/>
          <w:lang w:val="zh-CN"/>
        </w:rPr>
        <w:t>应严格按上述格式及内容进行填写；</w:t>
      </w:r>
    </w:p>
    <w:p w14:paraId="502F62F3">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以联合体方式参与项目磋商的供应商，应由联合体各方盖章。</w:t>
      </w:r>
    </w:p>
    <w:p w14:paraId="6C8AAF7B">
      <w:pPr>
        <w:wordWrap w:val="0"/>
        <w:spacing w:before="100" w:beforeAutospacing="1" w:after="100" w:afterAutospacing="1" w:line="360" w:lineRule="auto"/>
        <w:ind w:firstLine="3316" w:firstLineChars="1382"/>
        <w:rPr>
          <w:bCs/>
          <w:szCs w:val="21"/>
          <w:lang w:val="zh-CN"/>
        </w:rPr>
      </w:pPr>
      <w:r>
        <w:rPr>
          <w:rFonts w:hint="eastAsia"/>
          <w:bCs/>
          <w:szCs w:val="21"/>
          <w:lang w:val="zh-CN"/>
        </w:rPr>
        <w:t>供应商</w:t>
      </w:r>
      <w:r>
        <w:rPr>
          <w:rFonts w:hint="eastAsia"/>
          <w:bCs/>
        </w:rPr>
        <w:t>（公章）</w:t>
      </w:r>
      <w:r>
        <w:rPr>
          <w:rFonts w:hint="eastAsia"/>
          <w:bCs/>
          <w:szCs w:val="21"/>
          <w:lang w:val="zh-CN"/>
        </w:rPr>
        <w:t>：</w:t>
      </w:r>
      <w:r>
        <w:rPr>
          <w:rFonts w:hint="eastAsia"/>
          <w:bCs/>
          <w:szCs w:val="21"/>
          <w:u w:val="single"/>
          <w:lang w:val="zh-CN"/>
        </w:rPr>
        <w:t xml:space="preserve">                         </w:t>
      </w:r>
    </w:p>
    <w:p w14:paraId="53BEFF66">
      <w:pPr>
        <w:wordWrap w:val="0"/>
        <w:spacing w:before="100" w:beforeAutospacing="1" w:after="100" w:afterAutospacing="1" w:line="360" w:lineRule="auto"/>
        <w:ind w:firstLine="3316" w:firstLineChars="1382"/>
        <w:rPr>
          <w:bCs/>
          <w:szCs w:val="24"/>
          <w:u w:val="single"/>
        </w:rPr>
      </w:pPr>
      <w:r>
        <w:rPr>
          <w:rFonts w:hint="eastAsia"/>
          <w:szCs w:val="24"/>
        </w:rPr>
        <w:t>日 </w:t>
      </w:r>
      <w:r>
        <w:rPr>
          <w:szCs w:val="24"/>
        </w:rPr>
        <w:t xml:space="preserve"> </w:t>
      </w:r>
      <w:r>
        <w:rPr>
          <w:rFonts w:hint="eastAsia"/>
          <w:szCs w:val="24"/>
        </w:rPr>
        <w:t> 期：</w:t>
      </w:r>
      <w:r>
        <w:rPr>
          <w:bCs/>
          <w:szCs w:val="24"/>
          <w:u w:val="single"/>
        </w:rPr>
        <w:t xml:space="preserve">                    </w:t>
      </w:r>
      <w:r>
        <w:rPr>
          <w:rFonts w:hint="eastAsia"/>
          <w:bCs/>
          <w:szCs w:val="24"/>
          <w:u w:val="single"/>
        </w:rPr>
        <w:t xml:space="preserve"> </w:t>
      </w:r>
      <w:r>
        <w:rPr>
          <w:bCs/>
          <w:szCs w:val="24"/>
          <w:u w:val="single"/>
        </w:rPr>
        <w:t xml:space="preserve">         </w:t>
      </w:r>
    </w:p>
    <w:p w14:paraId="0941D336">
      <w:pPr>
        <w:spacing w:line="360" w:lineRule="auto"/>
        <w:jc w:val="left"/>
        <w:rPr>
          <w:rFonts w:cs="@仿宋_GB2312"/>
          <w:b/>
          <w:szCs w:val="24"/>
        </w:rPr>
      </w:pPr>
      <w:r>
        <w:rPr>
          <w:rFonts w:hint="eastAsia" w:cs="@仿宋_GB2312"/>
          <w:b/>
          <w:szCs w:val="24"/>
        </w:rPr>
        <w:t>备注</w:t>
      </w:r>
      <w:r>
        <w:rPr>
          <w:rFonts w:cs="@仿宋_GB2312"/>
          <w:b/>
          <w:szCs w:val="24"/>
        </w:rPr>
        <w:t>：</w:t>
      </w:r>
    </w:p>
    <w:p w14:paraId="2078533F">
      <w:pPr>
        <w:wordWrap w:val="0"/>
        <w:adjustRightInd w:val="0"/>
        <w:snapToGrid w:val="0"/>
        <w:spacing w:line="360" w:lineRule="auto"/>
        <w:ind w:firstLine="480" w:firstLineChars="200"/>
        <w:jc w:val="left"/>
        <w:rPr>
          <w:rFonts w:asciiTheme="majorEastAsia" w:hAnsiTheme="majorEastAsia" w:eastAsiaTheme="majorEastAsia"/>
          <w:szCs w:val="24"/>
        </w:rPr>
      </w:pPr>
      <w:r>
        <w:rPr>
          <w:rFonts w:hint="eastAsia" w:cs="@仿宋_GB2312"/>
          <w:b/>
          <w:szCs w:val="24"/>
        </w:rPr>
        <w:t>（1）中小企业划型标准：</w:t>
      </w:r>
      <w:r>
        <w:rPr>
          <w:rFonts w:hint="eastAsia" w:asciiTheme="majorEastAsia" w:hAnsiTheme="majorEastAsia" w:eastAsiaTheme="majorEastAsia"/>
          <w:szCs w:val="24"/>
        </w:rPr>
        <w:t>依据</w:t>
      </w:r>
      <w:r>
        <w:rPr>
          <w:rFonts w:asciiTheme="majorEastAsia" w:hAnsiTheme="majorEastAsia" w:eastAsiaTheme="majorEastAsia"/>
          <w:szCs w:val="24"/>
        </w:rPr>
        <w:t>工业和信息化部 国家统计局 国家发改委 财政部</w:t>
      </w:r>
      <w:r>
        <w:rPr>
          <w:rFonts w:hint="eastAsia" w:asciiTheme="majorEastAsia" w:hAnsiTheme="majorEastAsia" w:eastAsiaTheme="majorEastAsia"/>
          <w:szCs w:val="24"/>
        </w:rPr>
        <w:t>《</w:t>
      </w:r>
      <w:r>
        <w:rPr>
          <w:rFonts w:asciiTheme="majorEastAsia" w:hAnsiTheme="majorEastAsia" w:eastAsiaTheme="majorEastAsia"/>
          <w:szCs w:val="24"/>
        </w:rPr>
        <w:t>关于印发中小企业划型标准规定的通知</w:t>
      </w:r>
      <w:r>
        <w:rPr>
          <w:rFonts w:hint="eastAsia" w:asciiTheme="majorEastAsia" w:hAnsiTheme="majorEastAsia" w:eastAsiaTheme="majorEastAsia"/>
          <w:szCs w:val="24"/>
        </w:rPr>
        <w:t>》</w:t>
      </w:r>
      <w:r>
        <w:rPr>
          <w:rFonts w:asciiTheme="majorEastAsia" w:hAnsiTheme="majorEastAsia" w:eastAsiaTheme="majorEastAsia"/>
          <w:szCs w:val="24"/>
        </w:rPr>
        <w:t>（工信部联企业〔2011〕300号）</w:t>
      </w:r>
      <w:r>
        <w:rPr>
          <w:rFonts w:hint="eastAsia" w:asciiTheme="majorEastAsia" w:hAnsiTheme="majorEastAsia" w:eastAsiaTheme="majorEastAsia"/>
          <w:szCs w:val="24"/>
        </w:rPr>
        <w:t>（</w:t>
      </w:r>
      <w:r>
        <w:fldChar w:fldCharType="begin"/>
      </w:r>
      <w:r>
        <w:instrText xml:space="preserve"> HYPERLINK "https://www.miit.gov.cn/jgsj/qyj/wjfb/art/2020/art_235af1ade45c4865957adeed23f9d949.html" </w:instrText>
      </w:r>
      <w:r>
        <w:fldChar w:fldCharType="separate"/>
      </w:r>
      <w:r>
        <w:rPr>
          <w:rStyle w:val="35"/>
          <w:rFonts w:asciiTheme="majorEastAsia" w:hAnsiTheme="majorEastAsia" w:eastAsiaTheme="majorEastAsia"/>
          <w:color w:val="auto"/>
          <w:szCs w:val="24"/>
        </w:rPr>
        <w:t>https://www.miit.gov.cn/jgsj/qyj/wjfb/art/2020/art_235af1ade45c4865957adeed23f9d949.html</w:t>
      </w:r>
      <w:r>
        <w:rPr>
          <w:rStyle w:val="35"/>
          <w:rFonts w:asciiTheme="majorEastAsia" w:hAnsiTheme="majorEastAsia" w:eastAsiaTheme="majorEastAsia"/>
          <w:color w:val="auto"/>
          <w:szCs w:val="24"/>
        </w:rPr>
        <w:fldChar w:fldCharType="end"/>
      </w:r>
      <w:r>
        <w:rPr>
          <w:rFonts w:hint="eastAsia" w:asciiTheme="majorEastAsia" w:hAnsiTheme="majorEastAsia" w:eastAsiaTheme="majorEastAsia"/>
          <w:szCs w:val="24"/>
        </w:rPr>
        <w:t>）。供应商可通过工业和信息化部开发的中小企业规模类型自测小程序在线自测，国务院客户端和工业和信息化部网站（</w:t>
      </w:r>
      <w:r>
        <w:fldChar w:fldCharType="begin"/>
      </w:r>
      <w:r>
        <w:instrText xml:space="preserve"> HYPERLINK "https://www.miit.gov.cn/jgsj/qyj/gzdt/art/2020/art_2b95d74c127649649c10be4ef6044609.html" </w:instrText>
      </w:r>
      <w:r>
        <w:fldChar w:fldCharType="separate"/>
      </w:r>
      <w:r>
        <w:rPr>
          <w:rStyle w:val="35"/>
          <w:rFonts w:asciiTheme="majorEastAsia" w:hAnsiTheme="majorEastAsia" w:eastAsiaTheme="majorEastAsia"/>
          <w:color w:val="auto"/>
          <w:szCs w:val="24"/>
        </w:rPr>
        <w:t>https://www.miit.gov.cn/jgsj/qyj/gzdt/art/2020/art_2b95d74c127649649c10be4ef6044609.html</w:t>
      </w:r>
      <w:r>
        <w:rPr>
          <w:rStyle w:val="35"/>
          <w:rFonts w:asciiTheme="majorEastAsia" w:hAnsiTheme="majorEastAsia" w:eastAsiaTheme="majorEastAsia"/>
          <w:color w:val="auto"/>
          <w:szCs w:val="24"/>
        </w:rPr>
        <w:fldChar w:fldCharType="end"/>
      </w:r>
      <w:r>
        <w:rPr>
          <w:rFonts w:hint="eastAsia" w:asciiTheme="majorEastAsia" w:hAnsiTheme="majorEastAsia" w:eastAsiaTheme="majorEastAsia"/>
          <w:szCs w:val="24"/>
        </w:rPr>
        <w:t xml:space="preserve"> ）上均有小程序链接。</w:t>
      </w:r>
    </w:p>
    <w:p w14:paraId="6BD7A3F6">
      <w:pPr>
        <w:wordWrap w:val="0"/>
        <w:adjustRightInd w:val="0"/>
        <w:snapToGrid w:val="0"/>
        <w:spacing w:line="360" w:lineRule="auto"/>
        <w:ind w:firstLine="480" w:firstLineChars="200"/>
        <w:jc w:val="left"/>
        <w:rPr>
          <w:rFonts w:asciiTheme="majorEastAsia" w:hAnsiTheme="majorEastAsia" w:eastAsiaTheme="majorEastAsia"/>
          <w:szCs w:val="24"/>
        </w:rPr>
      </w:pPr>
      <w:r>
        <w:rPr>
          <w:rFonts w:hint="eastAsia" w:cs="@仿宋_GB2312" w:asciiTheme="majorEastAsia" w:hAnsiTheme="majorEastAsia" w:eastAsiaTheme="majorEastAsia"/>
          <w:b/>
          <w:szCs w:val="24"/>
        </w:rPr>
        <w:t>（2</w:t>
      </w:r>
      <w:r>
        <w:rPr>
          <w:rFonts w:cs="@仿宋_GB2312" w:asciiTheme="majorEastAsia" w:hAnsiTheme="majorEastAsia" w:eastAsiaTheme="majorEastAsia"/>
          <w:b/>
          <w:szCs w:val="24"/>
        </w:rPr>
        <w:t>）</w:t>
      </w:r>
      <w:r>
        <w:rPr>
          <w:rFonts w:hint="eastAsia" w:cs="@仿宋_GB2312" w:asciiTheme="majorEastAsia" w:hAnsiTheme="majorEastAsia" w:eastAsiaTheme="majorEastAsia"/>
          <w:b/>
          <w:szCs w:val="24"/>
        </w:rPr>
        <w:t>创新产品应用示范推荐目录：</w:t>
      </w:r>
      <w:r>
        <w:rPr>
          <w:rFonts w:hint="eastAsia" w:asciiTheme="majorEastAsia" w:hAnsiTheme="majorEastAsia" w:eastAsiaTheme="majorEastAsia"/>
          <w:szCs w:val="24"/>
        </w:rPr>
        <w:t>依据行政部门颁发的（有效期内）的创新产品应用示范推荐目录。</w:t>
      </w:r>
    </w:p>
    <w:p w14:paraId="6CC5CA8F">
      <w:pPr>
        <w:wordWrap w:val="0"/>
        <w:adjustRightInd w:val="0"/>
        <w:snapToGrid w:val="0"/>
        <w:spacing w:line="360" w:lineRule="auto"/>
        <w:ind w:firstLine="480" w:firstLineChars="200"/>
        <w:rPr>
          <w:rFonts w:asciiTheme="majorEastAsia" w:hAnsiTheme="majorEastAsia" w:eastAsiaTheme="majorEastAsia"/>
          <w:szCs w:val="24"/>
        </w:rPr>
      </w:pPr>
      <w:r>
        <w:rPr>
          <w:rFonts w:hint="eastAsia" w:asciiTheme="majorEastAsia" w:hAnsiTheme="majorEastAsia" w:eastAsiaTheme="majorEastAsia"/>
          <w:b/>
          <w:szCs w:val="24"/>
        </w:rPr>
        <w:t>（3</w:t>
      </w:r>
      <w:r>
        <w:rPr>
          <w:rFonts w:asciiTheme="majorEastAsia" w:hAnsiTheme="majorEastAsia" w:eastAsiaTheme="majorEastAsia"/>
          <w:b/>
          <w:szCs w:val="24"/>
        </w:rPr>
        <w:t>）</w:t>
      </w:r>
      <w:r>
        <w:rPr>
          <w:rFonts w:hint="eastAsia" w:asciiTheme="majorEastAsia" w:hAnsiTheme="majorEastAsia" w:eastAsiaTheme="majorEastAsia"/>
          <w:b/>
          <w:szCs w:val="24"/>
        </w:rPr>
        <w:t>节能</w:t>
      </w:r>
      <w:r>
        <w:rPr>
          <w:rFonts w:hint="eastAsia" w:cs="@仿宋_GB2312" w:asciiTheme="majorEastAsia" w:hAnsiTheme="majorEastAsia" w:eastAsiaTheme="majorEastAsia"/>
          <w:b/>
          <w:szCs w:val="24"/>
        </w:rPr>
        <w:t>环保</w:t>
      </w:r>
      <w:r>
        <w:rPr>
          <w:rFonts w:hint="eastAsia" w:asciiTheme="majorEastAsia" w:hAnsiTheme="majorEastAsia" w:eastAsiaTheme="majorEastAsia"/>
          <w:b/>
          <w:szCs w:val="24"/>
        </w:rPr>
        <w:t>产品：</w:t>
      </w:r>
      <w:r>
        <w:rPr>
          <w:rFonts w:hint="eastAsia" w:asciiTheme="majorEastAsia" w:hAnsiTheme="majorEastAsia" w:eastAsiaTheme="majorEastAsia"/>
          <w:szCs w:val="24"/>
        </w:rPr>
        <w:t>依据财政部《关于印发节能产品政府采购品目清单的通知》（财库〔2019〕19号）（</w:t>
      </w:r>
      <w:r>
        <w:fldChar w:fldCharType="begin"/>
      </w:r>
      <w:r>
        <w:instrText xml:space="preserve"> HYPERLINK "http://www.ccgp.gov.cn/zcfg/mof/201904/t20190403_11849836.htm" </w:instrText>
      </w:r>
      <w:r>
        <w:fldChar w:fldCharType="separate"/>
      </w:r>
      <w:r>
        <w:rPr>
          <w:rStyle w:val="35"/>
          <w:rFonts w:asciiTheme="majorEastAsia" w:hAnsiTheme="majorEastAsia" w:eastAsiaTheme="majorEastAsia"/>
          <w:color w:val="auto"/>
          <w:szCs w:val="24"/>
        </w:rPr>
        <w:t>http://www.ccgp.gov.cn/zcfg/mof/201904/t20190403_11849836.htm</w:t>
      </w:r>
      <w:r>
        <w:rPr>
          <w:rStyle w:val="35"/>
          <w:rFonts w:asciiTheme="majorEastAsia" w:hAnsiTheme="majorEastAsia" w:eastAsiaTheme="majorEastAsia"/>
          <w:color w:val="auto"/>
          <w:szCs w:val="24"/>
        </w:rPr>
        <w:fldChar w:fldCharType="end"/>
      </w:r>
      <w:r>
        <w:rPr>
          <w:rFonts w:hint="eastAsia" w:asciiTheme="majorEastAsia" w:hAnsiTheme="majorEastAsia" w:eastAsiaTheme="majorEastAsia"/>
          <w:szCs w:val="24"/>
        </w:rPr>
        <w:t xml:space="preserve"> ）、《关于印发环境标志产品政府采购品目清单的通知》（财库〔2019〕18号）（</w:t>
      </w:r>
      <w:r>
        <w:fldChar w:fldCharType="begin"/>
      </w:r>
      <w:r>
        <w:instrText xml:space="preserve"> HYPERLINK "http://www.ccgp.gov.cn/zcfg/mof/201903/t20190330_11833800.htm" </w:instrText>
      </w:r>
      <w:r>
        <w:fldChar w:fldCharType="separate"/>
      </w:r>
      <w:r>
        <w:rPr>
          <w:rStyle w:val="35"/>
          <w:rFonts w:asciiTheme="majorEastAsia" w:hAnsiTheme="majorEastAsia" w:eastAsiaTheme="majorEastAsia"/>
          <w:color w:val="auto"/>
          <w:szCs w:val="24"/>
        </w:rPr>
        <w:t>http://www.ccgp.gov.cn/zcfg/mof/201903/t20190330_11833800.htm</w:t>
      </w:r>
      <w:r>
        <w:rPr>
          <w:rStyle w:val="35"/>
          <w:rFonts w:asciiTheme="majorEastAsia" w:hAnsiTheme="majorEastAsia" w:eastAsiaTheme="majorEastAsia"/>
          <w:color w:val="auto"/>
          <w:szCs w:val="24"/>
        </w:rPr>
        <w:fldChar w:fldCharType="end"/>
      </w:r>
      <w:r>
        <w:rPr>
          <w:rFonts w:hint="eastAsia" w:asciiTheme="majorEastAsia" w:hAnsiTheme="majorEastAsia" w:eastAsiaTheme="majorEastAsia"/>
          <w:szCs w:val="24"/>
        </w:rPr>
        <w:t xml:space="preserve"> ）。</w:t>
      </w:r>
    </w:p>
    <w:p w14:paraId="4C135A51">
      <w:pPr>
        <w:wordWrap w:val="0"/>
        <w:adjustRightInd w:val="0"/>
        <w:snapToGrid w:val="0"/>
        <w:spacing w:line="360" w:lineRule="auto"/>
        <w:ind w:firstLine="480" w:firstLineChars="200"/>
        <w:rPr>
          <w:rStyle w:val="35"/>
          <w:rFonts w:asciiTheme="majorEastAsia" w:hAnsiTheme="majorEastAsia" w:eastAsiaTheme="majorEastAsia"/>
          <w:color w:val="auto"/>
          <w:szCs w:val="24"/>
        </w:rPr>
      </w:pPr>
      <w:r>
        <w:rPr>
          <w:rFonts w:hint="eastAsia" w:asciiTheme="majorEastAsia" w:hAnsiTheme="majorEastAsia" w:eastAsiaTheme="majorEastAsia"/>
          <w:b/>
          <w:bCs/>
          <w:szCs w:val="24"/>
        </w:rPr>
        <w:t>（</w:t>
      </w:r>
      <w:r>
        <w:rPr>
          <w:rFonts w:asciiTheme="majorEastAsia" w:hAnsiTheme="majorEastAsia" w:eastAsiaTheme="majorEastAsia"/>
          <w:b/>
          <w:bCs/>
          <w:szCs w:val="24"/>
        </w:rPr>
        <w:t>4）</w:t>
      </w:r>
      <w:r>
        <w:rPr>
          <w:rFonts w:hint="eastAsia" w:asciiTheme="majorEastAsia" w:hAnsiTheme="majorEastAsia" w:eastAsiaTheme="majorEastAsia"/>
          <w:b/>
          <w:bCs/>
          <w:szCs w:val="24"/>
        </w:rPr>
        <w:t>享受政府采购支持政策的残疾人福利性单位的标准：</w:t>
      </w:r>
      <w:r>
        <w:rPr>
          <w:rFonts w:hint="eastAsia" w:asciiTheme="majorEastAsia" w:hAnsiTheme="majorEastAsia" w:eastAsiaTheme="majorEastAsia"/>
          <w:szCs w:val="24"/>
        </w:rPr>
        <w:t>依据财政部民政部中国残疾人联合会关于促进残疾人就业政府采购政策的通知（财库〔2017〕141号)</w:t>
      </w:r>
      <w:r>
        <w:rPr>
          <w:rStyle w:val="35"/>
          <w:rFonts w:hint="eastAsia" w:asciiTheme="majorEastAsia" w:hAnsiTheme="majorEastAsia" w:eastAsiaTheme="majorEastAsia"/>
          <w:color w:val="auto"/>
          <w:szCs w:val="24"/>
        </w:rPr>
        <w:t>（</w:t>
      </w:r>
      <w:r>
        <w:fldChar w:fldCharType="begin"/>
      </w:r>
      <w:r>
        <w:instrText xml:space="preserve"> HYPERLINK "http://www.ccgp.gov.cn/zcfg/mof/201709/t20170904_8787205.htm" </w:instrText>
      </w:r>
      <w:r>
        <w:fldChar w:fldCharType="separate"/>
      </w:r>
      <w:r>
        <w:rPr>
          <w:rStyle w:val="35"/>
          <w:rFonts w:asciiTheme="majorEastAsia" w:hAnsiTheme="majorEastAsia" w:eastAsiaTheme="majorEastAsia"/>
          <w:color w:val="auto"/>
          <w:szCs w:val="24"/>
        </w:rPr>
        <w:t>http://www.ccgp.gov.cn/zcfg/mof/201709/t20170904_8787205.htm</w:t>
      </w:r>
      <w:r>
        <w:rPr>
          <w:rStyle w:val="35"/>
          <w:rFonts w:asciiTheme="majorEastAsia" w:hAnsiTheme="majorEastAsia" w:eastAsiaTheme="majorEastAsia"/>
          <w:color w:val="auto"/>
          <w:szCs w:val="24"/>
        </w:rPr>
        <w:fldChar w:fldCharType="end"/>
      </w:r>
      <w:r>
        <w:rPr>
          <w:rStyle w:val="35"/>
          <w:rFonts w:hint="eastAsia" w:asciiTheme="majorEastAsia" w:hAnsiTheme="majorEastAsia" w:eastAsiaTheme="majorEastAsia"/>
          <w:color w:val="auto"/>
          <w:szCs w:val="24"/>
        </w:rPr>
        <w:t>）</w:t>
      </w:r>
    </w:p>
    <w:p w14:paraId="0AC43BD2">
      <w:pPr>
        <w:pStyle w:val="11"/>
        <w:spacing w:line="360" w:lineRule="auto"/>
      </w:pPr>
    </w:p>
    <w:p w14:paraId="1AEE92E3">
      <w:pPr>
        <w:pStyle w:val="11"/>
        <w:spacing w:line="360" w:lineRule="auto"/>
      </w:pPr>
    </w:p>
    <w:p w14:paraId="0EA73772"/>
    <w:p w14:paraId="07066DEE">
      <w:pPr>
        <w:pStyle w:val="2"/>
      </w:pPr>
    </w:p>
    <w:p w14:paraId="4E3ED9DB"/>
    <w:p w14:paraId="6054E61A">
      <w:pPr>
        <w:pStyle w:val="2"/>
      </w:pPr>
    </w:p>
    <w:p w14:paraId="5C255970"/>
    <w:p w14:paraId="1A3C27F1">
      <w:pPr>
        <w:pStyle w:val="2"/>
      </w:pPr>
    </w:p>
    <w:p w14:paraId="7AADE8EA"/>
    <w:p w14:paraId="5871E758">
      <w:pPr>
        <w:pStyle w:val="2"/>
      </w:pPr>
    </w:p>
    <w:p w14:paraId="573C13D1"/>
    <w:p w14:paraId="538690AC">
      <w:pPr>
        <w:pStyle w:val="2"/>
      </w:pPr>
    </w:p>
    <w:p w14:paraId="49F2E82B"/>
    <w:p w14:paraId="20163906">
      <w:pPr>
        <w:pStyle w:val="2"/>
      </w:pPr>
    </w:p>
    <w:p w14:paraId="0AC77942"/>
    <w:p w14:paraId="16C20689">
      <w:pPr>
        <w:pStyle w:val="2"/>
      </w:pPr>
    </w:p>
    <w:p w14:paraId="382B242D"/>
    <w:p w14:paraId="2AB3A666">
      <w:pPr>
        <w:pStyle w:val="2"/>
      </w:pPr>
    </w:p>
    <w:p w14:paraId="4566453A"/>
    <w:p w14:paraId="71281800">
      <w:pPr>
        <w:pStyle w:val="2"/>
      </w:pPr>
    </w:p>
    <w:p w14:paraId="2960562E"/>
    <w:p w14:paraId="60609AF2">
      <w:pPr>
        <w:pStyle w:val="2"/>
      </w:pPr>
    </w:p>
    <w:p w14:paraId="14F75593"/>
    <w:p w14:paraId="254145EA">
      <w:pPr>
        <w:pStyle w:val="2"/>
      </w:pPr>
    </w:p>
    <w:p w14:paraId="4D3514D6"/>
    <w:p w14:paraId="5358FBF1">
      <w:pPr>
        <w:pStyle w:val="4"/>
        <w:numPr>
          <w:ilvl w:val="0"/>
          <w:numId w:val="50"/>
        </w:numPr>
        <w:tabs>
          <w:tab w:val="left" w:pos="567"/>
        </w:tabs>
        <w:spacing w:before="0" w:after="0" w:line="360" w:lineRule="auto"/>
        <w:ind w:left="482" w:hanging="480" w:hangingChars="200"/>
        <w:jc w:val="left"/>
        <w:rPr>
          <w:rFonts w:ascii="宋体" w:hAnsi="宋体" w:eastAsia="宋体" w:cs="Times New Roman"/>
          <w:sz w:val="24"/>
          <w:szCs w:val="24"/>
          <w:lang w:val="zh-CN"/>
        </w:rPr>
      </w:pPr>
      <w:bookmarkStart w:id="481" w:name="_Toc122527553"/>
      <w:bookmarkStart w:id="482" w:name="_Toc117244382"/>
      <w:bookmarkStart w:id="483" w:name="_Toc117244497"/>
      <w:r>
        <w:rPr>
          <w:rFonts w:hint="eastAsia"/>
          <w:sz w:val="24"/>
          <w:szCs w:val="21"/>
        </w:rPr>
        <w:t>特定</w:t>
      </w:r>
      <w:r>
        <w:rPr>
          <w:rFonts w:hint="eastAsia" w:ascii="宋体" w:hAnsi="宋体" w:eastAsia="宋体" w:cs="Times New Roman"/>
          <w:sz w:val="24"/>
          <w:szCs w:val="24"/>
          <w:lang w:val="zh-CN"/>
        </w:rPr>
        <w:t>资格要求的证明材料</w:t>
      </w:r>
      <w:bookmarkEnd w:id="481"/>
    </w:p>
    <w:p w14:paraId="2725EACE">
      <w:pPr>
        <w:spacing w:line="360" w:lineRule="auto"/>
        <w:ind w:firstLine="480" w:firstLineChars="200"/>
        <w:rPr>
          <w:rFonts w:ascii="楷体" w:hAnsi="楷体" w:eastAsia="楷体"/>
          <w:szCs w:val="24"/>
          <w:lang w:val="zh-CN"/>
        </w:rPr>
      </w:pPr>
      <w:r>
        <w:rPr>
          <w:rFonts w:hint="eastAsia" w:ascii="楷体" w:hAnsi="楷体" w:eastAsia="楷体"/>
          <w:szCs w:val="24"/>
        </w:rPr>
        <w:t>（若有，根据项目要求自行编写）</w:t>
      </w:r>
      <w:bookmarkEnd w:id="482"/>
      <w:bookmarkEnd w:id="483"/>
    </w:p>
    <w:p w14:paraId="7AEB37C6">
      <w:pPr>
        <w:spacing w:line="360" w:lineRule="auto"/>
        <w:rPr>
          <w:lang w:val="zh-CN"/>
        </w:rPr>
      </w:pPr>
    </w:p>
    <w:p w14:paraId="23D936AA">
      <w:pPr>
        <w:pStyle w:val="11"/>
        <w:spacing w:line="360" w:lineRule="auto"/>
        <w:rPr>
          <w:lang w:val="zh-CN"/>
        </w:rPr>
      </w:pPr>
    </w:p>
    <w:p w14:paraId="5B612081">
      <w:pPr>
        <w:rPr>
          <w:lang w:val="zh-CN"/>
        </w:rPr>
      </w:pPr>
    </w:p>
    <w:p w14:paraId="46D217B1">
      <w:pPr>
        <w:pStyle w:val="2"/>
        <w:rPr>
          <w:lang w:val="zh-CN"/>
        </w:rPr>
      </w:pPr>
    </w:p>
    <w:p w14:paraId="3798222A">
      <w:pPr>
        <w:rPr>
          <w:lang w:val="zh-CN"/>
        </w:rPr>
      </w:pPr>
    </w:p>
    <w:p w14:paraId="2ECCF3BA">
      <w:pPr>
        <w:pStyle w:val="2"/>
        <w:rPr>
          <w:lang w:val="zh-CN"/>
        </w:rPr>
      </w:pPr>
    </w:p>
    <w:p w14:paraId="6FD6B10E">
      <w:pPr>
        <w:rPr>
          <w:lang w:val="zh-CN"/>
        </w:rPr>
      </w:pPr>
    </w:p>
    <w:p w14:paraId="2AA548BB">
      <w:pPr>
        <w:pStyle w:val="2"/>
        <w:rPr>
          <w:lang w:val="zh-CN"/>
        </w:rPr>
      </w:pPr>
    </w:p>
    <w:p w14:paraId="6C61D23B">
      <w:pPr>
        <w:rPr>
          <w:lang w:val="zh-CN"/>
        </w:rPr>
      </w:pPr>
    </w:p>
    <w:p w14:paraId="2FA671B7">
      <w:pPr>
        <w:pStyle w:val="2"/>
        <w:rPr>
          <w:lang w:val="zh-CN"/>
        </w:rPr>
      </w:pPr>
    </w:p>
    <w:p w14:paraId="5F9E9DDF">
      <w:pPr>
        <w:rPr>
          <w:lang w:val="zh-CN"/>
        </w:rPr>
      </w:pPr>
    </w:p>
    <w:p w14:paraId="7D0281BA">
      <w:pPr>
        <w:pStyle w:val="2"/>
        <w:rPr>
          <w:lang w:val="zh-CN"/>
        </w:rPr>
      </w:pPr>
    </w:p>
    <w:p w14:paraId="45E4B587">
      <w:pPr>
        <w:rPr>
          <w:lang w:val="zh-CN"/>
        </w:rPr>
      </w:pPr>
    </w:p>
    <w:p w14:paraId="482F362E">
      <w:pPr>
        <w:pStyle w:val="2"/>
        <w:rPr>
          <w:lang w:val="zh-CN"/>
        </w:rPr>
      </w:pPr>
    </w:p>
    <w:p w14:paraId="7A399043">
      <w:pPr>
        <w:rPr>
          <w:lang w:val="zh-CN"/>
        </w:rPr>
      </w:pPr>
    </w:p>
    <w:p w14:paraId="3141AAFE">
      <w:pPr>
        <w:pStyle w:val="2"/>
        <w:rPr>
          <w:lang w:val="zh-CN"/>
        </w:rPr>
      </w:pPr>
    </w:p>
    <w:p w14:paraId="43ADCB89">
      <w:pPr>
        <w:rPr>
          <w:lang w:val="zh-CN"/>
        </w:rPr>
      </w:pPr>
    </w:p>
    <w:p w14:paraId="3BE5F1A4">
      <w:pPr>
        <w:pStyle w:val="2"/>
        <w:rPr>
          <w:lang w:val="zh-CN"/>
        </w:rPr>
      </w:pPr>
    </w:p>
    <w:p w14:paraId="4C35C2C9">
      <w:pPr>
        <w:rPr>
          <w:lang w:val="zh-CN"/>
        </w:rPr>
      </w:pPr>
    </w:p>
    <w:p w14:paraId="2929E680">
      <w:pPr>
        <w:pStyle w:val="2"/>
        <w:rPr>
          <w:lang w:val="zh-CN"/>
        </w:rPr>
      </w:pPr>
    </w:p>
    <w:p w14:paraId="6CCFF213">
      <w:pPr>
        <w:rPr>
          <w:lang w:val="zh-CN"/>
        </w:rPr>
      </w:pPr>
    </w:p>
    <w:p w14:paraId="71347200">
      <w:pPr>
        <w:pStyle w:val="2"/>
        <w:rPr>
          <w:lang w:val="zh-CN"/>
        </w:rPr>
      </w:pPr>
    </w:p>
    <w:p w14:paraId="10DD91CD">
      <w:pPr>
        <w:rPr>
          <w:lang w:val="zh-CN"/>
        </w:rPr>
      </w:pPr>
    </w:p>
    <w:p w14:paraId="22193F32">
      <w:pPr>
        <w:pStyle w:val="2"/>
        <w:rPr>
          <w:lang w:val="zh-CN"/>
        </w:rPr>
      </w:pPr>
    </w:p>
    <w:p w14:paraId="00190FF4">
      <w:pPr>
        <w:rPr>
          <w:lang w:val="zh-CN"/>
        </w:rPr>
      </w:pPr>
    </w:p>
    <w:p w14:paraId="3524E366">
      <w:pPr>
        <w:pStyle w:val="2"/>
        <w:rPr>
          <w:lang w:val="zh-CN"/>
        </w:rPr>
      </w:pPr>
    </w:p>
    <w:p w14:paraId="3ED9B23C">
      <w:pPr>
        <w:rPr>
          <w:lang w:val="zh-CN"/>
        </w:rPr>
      </w:pPr>
    </w:p>
    <w:p w14:paraId="396AE612">
      <w:pPr>
        <w:pStyle w:val="2"/>
        <w:rPr>
          <w:lang w:val="zh-CN"/>
        </w:rPr>
      </w:pPr>
    </w:p>
    <w:p w14:paraId="5F6C4531">
      <w:pPr>
        <w:pStyle w:val="11"/>
        <w:spacing w:line="360" w:lineRule="auto"/>
        <w:rPr>
          <w:lang w:val="zh-CN"/>
        </w:rPr>
      </w:pPr>
    </w:p>
    <w:p w14:paraId="2DE6A6A0">
      <w:pPr>
        <w:pStyle w:val="4"/>
        <w:numPr>
          <w:ilvl w:val="0"/>
          <w:numId w:val="50"/>
        </w:numPr>
        <w:tabs>
          <w:tab w:val="left" w:pos="567"/>
        </w:tabs>
        <w:spacing w:before="0" w:after="0" w:line="360" w:lineRule="auto"/>
        <w:ind w:left="482" w:hanging="480" w:hangingChars="200"/>
        <w:jc w:val="left"/>
        <w:rPr>
          <w:rFonts w:ascii="宋体" w:hAnsi="宋体" w:eastAsia="宋体" w:cs="Times New Roman"/>
          <w:sz w:val="24"/>
          <w:szCs w:val="24"/>
          <w:lang w:val="zh-CN"/>
        </w:rPr>
      </w:pPr>
      <w:bookmarkStart w:id="484" w:name="_Toc122527554"/>
      <w:bookmarkStart w:id="485" w:name="_Toc117244383"/>
      <w:bookmarkStart w:id="486" w:name="_Toc117244498"/>
      <w:r>
        <w:rPr>
          <w:rFonts w:hint="eastAsia" w:ascii="宋体" w:hAnsi="宋体" w:eastAsia="宋体" w:cs="Courier New"/>
          <w:sz w:val="24"/>
          <w:szCs w:val="24"/>
        </w:rPr>
        <w:t>供应商认为需要的</w:t>
      </w:r>
      <w:r>
        <w:rPr>
          <w:rFonts w:hint="eastAsia" w:ascii="宋体" w:hAnsi="宋体" w:eastAsia="宋体" w:cs="Times New Roman"/>
          <w:sz w:val="24"/>
          <w:szCs w:val="24"/>
          <w:lang w:val="zh-CN"/>
        </w:rPr>
        <w:t>其它</w:t>
      </w:r>
      <w:r>
        <w:rPr>
          <w:rFonts w:hint="eastAsia" w:ascii="宋体" w:hAnsi="宋体" w:eastAsia="宋体" w:cs="Courier New"/>
          <w:sz w:val="24"/>
          <w:szCs w:val="24"/>
        </w:rPr>
        <w:t>资格证明材料</w:t>
      </w:r>
      <w:bookmarkEnd w:id="484"/>
    </w:p>
    <w:p w14:paraId="2D58D8D4">
      <w:pPr>
        <w:spacing w:line="360" w:lineRule="auto"/>
        <w:ind w:firstLine="480" w:firstLineChars="200"/>
        <w:rPr>
          <w:rFonts w:ascii="楷体" w:hAnsi="楷体" w:eastAsia="楷体"/>
          <w:szCs w:val="24"/>
          <w:lang w:val="zh-CN"/>
        </w:rPr>
      </w:pPr>
      <w:r>
        <w:rPr>
          <w:rFonts w:hint="eastAsia" w:ascii="楷体" w:hAnsi="楷体" w:eastAsia="楷体" w:cs="Courier New"/>
          <w:szCs w:val="24"/>
        </w:rPr>
        <w:t>（若有，自行编写）</w:t>
      </w:r>
      <w:bookmarkEnd w:id="485"/>
      <w:bookmarkEnd w:id="486"/>
    </w:p>
    <w:p w14:paraId="2B58FBE9">
      <w:pPr>
        <w:pStyle w:val="11"/>
        <w:wordWrap w:val="0"/>
        <w:spacing w:line="360" w:lineRule="auto"/>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p>
    <w:p w14:paraId="77B3B558">
      <w:pPr>
        <w:pStyle w:val="4"/>
        <w:numPr>
          <w:ilvl w:val="0"/>
          <w:numId w:val="50"/>
        </w:numPr>
        <w:tabs>
          <w:tab w:val="left" w:pos="567"/>
        </w:tabs>
        <w:spacing w:before="0" w:after="0" w:line="360" w:lineRule="auto"/>
        <w:ind w:left="482" w:hanging="482" w:hangingChars="200"/>
        <w:jc w:val="left"/>
        <w:rPr>
          <w:rFonts w:ascii="宋体" w:hAnsi="宋体" w:eastAsia="宋体"/>
          <w:sz w:val="24"/>
          <w:szCs w:val="24"/>
        </w:rPr>
      </w:pPr>
      <w:bookmarkStart w:id="487" w:name="_Toc117244386"/>
      <w:bookmarkStart w:id="488" w:name="_Toc122527555"/>
      <w:bookmarkStart w:id="489" w:name="_Toc107561307"/>
      <w:bookmarkStart w:id="490" w:name="_Toc117244501"/>
      <w:r>
        <w:rPr>
          <w:rFonts w:hint="eastAsia" w:ascii="宋体" w:hAnsi="宋体" w:eastAsia="宋体"/>
          <w:sz w:val="24"/>
          <w:szCs w:val="24"/>
        </w:rPr>
        <w:t>商务</w:t>
      </w:r>
      <w:r>
        <w:rPr>
          <w:rFonts w:hint="eastAsia"/>
          <w:sz w:val="24"/>
          <w:szCs w:val="21"/>
        </w:rPr>
        <w:t>要求</w:t>
      </w:r>
      <w:r>
        <w:rPr>
          <w:rFonts w:hint="eastAsia" w:ascii="宋体" w:hAnsi="宋体" w:eastAsia="宋体"/>
          <w:sz w:val="24"/>
          <w:szCs w:val="24"/>
        </w:rPr>
        <w:t>响应偏离说明表</w:t>
      </w:r>
      <w:bookmarkEnd w:id="487"/>
      <w:bookmarkEnd w:id="488"/>
      <w:bookmarkEnd w:id="489"/>
      <w:bookmarkEnd w:id="490"/>
    </w:p>
    <w:p w14:paraId="66D2FE3A">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14:paraId="0290315F">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0"/>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264"/>
        <w:gridCol w:w="2553"/>
        <w:gridCol w:w="2419"/>
        <w:gridCol w:w="1549"/>
        <w:gridCol w:w="1178"/>
      </w:tblGrid>
      <w:tr w14:paraId="38F7A2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2309" w:type="pct"/>
            <w:gridSpan w:val="3"/>
            <w:tcBorders>
              <w:bottom w:val="single" w:color="auto" w:sz="4" w:space="0"/>
            </w:tcBorders>
            <w:shd w:val="pct10" w:color="C3BD96" w:themeColor="background2" w:themeShade="BF" w:fill="DDD9C4" w:themeFill="background2" w:themeFillShade="E6"/>
            <w:vAlign w:val="center"/>
          </w:tcPr>
          <w:p w14:paraId="12BBD725">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竞争性磋商文件商务要求</w:t>
            </w:r>
          </w:p>
        </w:tc>
        <w:tc>
          <w:tcPr>
            <w:tcW w:w="1265" w:type="pct"/>
            <w:vMerge w:val="restart"/>
            <w:shd w:val="pct10" w:color="C3BD96" w:themeColor="background2" w:themeShade="BF" w:fill="DDD9C4" w:themeFill="background2" w:themeFillShade="E6"/>
            <w:vAlign w:val="center"/>
          </w:tcPr>
          <w:p w14:paraId="519618EC">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响应文件响应的内容</w:t>
            </w:r>
          </w:p>
        </w:tc>
        <w:tc>
          <w:tcPr>
            <w:tcW w:w="810" w:type="pct"/>
            <w:vMerge w:val="restart"/>
            <w:shd w:val="pct10" w:color="C3BD96" w:themeColor="background2" w:themeShade="BF" w:fill="DDD9C4" w:themeFill="background2" w:themeFillShade="E6"/>
            <w:vAlign w:val="center"/>
          </w:tcPr>
          <w:p w14:paraId="7AADF1E9">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16" w:type="pct"/>
            <w:vMerge w:val="restart"/>
            <w:shd w:val="pct10" w:color="C3BD96" w:themeColor="background2" w:themeShade="BF" w:fill="DDD9C4" w:themeFill="background2" w:themeFillShade="E6"/>
            <w:vAlign w:val="center"/>
          </w:tcPr>
          <w:p w14:paraId="23E93E3E">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14:paraId="3E9F33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3" w:type="pct"/>
            <w:tcBorders>
              <w:top w:val="single" w:color="auto" w:sz="4" w:space="0"/>
            </w:tcBorders>
            <w:shd w:val="pct10" w:color="C3BD96" w:themeColor="background2" w:themeShade="BF" w:fill="DDD9C4" w:themeFill="background2" w:themeFillShade="E6"/>
            <w:vAlign w:val="center"/>
          </w:tcPr>
          <w:p w14:paraId="65C8EDCB">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661" w:type="pct"/>
            <w:tcBorders>
              <w:top w:val="single" w:color="auto" w:sz="4" w:space="0"/>
              <w:right w:val="single" w:color="auto" w:sz="4" w:space="0"/>
            </w:tcBorders>
            <w:shd w:val="pct10" w:color="C3BD96" w:themeColor="background2" w:themeShade="BF" w:fill="DDD9C4" w:themeFill="background2" w:themeFillShade="E6"/>
            <w:vAlign w:val="center"/>
          </w:tcPr>
          <w:p w14:paraId="683668CE">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商务条款</w:t>
            </w:r>
          </w:p>
        </w:tc>
        <w:tc>
          <w:tcPr>
            <w:tcW w:w="1335" w:type="pct"/>
            <w:tcBorders>
              <w:top w:val="single" w:color="auto" w:sz="4" w:space="0"/>
              <w:left w:val="single" w:color="auto" w:sz="4" w:space="0"/>
            </w:tcBorders>
            <w:shd w:val="pct10" w:color="C3BD96" w:themeColor="background2" w:themeShade="BF" w:fill="DDD9C4" w:themeFill="background2" w:themeFillShade="E6"/>
            <w:vAlign w:val="center"/>
          </w:tcPr>
          <w:p w14:paraId="4FFCB794">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具体要求</w:t>
            </w:r>
          </w:p>
        </w:tc>
        <w:tc>
          <w:tcPr>
            <w:tcW w:w="1265" w:type="pct"/>
            <w:vMerge w:val="continue"/>
            <w:shd w:val="pct10" w:color="C3BD96" w:themeColor="background2" w:themeShade="BF" w:fill="DDD9C4" w:themeFill="background2" w:themeFillShade="E6"/>
            <w:vAlign w:val="center"/>
          </w:tcPr>
          <w:p w14:paraId="08B591A7">
            <w:pPr>
              <w:wordWrap w:val="0"/>
              <w:spacing w:before="100" w:beforeAutospacing="1" w:after="100" w:afterAutospacing="1" w:line="360" w:lineRule="auto"/>
              <w:ind w:left="-60" w:leftChars="-25" w:right="-60" w:rightChars="-25"/>
              <w:jc w:val="center"/>
              <w:rPr>
                <w:rFonts w:cs="仿宋_GB2312"/>
                <w:szCs w:val="24"/>
              </w:rPr>
            </w:pPr>
          </w:p>
        </w:tc>
        <w:tc>
          <w:tcPr>
            <w:tcW w:w="810" w:type="pct"/>
            <w:vMerge w:val="continue"/>
            <w:shd w:val="pct10" w:color="C3BD96" w:themeColor="background2" w:themeShade="BF" w:fill="DDD9C4" w:themeFill="background2" w:themeFillShade="E6"/>
            <w:vAlign w:val="center"/>
          </w:tcPr>
          <w:p w14:paraId="27D905F5">
            <w:pPr>
              <w:wordWrap w:val="0"/>
              <w:spacing w:before="100" w:beforeAutospacing="1" w:after="100" w:afterAutospacing="1" w:line="360" w:lineRule="auto"/>
              <w:ind w:left="-60" w:leftChars="-25" w:right="-60" w:rightChars="-25"/>
              <w:jc w:val="center"/>
              <w:rPr>
                <w:rFonts w:cs="仿宋_GB2312"/>
                <w:szCs w:val="24"/>
              </w:rPr>
            </w:pPr>
          </w:p>
        </w:tc>
        <w:tc>
          <w:tcPr>
            <w:tcW w:w="616" w:type="pct"/>
            <w:vMerge w:val="continue"/>
            <w:shd w:val="pct10" w:color="C3BD96" w:themeColor="background2" w:themeShade="BF" w:fill="DDD9C4" w:themeFill="background2" w:themeFillShade="E6"/>
          </w:tcPr>
          <w:p w14:paraId="1E63CBFB">
            <w:pPr>
              <w:wordWrap w:val="0"/>
              <w:spacing w:before="100" w:beforeAutospacing="1" w:after="100" w:afterAutospacing="1" w:line="360" w:lineRule="auto"/>
              <w:ind w:left="-60" w:leftChars="-25" w:right="-60" w:rightChars="-25"/>
              <w:jc w:val="center"/>
              <w:rPr>
                <w:rFonts w:cs="仿宋_GB2312"/>
                <w:szCs w:val="24"/>
              </w:rPr>
            </w:pPr>
          </w:p>
        </w:tc>
      </w:tr>
      <w:tr w14:paraId="340ACA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14:paraId="01DF36D7">
            <w:pPr>
              <w:numPr>
                <w:ilvl w:val="0"/>
                <w:numId w:val="59"/>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vAlign w:val="center"/>
          </w:tcPr>
          <w:p w14:paraId="5C413CB3">
            <w:pPr>
              <w:wordWrap w:val="0"/>
              <w:spacing w:line="360" w:lineRule="auto"/>
              <w:jc w:val="center"/>
              <w:rPr>
                <w:rFonts w:cs="仿宋_GB2312"/>
                <w:szCs w:val="24"/>
              </w:rPr>
            </w:pPr>
          </w:p>
        </w:tc>
        <w:tc>
          <w:tcPr>
            <w:tcW w:w="1335" w:type="pct"/>
            <w:tcBorders>
              <w:left w:val="single" w:color="auto" w:sz="4" w:space="0"/>
              <w:bottom w:val="single" w:color="auto" w:sz="4" w:space="0"/>
            </w:tcBorders>
            <w:vAlign w:val="center"/>
          </w:tcPr>
          <w:p w14:paraId="2EAF51AC">
            <w:pPr>
              <w:wordWrap w:val="0"/>
              <w:spacing w:line="360" w:lineRule="auto"/>
              <w:jc w:val="left"/>
              <w:rPr>
                <w:rFonts w:cs="仿宋_GB2312"/>
                <w:szCs w:val="24"/>
              </w:rPr>
            </w:pPr>
            <w:r>
              <w:rPr>
                <w:rFonts w:hint="eastAsia" w:cs="仿宋_GB2312"/>
                <w:szCs w:val="24"/>
              </w:rPr>
              <w:t>1.1</w:t>
            </w:r>
          </w:p>
        </w:tc>
        <w:tc>
          <w:tcPr>
            <w:tcW w:w="1265" w:type="pct"/>
            <w:tcBorders>
              <w:bottom w:val="single" w:color="auto" w:sz="4" w:space="0"/>
            </w:tcBorders>
            <w:vAlign w:val="center"/>
          </w:tcPr>
          <w:p w14:paraId="6A36DBDB">
            <w:pPr>
              <w:wordWrap w:val="0"/>
              <w:spacing w:line="360" w:lineRule="auto"/>
              <w:jc w:val="left"/>
              <w:rPr>
                <w:rFonts w:cs="仿宋_GB2312"/>
                <w:szCs w:val="24"/>
              </w:rPr>
            </w:pPr>
            <w:r>
              <w:rPr>
                <w:rFonts w:hint="eastAsia" w:cs="仿宋_GB2312"/>
                <w:szCs w:val="24"/>
              </w:rPr>
              <w:t>1.1</w:t>
            </w:r>
          </w:p>
        </w:tc>
        <w:tc>
          <w:tcPr>
            <w:tcW w:w="810" w:type="pct"/>
            <w:tcBorders>
              <w:bottom w:val="single" w:color="auto" w:sz="4" w:space="0"/>
            </w:tcBorders>
            <w:vAlign w:val="center"/>
          </w:tcPr>
          <w:p w14:paraId="2AFF1D4A">
            <w:pPr>
              <w:wordWrap w:val="0"/>
              <w:spacing w:line="360" w:lineRule="auto"/>
              <w:jc w:val="center"/>
              <w:rPr>
                <w:rFonts w:cs="仿宋_GB2312"/>
                <w:szCs w:val="24"/>
              </w:rPr>
            </w:pPr>
          </w:p>
        </w:tc>
        <w:tc>
          <w:tcPr>
            <w:tcW w:w="616" w:type="pct"/>
            <w:tcBorders>
              <w:bottom w:val="single" w:color="auto" w:sz="4" w:space="0"/>
            </w:tcBorders>
            <w:vAlign w:val="center"/>
          </w:tcPr>
          <w:p w14:paraId="35ED7B3C">
            <w:pPr>
              <w:wordWrap w:val="0"/>
              <w:spacing w:line="360" w:lineRule="auto"/>
              <w:jc w:val="center"/>
              <w:rPr>
                <w:rFonts w:cs="仿宋_GB2312"/>
                <w:szCs w:val="24"/>
              </w:rPr>
            </w:pPr>
          </w:p>
        </w:tc>
      </w:tr>
      <w:tr w14:paraId="1BA00F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8" w:hRule="atLeast"/>
          <w:jc w:val="center"/>
        </w:trPr>
        <w:tc>
          <w:tcPr>
            <w:tcW w:w="313" w:type="pct"/>
            <w:vMerge w:val="continue"/>
            <w:vAlign w:val="center"/>
          </w:tcPr>
          <w:p w14:paraId="1A296EFB">
            <w:pPr>
              <w:numPr>
                <w:ilvl w:val="0"/>
                <w:numId w:val="59"/>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7D5E73F2">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0324A3E7">
            <w:pPr>
              <w:wordWrap w:val="0"/>
              <w:spacing w:line="360" w:lineRule="auto"/>
              <w:jc w:val="left"/>
              <w:rPr>
                <w:rFonts w:cs="仿宋_GB2312"/>
                <w:szCs w:val="24"/>
              </w:rPr>
            </w:pPr>
            <w:r>
              <w:rPr>
                <w:rFonts w:hint="eastAsia" w:cs="仿宋_GB2312"/>
                <w:szCs w:val="24"/>
              </w:rPr>
              <w:t>1.2</w:t>
            </w:r>
          </w:p>
        </w:tc>
        <w:tc>
          <w:tcPr>
            <w:tcW w:w="1265" w:type="pct"/>
            <w:tcBorders>
              <w:top w:val="single" w:color="auto" w:sz="4" w:space="0"/>
              <w:bottom w:val="single" w:color="auto" w:sz="4" w:space="0"/>
            </w:tcBorders>
            <w:vAlign w:val="center"/>
          </w:tcPr>
          <w:p w14:paraId="560DF6B0">
            <w:pPr>
              <w:wordWrap w:val="0"/>
              <w:spacing w:line="360" w:lineRule="auto"/>
              <w:jc w:val="left"/>
              <w:rPr>
                <w:rFonts w:cs="仿宋_GB2312"/>
                <w:szCs w:val="24"/>
              </w:rPr>
            </w:pPr>
            <w:r>
              <w:rPr>
                <w:rFonts w:hint="eastAsia" w:cs="仿宋_GB2312"/>
                <w:szCs w:val="24"/>
              </w:rPr>
              <w:t>1.2</w:t>
            </w:r>
          </w:p>
        </w:tc>
        <w:tc>
          <w:tcPr>
            <w:tcW w:w="810" w:type="pct"/>
            <w:tcBorders>
              <w:top w:val="single" w:color="auto" w:sz="4" w:space="0"/>
              <w:bottom w:val="single" w:color="auto" w:sz="4" w:space="0"/>
            </w:tcBorders>
            <w:vAlign w:val="center"/>
          </w:tcPr>
          <w:p w14:paraId="1F02CDAC">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198ECA4E">
            <w:pPr>
              <w:wordWrap w:val="0"/>
              <w:spacing w:line="360" w:lineRule="auto"/>
              <w:jc w:val="center"/>
              <w:rPr>
                <w:rFonts w:cs="仿宋_GB2312"/>
                <w:szCs w:val="24"/>
              </w:rPr>
            </w:pPr>
          </w:p>
        </w:tc>
      </w:tr>
      <w:tr w14:paraId="16D022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14:paraId="297A1438">
            <w:pPr>
              <w:numPr>
                <w:ilvl w:val="0"/>
                <w:numId w:val="59"/>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1ADD238A">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1C1DAA98">
            <w:pPr>
              <w:wordWrap w:val="0"/>
              <w:spacing w:line="360" w:lineRule="auto"/>
              <w:jc w:val="left"/>
              <w:rPr>
                <w:rFonts w:cs="仿宋_GB2312"/>
                <w:szCs w:val="24"/>
              </w:rPr>
            </w:pPr>
            <w:r>
              <w:rPr>
                <w:rFonts w:hint="eastAsia" w:cs="仿宋_GB2312"/>
                <w:szCs w:val="24"/>
              </w:rPr>
              <w:t>1.3</w:t>
            </w:r>
          </w:p>
        </w:tc>
        <w:tc>
          <w:tcPr>
            <w:tcW w:w="1265" w:type="pct"/>
            <w:tcBorders>
              <w:top w:val="single" w:color="auto" w:sz="4" w:space="0"/>
              <w:bottom w:val="single" w:color="auto" w:sz="4" w:space="0"/>
            </w:tcBorders>
            <w:vAlign w:val="center"/>
          </w:tcPr>
          <w:p w14:paraId="409EB4E2">
            <w:pPr>
              <w:wordWrap w:val="0"/>
              <w:spacing w:line="360" w:lineRule="auto"/>
              <w:jc w:val="left"/>
              <w:rPr>
                <w:rFonts w:cs="仿宋_GB2312"/>
                <w:szCs w:val="24"/>
              </w:rPr>
            </w:pPr>
            <w:r>
              <w:rPr>
                <w:rFonts w:hint="eastAsia" w:cs="仿宋_GB2312"/>
                <w:szCs w:val="24"/>
              </w:rPr>
              <w:t>1.3</w:t>
            </w:r>
          </w:p>
        </w:tc>
        <w:tc>
          <w:tcPr>
            <w:tcW w:w="810" w:type="pct"/>
            <w:tcBorders>
              <w:top w:val="single" w:color="auto" w:sz="4" w:space="0"/>
              <w:bottom w:val="single" w:color="auto" w:sz="4" w:space="0"/>
            </w:tcBorders>
            <w:vAlign w:val="center"/>
          </w:tcPr>
          <w:p w14:paraId="17DF68F9">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75646F1E">
            <w:pPr>
              <w:wordWrap w:val="0"/>
              <w:spacing w:line="360" w:lineRule="auto"/>
              <w:jc w:val="center"/>
              <w:rPr>
                <w:rFonts w:cs="仿宋_GB2312"/>
                <w:szCs w:val="24"/>
              </w:rPr>
            </w:pPr>
          </w:p>
        </w:tc>
      </w:tr>
      <w:tr w14:paraId="7C0CE2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2" w:hRule="atLeast"/>
          <w:jc w:val="center"/>
        </w:trPr>
        <w:tc>
          <w:tcPr>
            <w:tcW w:w="313" w:type="pct"/>
            <w:vMerge w:val="continue"/>
            <w:vAlign w:val="center"/>
          </w:tcPr>
          <w:p w14:paraId="6766C805">
            <w:pPr>
              <w:numPr>
                <w:ilvl w:val="0"/>
                <w:numId w:val="59"/>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10CAA417">
            <w:pPr>
              <w:wordWrap w:val="0"/>
              <w:spacing w:line="360" w:lineRule="auto"/>
              <w:jc w:val="center"/>
              <w:rPr>
                <w:rFonts w:cs="仿宋_GB2312"/>
                <w:szCs w:val="24"/>
              </w:rPr>
            </w:pPr>
          </w:p>
        </w:tc>
        <w:tc>
          <w:tcPr>
            <w:tcW w:w="1335" w:type="pct"/>
            <w:tcBorders>
              <w:top w:val="single" w:color="auto" w:sz="4" w:space="0"/>
              <w:left w:val="single" w:color="auto" w:sz="4" w:space="0"/>
            </w:tcBorders>
            <w:vAlign w:val="center"/>
          </w:tcPr>
          <w:p w14:paraId="26B26D83">
            <w:pPr>
              <w:wordWrap w:val="0"/>
              <w:spacing w:line="360" w:lineRule="auto"/>
              <w:jc w:val="left"/>
              <w:rPr>
                <w:rFonts w:cs="仿宋_GB2312"/>
                <w:szCs w:val="24"/>
              </w:rPr>
            </w:pPr>
            <w:r>
              <w:rPr>
                <w:rFonts w:hint="eastAsia" w:cs="宋体"/>
                <w:szCs w:val="24"/>
              </w:rPr>
              <w:t>……</w:t>
            </w:r>
          </w:p>
        </w:tc>
        <w:tc>
          <w:tcPr>
            <w:tcW w:w="1265" w:type="pct"/>
            <w:tcBorders>
              <w:top w:val="single" w:color="auto" w:sz="4" w:space="0"/>
            </w:tcBorders>
            <w:vAlign w:val="center"/>
          </w:tcPr>
          <w:p w14:paraId="02A69ABE">
            <w:pPr>
              <w:wordWrap w:val="0"/>
              <w:spacing w:line="360" w:lineRule="auto"/>
              <w:jc w:val="left"/>
              <w:rPr>
                <w:rFonts w:cs="仿宋_GB2312"/>
                <w:szCs w:val="24"/>
              </w:rPr>
            </w:pPr>
            <w:r>
              <w:rPr>
                <w:rFonts w:hint="eastAsia" w:cs="宋体"/>
                <w:szCs w:val="24"/>
              </w:rPr>
              <w:t>……</w:t>
            </w:r>
          </w:p>
        </w:tc>
        <w:tc>
          <w:tcPr>
            <w:tcW w:w="810" w:type="pct"/>
            <w:tcBorders>
              <w:top w:val="single" w:color="auto" w:sz="4" w:space="0"/>
            </w:tcBorders>
            <w:vAlign w:val="center"/>
          </w:tcPr>
          <w:p w14:paraId="17D0592F">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vAlign w:val="center"/>
          </w:tcPr>
          <w:p w14:paraId="4F1B3E84">
            <w:pPr>
              <w:wordWrap w:val="0"/>
              <w:spacing w:line="360" w:lineRule="auto"/>
              <w:jc w:val="left"/>
              <w:rPr>
                <w:rFonts w:cs="仿宋_GB2312"/>
                <w:szCs w:val="24"/>
              </w:rPr>
            </w:pPr>
            <w:r>
              <w:rPr>
                <w:rFonts w:hint="eastAsia" w:cs="宋体"/>
                <w:szCs w:val="24"/>
              </w:rPr>
              <w:t>……</w:t>
            </w:r>
          </w:p>
        </w:tc>
      </w:tr>
      <w:tr w14:paraId="5CB78F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14:paraId="63EF55F7">
            <w:pPr>
              <w:numPr>
                <w:ilvl w:val="0"/>
                <w:numId w:val="59"/>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vAlign w:val="center"/>
          </w:tcPr>
          <w:p w14:paraId="1B2F8651">
            <w:pPr>
              <w:wordWrap w:val="0"/>
              <w:spacing w:line="360" w:lineRule="auto"/>
              <w:jc w:val="center"/>
              <w:rPr>
                <w:rFonts w:cs="仿宋_GB2312"/>
                <w:szCs w:val="24"/>
              </w:rPr>
            </w:pPr>
          </w:p>
        </w:tc>
        <w:tc>
          <w:tcPr>
            <w:tcW w:w="1335" w:type="pct"/>
            <w:tcBorders>
              <w:left w:val="single" w:color="auto" w:sz="4" w:space="0"/>
              <w:bottom w:val="single" w:color="auto" w:sz="4" w:space="0"/>
            </w:tcBorders>
            <w:vAlign w:val="center"/>
          </w:tcPr>
          <w:p w14:paraId="75F182A2">
            <w:pPr>
              <w:wordWrap w:val="0"/>
              <w:spacing w:line="360" w:lineRule="auto"/>
              <w:jc w:val="left"/>
              <w:rPr>
                <w:rFonts w:cs="仿宋_GB2312"/>
                <w:szCs w:val="24"/>
              </w:rPr>
            </w:pPr>
            <w:r>
              <w:rPr>
                <w:rFonts w:hint="eastAsia" w:cs="仿宋_GB2312"/>
                <w:szCs w:val="24"/>
              </w:rPr>
              <w:t>2.1</w:t>
            </w:r>
          </w:p>
        </w:tc>
        <w:tc>
          <w:tcPr>
            <w:tcW w:w="1265" w:type="pct"/>
            <w:tcBorders>
              <w:bottom w:val="single" w:color="auto" w:sz="4" w:space="0"/>
            </w:tcBorders>
            <w:vAlign w:val="center"/>
          </w:tcPr>
          <w:p w14:paraId="35D03286">
            <w:pPr>
              <w:wordWrap w:val="0"/>
              <w:spacing w:line="360" w:lineRule="auto"/>
              <w:jc w:val="left"/>
              <w:rPr>
                <w:rFonts w:cs="仿宋_GB2312"/>
                <w:szCs w:val="24"/>
              </w:rPr>
            </w:pPr>
            <w:r>
              <w:rPr>
                <w:rFonts w:hint="eastAsia" w:cs="仿宋_GB2312"/>
                <w:szCs w:val="24"/>
              </w:rPr>
              <w:t>2.1</w:t>
            </w:r>
          </w:p>
        </w:tc>
        <w:tc>
          <w:tcPr>
            <w:tcW w:w="810" w:type="pct"/>
            <w:tcBorders>
              <w:bottom w:val="single" w:color="auto" w:sz="4" w:space="0"/>
            </w:tcBorders>
            <w:vAlign w:val="center"/>
          </w:tcPr>
          <w:p w14:paraId="36503B5E">
            <w:pPr>
              <w:wordWrap w:val="0"/>
              <w:spacing w:line="360" w:lineRule="auto"/>
              <w:jc w:val="center"/>
              <w:rPr>
                <w:rFonts w:cs="仿宋_GB2312"/>
                <w:szCs w:val="24"/>
              </w:rPr>
            </w:pPr>
          </w:p>
        </w:tc>
        <w:tc>
          <w:tcPr>
            <w:tcW w:w="616" w:type="pct"/>
            <w:tcBorders>
              <w:bottom w:val="single" w:color="auto" w:sz="4" w:space="0"/>
            </w:tcBorders>
            <w:vAlign w:val="center"/>
          </w:tcPr>
          <w:p w14:paraId="1E7F01F6">
            <w:pPr>
              <w:wordWrap w:val="0"/>
              <w:spacing w:line="360" w:lineRule="auto"/>
              <w:jc w:val="center"/>
              <w:rPr>
                <w:rFonts w:cs="仿宋_GB2312"/>
                <w:szCs w:val="24"/>
              </w:rPr>
            </w:pPr>
          </w:p>
        </w:tc>
      </w:tr>
      <w:tr w14:paraId="655158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8" w:hRule="atLeast"/>
          <w:jc w:val="center"/>
        </w:trPr>
        <w:tc>
          <w:tcPr>
            <w:tcW w:w="313" w:type="pct"/>
            <w:vMerge w:val="continue"/>
            <w:vAlign w:val="center"/>
          </w:tcPr>
          <w:p w14:paraId="4FB1FF81">
            <w:pPr>
              <w:numPr>
                <w:ilvl w:val="0"/>
                <w:numId w:val="59"/>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47932356">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1EDBAA36">
            <w:pPr>
              <w:wordWrap w:val="0"/>
              <w:spacing w:line="360" w:lineRule="auto"/>
              <w:jc w:val="left"/>
              <w:rPr>
                <w:rFonts w:cs="仿宋_GB2312"/>
                <w:szCs w:val="24"/>
              </w:rPr>
            </w:pPr>
            <w:r>
              <w:rPr>
                <w:rFonts w:hint="eastAsia" w:cs="仿宋_GB2312"/>
                <w:szCs w:val="24"/>
              </w:rPr>
              <w:t>2.2</w:t>
            </w:r>
          </w:p>
        </w:tc>
        <w:tc>
          <w:tcPr>
            <w:tcW w:w="1265" w:type="pct"/>
            <w:tcBorders>
              <w:top w:val="single" w:color="auto" w:sz="4" w:space="0"/>
              <w:bottom w:val="single" w:color="auto" w:sz="4" w:space="0"/>
            </w:tcBorders>
            <w:vAlign w:val="center"/>
          </w:tcPr>
          <w:p w14:paraId="6BDC1368">
            <w:pPr>
              <w:wordWrap w:val="0"/>
              <w:spacing w:line="360" w:lineRule="auto"/>
              <w:jc w:val="left"/>
              <w:rPr>
                <w:rFonts w:cs="仿宋_GB2312"/>
                <w:szCs w:val="24"/>
              </w:rPr>
            </w:pPr>
            <w:r>
              <w:rPr>
                <w:rFonts w:hint="eastAsia" w:cs="仿宋_GB2312"/>
                <w:szCs w:val="24"/>
              </w:rPr>
              <w:t>2.2</w:t>
            </w:r>
          </w:p>
        </w:tc>
        <w:tc>
          <w:tcPr>
            <w:tcW w:w="810" w:type="pct"/>
            <w:tcBorders>
              <w:top w:val="single" w:color="auto" w:sz="4" w:space="0"/>
              <w:bottom w:val="single" w:color="auto" w:sz="4" w:space="0"/>
            </w:tcBorders>
            <w:vAlign w:val="center"/>
          </w:tcPr>
          <w:p w14:paraId="4261E3EF">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275A1E7A">
            <w:pPr>
              <w:wordWrap w:val="0"/>
              <w:spacing w:line="360" w:lineRule="auto"/>
              <w:jc w:val="center"/>
              <w:rPr>
                <w:rFonts w:cs="仿宋_GB2312"/>
                <w:szCs w:val="24"/>
              </w:rPr>
            </w:pPr>
          </w:p>
        </w:tc>
      </w:tr>
      <w:tr w14:paraId="180A68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14:paraId="3EC8ACF4">
            <w:pPr>
              <w:numPr>
                <w:ilvl w:val="0"/>
                <w:numId w:val="59"/>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04D51110">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00ED1546">
            <w:pPr>
              <w:wordWrap w:val="0"/>
              <w:spacing w:line="360" w:lineRule="auto"/>
              <w:jc w:val="left"/>
              <w:rPr>
                <w:rFonts w:cs="仿宋_GB2312"/>
                <w:szCs w:val="24"/>
              </w:rPr>
            </w:pPr>
            <w:r>
              <w:rPr>
                <w:rFonts w:hint="eastAsia" w:cs="仿宋_GB2312"/>
                <w:szCs w:val="24"/>
              </w:rPr>
              <w:t>2.3</w:t>
            </w:r>
          </w:p>
        </w:tc>
        <w:tc>
          <w:tcPr>
            <w:tcW w:w="1265" w:type="pct"/>
            <w:tcBorders>
              <w:top w:val="single" w:color="auto" w:sz="4" w:space="0"/>
              <w:bottom w:val="single" w:color="auto" w:sz="4" w:space="0"/>
            </w:tcBorders>
            <w:vAlign w:val="center"/>
          </w:tcPr>
          <w:p w14:paraId="575FF740">
            <w:pPr>
              <w:wordWrap w:val="0"/>
              <w:spacing w:line="360" w:lineRule="auto"/>
              <w:jc w:val="left"/>
              <w:rPr>
                <w:rFonts w:cs="仿宋_GB2312"/>
                <w:szCs w:val="24"/>
              </w:rPr>
            </w:pPr>
            <w:r>
              <w:rPr>
                <w:rFonts w:hint="eastAsia" w:cs="仿宋_GB2312"/>
                <w:szCs w:val="24"/>
              </w:rPr>
              <w:t>2.3</w:t>
            </w:r>
          </w:p>
        </w:tc>
        <w:tc>
          <w:tcPr>
            <w:tcW w:w="810" w:type="pct"/>
            <w:tcBorders>
              <w:top w:val="single" w:color="auto" w:sz="4" w:space="0"/>
              <w:bottom w:val="single" w:color="auto" w:sz="4" w:space="0"/>
            </w:tcBorders>
            <w:vAlign w:val="center"/>
          </w:tcPr>
          <w:p w14:paraId="22B5269D">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33DCF7C8">
            <w:pPr>
              <w:wordWrap w:val="0"/>
              <w:spacing w:line="360" w:lineRule="auto"/>
              <w:jc w:val="center"/>
              <w:rPr>
                <w:rFonts w:cs="仿宋_GB2312"/>
                <w:szCs w:val="24"/>
              </w:rPr>
            </w:pPr>
          </w:p>
        </w:tc>
      </w:tr>
      <w:tr w14:paraId="20AC85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0" w:hRule="atLeast"/>
          <w:jc w:val="center"/>
        </w:trPr>
        <w:tc>
          <w:tcPr>
            <w:tcW w:w="313" w:type="pct"/>
            <w:vMerge w:val="continue"/>
            <w:vAlign w:val="center"/>
          </w:tcPr>
          <w:p w14:paraId="7E4C790F">
            <w:pPr>
              <w:numPr>
                <w:ilvl w:val="0"/>
                <w:numId w:val="59"/>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26E727D1">
            <w:pPr>
              <w:wordWrap w:val="0"/>
              <w:spacing w:line="360" w:lineRule="auto"/>
              <w:jc w:val="center"/>
              <w:rPr>
                <w:rFonts w:cs="仿宋_GB2312"/>
                <w:szCs w:val="24"/>
              </w:rPr>
            </w:pPr>
          </w:p>
        </w:tc>
        <w:tc>
          <w:tcPr>
            <w:tcW w:w="1335" w:type="pct"/>
            <w:tcBorders>
              <w:top w:val="single" w:color="auto" w:sz="4" w:space="0"/>
              <w:left w:val="single" w:color="auto" w:sz="4" w:space="0"/>
            </w:tcBorders>
            <w:vAlign w:val="center"/>
          </w:tcPr>
          <w:p w14:paraId="4A39723D">
            <w:pPr>
              <w:wordWrap w:val="0"/>
              <w:spacing w:line="360" w:lineRule="auto"/>
              <w:jc w:val="left"/>
              <w:rPr>
                <w:rFonts w:cs="仿宋_GB2312"/>
                <w:szCs w:val="24"/>
              </w:rPr>
            </w:pPr>
            <w:r>
              <w:rPr>
                <w:rFonts w:hint="eastAsia" w:cs="宋体"/>
                <w:szCs w:val="24"/>
              </w:rPr>
              <w:t>……</w:t>
            </w:r>
          </w:p>
        </w:tc>
        <w:tc>
          <w:tcPr>
            <w:tcW w:w="1265" w:type="pct"/>
            <w:tcBorders>
              <w:top w:val="single" w:color="auto" w:sz="4" w:space="0"/>
            </w:tcBorders>
            <w:vAlign w:val="center"/>
          </w:tcPr>
          <w:p w14:paraId="36A608DA">
            <w:pPr>
              <w:wordWrap w:val="0"/>
              <w:spacing w:line="360" w:lineRule="auto"/>
              <w:jc w:val="left"/>
              <w:rPr>
                <w:rFonts w:cs="仿宋_GB2312"/>
                <w:szCs w:val="24"/>
              </w:rPr>
            </w:pPr>
            <w:r>
              <w:rPr>
                <w:rFonts w:hint="eastAsia" w:cs="宋体"/>
                <w:szCs w:val="24"/>
              </w:rPr>
              <w:t>……</w:t>
            </w:r>
          </w:p>
        </w:tc>
        <w:tc>
          <w:tcPr>
            <w:tcW w:w="810" w:type="pct"/>
            <w:tcBorders>
              <w:top w:val="single" w:color="auto" w:sz="4" w:space="0"/>
            </w:tcBorders>
            <w:vAlign w:val="center"/>
          </w:tcPr>
          <w:p w14:paraId="28C94110">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vAlign w:val="center"/>
          </w:tcPr>
          <w:p w14:paraId="3F5C2122">
            <w:pPr>
              <w:wordWrap w:val="0"/>
              <w:spacing w:line="360" w:lineRule="auto"/>
              <w:jc w:val="left"/>
              <w:rPr>
                <w:rFonts w:cs="仿宋_GB2312"/>
                <w:szCs w:val="24"/>
              </w:rPr>
            </w:pPr>
            <w:r>
              <w:rPr>
                <w:rFonts w:hint="eastAsia" w:cs="宋体"/>
                <w:szCs w:val="24"/>
              </w:rPr>
              <w:t>……</w:t>
            </w:r>
          </w:p>
        </w:tc>
      </w:tr>
      <w:tr w14:paraId="6CF194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53" w:hRule="atLeast"/>
          <w:jc w:val="center"/>
        </w:trPr>
        <w:tc>
          <w:tcPr>
            <w:tcW w:w="313" w:type="pct"/>
            <w:vMerge w:val="restart"/>
            <w:vAlign w:val="center"/>
          </w:tcPr>
          <w:p w14:paraId="5571EE7A">
            <w:pPr>
              <w:numPr>
                <w:ilvl w:val="0"/>
                <w:numId w:val="59"/>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vAlign w:val="center"/>
          </w:tcPr>
          <w:p w14:paraId="22566A11">
            <w:pPr>
              <w:wordWrap w:val="0"/>
              <w:spacing w:line="360" w:lineRule="auto"/>
              <w:jc w:val="center"/>
              <w:rPr>
                <w:rFonts w:cs="仿宋_GB2312"/>
                <w:szCs w:val="24"/>
              </w:rPr>
            </w:pPr>
          </w:p>
        </w:tc>
        <w:tc>
          <w:tcPr>
            <w:tcW w:w="1335" w:type="pct"/>
            <w:tcBorders>
              <w:left w:val="single" w:color="auto" w:sz="4" w:space="0"/>
              <w:bottom w:val="single" w:color="auto" w:sz="4" w:space="0"/>
            </w:tcBorders>
            <w:vAlign w:val="center"/>
          </w:tcPr>
          <w:p w14:paraId="3AB608E1">
            <w:pPr>
              <w:wordWrap w:val="0"/>
              <w:spacing w:line="360" w:lineRule="auto"/>
              <w:jc w:val="left"/>
              <w:rPr>
                <w:rFonts w:cs="仿宋_GB2312"/>
                <w:szCs w:val="24"/>
              </w:rPr>
            </w:pPr>
            <w:r>
              <w:rPr>
                <w:rFonts w:hint="eastAsia" w:cs="仿宋_GB2312"/>
                <w:szCs w:val="24"/>
              </w:rPr>
              <w:t>3.1</w:t>
            </w:r>
          </w:p>
        </w:tc>
        <w:tc>
          <w:tcPr>
            <w:tcW w:w="1265" w:type="pct"/>
            <w:tcBorders>
              <w:bottom w:val="single" w:color="auto" w:sz="4" w:space="0"/>
            </w:tcBorders>
            <w:vAlign w:val="center"/>
          </w:tcPr>
          <w:p w14:paraId="686D9637">
            <w:pPr>
              <w:wordWrap w:val="0"/>
              <w:spacing w:line="360" w:lineRule="auto"/>
              <w:jc w:val="left"/>
              <w:rPr>
                <w:rFonts w:cs="仿宋_GB2312"/>
                <w:szCs w:val="24"/>
              </w:rPr>
            </w:pPr>
            <w:r>
              <w:rPr>
                <w:rFonts w:hint="eastAsia" w:cs="仿宋_GB2312"/>
                <w:szCs w:val="24"/>
              </w:rPr>
              <w:t>3.1</w:t>
            </w:r>
          </w:p>
        </w:tc>
        <w:tc>
          <w:tcPr>
            <w:tcW w:w="810" w:type="pct"/>
            <w:tcBorders>
              <w:bottom w:val="single" w:color="auto" w:sz="4" w:space="0"/>
            </w:tcBorders>
            <w:vAlign w:val="center"/>
          </w:tcPr>
          <w:p w14:paraId="301EA9DE">
            <w:pPr>
              <w:wordWrap w:val="0"/>
              <w:spacing w:line="360" w:lineRule="auto"/>
              <w:jc w:val="center"/>
              <w:rPr>
                <w:rFonts w:cs="仿宋_GB2312"/>
                <w:szCs w:val="24"/>
              </w:rPr>
            </w:pPr>
          </w:p>
        </w:tc>
        <w:tc>
          <w:tcPr>
            <w:tcW w:w="616" w:type="pct"/>
            <w:tcBorders>
              <w:bottom w:val="single" w:color="auto" w:sz="4" w:space="0"/>
            </w:tcBorders>
            <w:vAlign w:val="center"/>
          </w:tcPr>
          <w:p w14:paraId="601C2C46">
            <w:pPr>
              <w:wordWrap w:val="0"/>
              <w:spacing w:line="360" w:lineRule="auto"/>
              <w:jc w:val="center"/>
              <w:rPr>
                <w:rFonts w:cs="仿宋_GB2312"/>
                <w:szCs w:val="24"/>
              </w:rPr>
            </w:pPr>
          </w:p>
        </w:tc>
      </w:tr>
      <w:tr w14:paraId="6AAC08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313" w:type="pct"/>
            <w:vMerge w:val="continue"/>
            <w:vAlign w:val="center"/>
          </w:tcPr>
          <w:p w14:paraId="3B04E847">
            <w:pPr>
              <w:numPr>
                <w:ilvl w:val="0"/>
                <w:numId w:val="59"/>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0BD9D921">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6DE10DF2">
            <w:pPr>
              <w:wordWrap w:val="0"/>
              <w:spacing w:line="360" w:lineRule="auto"/>
              <w:jc w:val="left"/>
              <w:rPr>
                <w:rFonts w:cs="仿宋_GB2312"/>
                <w:szCs w:val="24"/>
              </w:rPr>
            </w:pPr>
            <w:r>
              <w:rPr>
                <w:rFonts w:hint="eastAsia" w:cs="仿宋_GB2312"/>
                <w:szCs w:val="24"/>
              </w:rPr>
              <w:t>3.2</w:t>
            </w:r>
          </w:p>
        </w:tc>
        <w:tc>
          <w:tcPr>
            <w:tcW w:w="1265" w:type="pct"/>
            <w:tcBorders>
              <w:top w:val="single" w:color="auto" w:sz="4" w:space="0"/>
              <w:bottom w:val="single" w:color="auto" w:sz="4" w:space="0"/>
            </w:tcBorders>
            <w:vAlign w:val="center"/>
          </w:tcPr>
          <w:p w14:paraId="4F40EE8C">
            <w:pPr>
              <w:wordWrap w:val="0"/>
              <w:spacing w:line="360" w:lineRule="auto"/>
              <w:jc w:val="left"/>
              <w:rPr>
                <w:rFonts w:cs="仿宋_GB2312"/>
                <w:szCs w:val="24"/>
              </w:rPr>
            </w:pPr>
            <w:r>
              <w:rPr>
                <w:rFonts w:hint="eastAsia" w:cs="仿宋_GB2312"/>
                <w:szCs w:val="24"/>
              </w:rPr>
              <w:t>3.2</w:t>
            </w:r>
          </w:p>
        </w:tc>
        <w:tc>
          <w:tcPr>
            <w:tcW w:w="810" w:type="pct"/>
            <w:tcBorders>
              <w:top w:val="single" w:color="auto" w:sz="4" w:space="0"/>
              <w:bottom w:val="single" w:color="auto" w:sz="4" w:space="0"/>
            </w:tcBorders>
            <w:vAlign w:val="center"/>
          </w:tcPr>
          <w:p w14:paraId="13C84D54">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3B486811">
            <w:pPr>
              <w:wordWrap w:val="0"/>
              <w:spacing w:line="360" w:lineRule="auto"/>
              <w:jc w:val="center"/>
              <w:rPr>
                <w:rFonts w:cs="仿宋_GB2312"/>
                <w:szCs w:val="24"/>
              </w:rPr>
            </w:pPr>
          </w:p>
        </w:tc>
      </w:tr>
      <w:tr w14:paraId="61CB35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52" w:hRule="atLeast"/>
          <w:jc w:val="center"/>
        </w:trPr>
        <w:tc>
          <w:tcPr>
            <w:tcW w:w="313" w:type="pct"/>
            <w:vMerge w:val="continue"/>
            <w:vAlign w:val="center"/>
          </w:tcPr>
          <w:p w14:paraId="7A2BACD7">
            <w:pPr>
              <w:numPr>
                <w:ilvl w:val="0"/>
                <w:numId w:val="59"/>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03F084CE">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6BA86576">
            <w:pPr>
              <w:wordWrap w:val="0"/>
              <w:spacing w:line="360" w:lineRule="auto"/>
              <w:jc w:val="left"/>
              <w:rPr>
                <w:rFonts w:cs="仿宋_GB2312"/>
                <w:szCs w:val="24"/>
              </w:rPr>
            </w:pPr>
            <w:r>
              <w:rPr>
                <w:rFonts w:hint="eastAsia" w:cs="仿宋_GB2312"/>
                <w:szCs w:val="24"/>
              </w:rPr>
              <w:t>3.3</w:t>
            </w:r>
          </w:p>
        </w:tc>
        <w:tc>
          <w:tcPr>
            <w:tcW w:w="1265" w:type="pct"/>
            <w:tcBorders>
              <w:top w:val="single" w:color="auto" w:sz="4" w:space="0"/>
              <w:bottom w:val="single" w:color="auto" w:sz="4" w:space="0"/>
            </w:tcBorders>
            <w:vAlign w:val="center"/>
          </w:tcPr>
          <w:p w14:paraId="6E2032B2">
            <w:pPr>
              <w:wordWrap w:val="0"/>
              <w:spacing w:line="360" w:lineRule="auto"/>
              <w:jc w:val="left"/>
              <w:rPr>
                <w:rFonts w:cs="仿宋_GB2312"/>
                <w:szCs w:val="24"/>
              </w:rPr>
            </w:pPr>
            <w:r>
              <w:rPr>
                <w:rFonts w:hint="eastAsia" w:cs="仿宋_GB2312"/>
                <w:szCs w:val="24"/>
              </w:rPr>
              <w:t>3.3</w:t>
            </w:r>
          </w:p>
        </w:tc>
        <w:tc>
          <w:tcPr>
            <w:tcW w:w="810" w:type="pct"/>
            <w:tcBorders>
              <w:top w:val="single" w:color="auto" w:sz="4" w:space="0"/>
              <w:bottom w:val="single" w:color="auto" w:sz="4" w:space="0"/>
            </w:tcBorders>
            <w:vAlign w:val="center"/>
          </w:tcPr>
          <w:p w14:paraId="4C5D7787">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44835638">
            <w:pPr>
              <w:wordWrap w:val="0"/>
              <w:spacing w:line="360" w:lineRule="auto"/>
              <w:jc w:val="center"/>
              <w:rPr>
                <w:rFonts w:cs="仿宋_GB2312"/>
                <w:szCs w:val="24"/>
              </w:rPr>
            </w:pPr>
          </w:p>
        </w:tc>
      </w:tr>
      <w:tr w14:paraId="5BF563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 w:hRule="atLeast"/>
          <w:jc w:val="center"/>
        </w:trPr>
        <w:tc>
          <w:tcPr>
            <w:tcW w:w="313" w:type="pct"/>
            <w:vMerge w:val="continue"/>
            <w:vAlign w:val="center"/>
          </w:tcPr>
          <w:p w14:paraId="3730DF41">
            <w:pPr>
              <w:numPr>
                <w:ilvl w:val="0"/>
                <w:numId w:val="59"/>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483587D0">
            <w:pPr>
              <w:wordWrap w:val="0"/>
              <w:spacing w:line="360" w:lineRule="auto"/>
              <w:jc w:val="center"/>
              <w:rPr>
                <w:rFonts w:cs="仿宋_GB2312"/>
                <w:szCs w:val="24"/>
              </w:rPr>
            </w:pPr>
          </w:p>
        </w:tc>
        <w:tc>
          <w:tcPr>
            <w:tcW w:w="1335" w:type="pct"/>
            <w:tcBorders>
              <w:top w:val="single" w:color="auto" w:sz="4" w:space="0"/>
              <w:left w:val="single" w:color="auto" w:sz="4" w:space="0"/>
            </w:tcBorders>
            <w:vAlign w:val="center"/>
          </w:tcPr>
          <w:p w14:paraId="66F404FB">
            <w:pPr>
              <w:wordWrap w:val="0"/>
              <w:spacing w:line="360" w:lineRule="auto"/>
              <w:jc w:val="left"/>
              <w:rPr>
                <w:rFonts w:cs="仿宋_GB2312"/>
                <w:szCs w:val="24"/>
              </w:rPr>
            </w:pPr>
            <w:r>
              <w:rPr>
                <w:rFonts w:hint="eastAsia" w:cs="宋体"/>
                <w:szCs w:val="24"/>
              </w:rPr>
              <w:t>……</w:t>
            </w:r>
          </w:p>
        </w:tc>
        <w:tc>
          <w:tcPr>
            <w:tcW w:w="1265" w:type="pct"/>
            <w:tcBorders>
              <w:top w:val="single" w:color="auto" w:sz="4" w:space="0"/>
            </w:tcBorders>
            <w:vAlign w:val="center"/>
          </w:tcPr>
          <w:p w14:paraId="154CFDCB">
            <w:pPr>
              <w:wordWrap w:val="0"/>
              <w:spacing w:line="360" w:lineRule="auto"/>
              <w:jc w:val="left"/>
              <w:rPr>
                <w:rFonts w:cs="仿宋_GB2312"/>
                <w:szCs w:val="24"/>
              </w:rPr>
            </w:pPr>
            <w:r>
              <w:rPr>
                <w:rFonts w:hint="eastAsia" w:cs="宋体"/>
                <w:szCs w:val="24"/>
              </w:rPr>
              <w:t>……</w:t>
            </w:r>
          </w:p>
        </w:tc>
        <w:tc>
          <w:tcPr>
            <w:tcW w:w="810" w:type="pct"/>
            <w:tcBorders>
              <w:top w:val="single" w:color="auto" w:sz="4" w:space="0"/>
            </w:tcBorders>
            <w:vAlign w:val="center"/>
          </w:tcPr>
          <w:p w14:paraId="37B87BA3">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vAlign w:val="center"/>
          </w:tcPr>
          <w:p w14:paraId="5E884890">
            <w:pPr>
              <w:wordWrap w:val="0"/>
              <w:spacing w:line="360" w:lineRule="auto"/>
              <w:jc w:val="left"/>
              <w:rPr>
                <w:rFonts w:cs="仿宋_GB2312"/>
                <w:szCs w:val="24"/>
              </w:rPr>
            </w:pPr>
            <w:r>
              <w:rPr>
                <w:rFonts w:hint="eastAsia" w:cs="宋体"/>
                <w:szCs w:val="24"/>
              </w:rPr>
              <w:t>……</w:t>
            </w:r>
          </w:p>
        </w:tc>
      </w:tr>
      <w:tr w14:paraId="501889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3" w:type="pct"/>
            <w:vAlign w:val="center"/>
          </w:tcPr>
          <w:p w14:paraId="78FC9B7E">
            <w:pPr>
              <w:wordWrap w:val="0"/>
              <w:spacing w:line="360" w:lineRule="auto"/>
              <w:jc w:val="center"/>
              <w:rPr>
                <w:rFonts w:cs="仿宋_GB2312"/>
                <w:szCs w:val="24"/>
              </w:rPr>
            </w:pPr>
            <w:r>
              <w:rPr>
                <w:rFonts w:hint="eastAsia" w:cs="仿宋_GB2312"/>
                <w:szCs w:val="24"/>
              </w:rPr>
              <w:t>…</w:t>
            </w:r>
          </w:p>
        </w:tc>
        <w:tc>
          <w:tcPr>
            <w:tcW w:w="661" w:type="pct"/>
            <w:tcBorders>
              <w:right w:val="single" w:color="auto" w:sz="4" w:space="0"/>
            </w:tcBorders>
            <w:vAlign w:val="center"/>
          </w:tcPr>
          <w:p w14:paraId="1C08F61D">
            <w:pPr>
              <w:wordWrap w:val="0"/>
              <w:spacing w:line="360" w:lineRule="auto"/>
              <w:jc w:val="left"/>
              <w:rPr>
                <w:rFonts w:cs="仿宋_GB2312"/>
                <w:szCs w:val="24"/>
              </w:rPr>
            </w:pPr>
            <w:r>
              <w:rPr>
                <w:rFonts w:hint="eastAsia" w:cs="宋体"/>
                <w:szCs w:val="24"/>
              </w:rPr>
              <w:t>……</w:t>
            </w:r>
          </w:p>
        </w:tc>
        <w:tc>
          <w:tcPr>
            <w:tcW w:w="1335" w:type="pct"/>
            <w:tcBorders>
              <w:left w:val="single" w:color="auto" w:sz="4" w:space="0"/>
            </w:tcBorders>
            <w:vAlign w:val="center"/>
          </w:tcPr>
          <w:p w14:paraId="4C4E3DBC">
            <w:pPr>
              <w:wordWrap w:val="0"/>
              <w:spacing w:line="360" w:lineRule="auto"/>
              <w:jc w:val="left"/>
              <w:rPr>
                <w:rFonts w:cs="仿宋_GB2312"/>
                <w:szCs w:val="24"/>
              </w:rPr>
            </w:pPr>
            <w:r>
              <w:rPr>
                <w:rFonts w:hint="eastAsia" w:cs="宋体"/>
                <w:szCs w:val="24"/>
              </w:rPr>
              <w:t>……</w:t>
            </w:r>
          </w:p>
        </w:tc>
        <w:tc>
          <w:tcPr>
            <w:tcW w:w="1265" w:type="pct"/>
            <w:vAlign w:val="center"/>
          </w:tcPr>
          <w:p w14:paraId="2C1AB69C">
            <w:pPr>
              <w:wordWrap w:val="0"/>
              <w:spacing w:line="360" w:lineRule="auto"/>
              <w:jc w:val="left"/>
              <w:rPr>
                <w:rFonts w:cs="仿宋_GB2312"/>
                <w:szCs w:val="24"/>
              </w:rPr>
            </w:pPr>
            <w:r>
              <w:rPr>
                <w:rFonts w:hint="eastAsia" w:cs="宋体"/>
                <w:szCs w:val="24"/>
              </w:rPr>
              <w:t>……</w:t>
            </w:r>
          </w:p>
        </w:tc>
        <w:tc>
          <w:tcPr>
            <w:tcW w:w="810" w:type="pct"/>
            <w:vAlign w:val="center"/>
          </w:tcPr>
          <w:p w14:paraId="7CEFF5FE">
            <w:pPr>
              <w:wordWrap w:val="0"/>
              <w:spacing w:line="360" w:lineRule="auto"/>
              <w:jc w:val="left"/>
              <w:rPr>
                <w:rFonts w:cs="仿宋_GB2312"/>
                <w:szCs w:val="24"/>
              </w:rPr>
            </w:pPr>
            <w:r>
              <w:rPr>
                <w:rFonts w:hint="eastAsia" w:cs="宋体"/>
                <w:szCs w:val="24"/>
              </w:rPr>
              <w:t>……</w:t>
            </w:r>
          </w:p>
        </w:tc>
        <w:tc>
          <w:tcPr>
            <w:tcW w:w="616" w:type="pct"/>
            <w:vAlign w:val="center"/>
          </w:tcPr>
          <w:p w14:paraId="3B779F46">
            <w:pPr>
              <w:wordWrap w:val="0"/>
              <w:spacing w:line="360" w:lineRule="auto"/>
              <w:jc w:val="left"/>
              <w:rPr>
                <w:rFonts w:cs="仿宋_GB2312"/>
                <w:szCs w:val="24"/>
              </w:rPr>
            </w:pPr>
            <w:r>
              <w:rPr>
                <w:rFonts w:hint="eastAsia" w:cs="宋体"/>
                <w:szCs w:val="24"/>
              </w:rPr>
              <w:t>……</w:t>
            </w:r>
          </w:p>
        </w:tc>
      </w:tr>
    </w:tbl>
    <w:p w14:paraId="6BFAF829">
      <w:pPr>
        <w:wordWrap w:val="0"/>
        <w:spacing w:line="360" w:lineRule="auto"/>
        <w:ind w:left="1132" w:hanging="1132" w:hangingChars="470"/>
        <w:jc w:val="left"/>
        <w:rPr>
          <w:szCs w:val="24"/>
        </w:rPr>
      </w:pPr>
      <w:r>
        <w:rPr>
          <w:rFonts w:hint="eastAsia"/>
          <w:b/>
          <w:szCs w:val="24"/>
        </w:rPr>
        <w:t>说明</w:t>
      </w:r>
      <w:r>
        <w:rPr>
          <w:rFonts w:hint="eastAsia" w:cs="Corbel"/>
          <w:b/>
          <w:szCs w:val="24"/>
        </w:rPr>
        <w:t>：</w:t>
      </w:r>
      <w:r>
        <w:rPr>
          <w:rFonts w:hint="eastAsia" w:cs="Corbel"/>
          <w:szCs w:val="24"/>
        </w:rPr>
        <w:t>1、应按竞争性磋商文件“第四章 评审办法”中“商务要求”条款逐项在“磋商文件响应的内容”栏中进行响应说明，并在“偏离说明”栏中注明是否偏离，如有偏离,供应商应详细说明。未按照要求填写此表或在“响应文件响应的内容”栏中仅注明“符合”、“满足”的，导致的后果由供应商自行承担</w:t>
      </w:r>
      <w:r>
        <w:rPr>
          <w:rFonts w:hint="eastAsia"/>
          <w:szCs w:val="24"/>
        </w:rPr>
        <w:t>。</w:t>
      </w:r>
    </w:p>
    <w:p w14:paraId="2B0AAEE2">
      <w:pPr>
        <w:wordWrap w:val="0"/>
        <w:spacing w:line="360" w:lineRule="auto"/>
        <w:ind w:left="1228" w:leftChars="366" w:hanging="350" w:hangingChars="146"/>
        <w:jc w:val="left"/>
        <w:rPr>
          <w:szCs w:val="24"/>
        </w:rPr>
      </w:pPr>
      <w:r>
        <w:rPr>
          <w:rFonts w:hint="eastAsia" w:cs="Corbel"/>
          <w:szCs w:val="24"/>
        </w:rPr>
        <w:t>2、应将对应响应内容的页码（多页的，起码和止码）填写到上表“响应文件对应页码”栏中。未提供准确页码或页码与对应内容不一致的，导致的后果由供应商自行承担。</w:t>
      </w:r>
    </w:p>
    <w:p w14:paraId="342FE480">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0EEF3885">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7D19A788">
      <w:pPr>
        <w:pStyle w:val="4"/>
        <w:numPr>
          <w:ilvl w:val="0"/>
          <w:numId w:val="60"/>
        </w:numPr>
        <w:wordWrap w:val="0"/>
        <w:spacing w:before="40" w:after="40" w:line="360" w:lineRule="auto"/>
        <w:ind w:left="1285" w:hanging="1285" w:hangingChars="400"/>
        <w:jc w:val="left"/>
        <w:rPr>
          <w:rFonts w:ascii="宋体" w:hAnsi="宋体" w:eastAsia="宋体" w:cs="Times New Roman"/>
          <w:bCs w:val="0"/>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14:paraId="3BC38D7D">
      <w:pPr>
        <w:pStyle w:val="4"/>
        <w:numPr>
          <w:ilvl w:val="0"/>
          <w:numId w:val="50"/>
        </w:numPr>
        <w:tabs>
          <w:tab w:val="left" w:pos="567"/>
        </w:tabs>
        <w:spacing w:before="0" w:after="0" w:line="360" w:lineRule="auto"/>
        <w:ind w:left="482" w:hanging="482" w:hangingChars="200"/>
        <w:jc w:val="left"/>
        <w:rPr>
          <w:rFonts w:ascii="宋体" w:hAnsi="宋体" w:eastAsia="宋体"/>
          <w:sz w:val="24"/>
          <w:szCs w:val="24"/>
        </w:rPr>
      </w:pPr>
      <w:bookmarkStart w:id="491" w:name="_Toc117244502"/>
      <w:bookmarkStart w:id="492" w:name="_Toc117244387"/>
      <w:bookmarkStart w:id="493" w:name="_Toc122527556"/>
      <w:bookmarkStart w:id="494" w:name="_Toc107561308"/>
      <w:r>
        <w:rPr>
          <w:rFonts w:hint="eastAsia"/>
          <w:sz w:val="24"/>
          <w:szCs w:val="21"/>
        </w:rPr>
        <w:t>技术</w:t>
      </w:r>
      <w:r>
        <w:rPr>
          <w:rFonts w:hint="eastAsia" w:ascii="宋体" w:hAnsi="宋体" w:eastAsia="宋体"/>
          <w:sz w:val="24"/>
          <w:szCs w:val="24"/>
        </w:rPr>
        <w:t>要求</w:t>
      </w:r>
      <w:r>
        <w:rPr>
          <w:rFonts w:hint="eastAsia" w:ascii="宋体" w:hAnsi="宋体" w:eastAsia="宋体" w:cs="Times New Roman"/>
          <w:bCs w:val="0"/>
          <w:sz w:val="24"/>
          <w:szCs w:val="24"/>
        </w:rPr>
        <w:t>响应</w:t>
      </w:r>
      <w:r>
        <w:rPr>
          <w:rFonts w:hint="eastAsia" w:ascii="宋体" w:hAnsi="宋体" w:eastAsia="宋体"/>
          <w:sz w:val="24"/>
          <w:szCs w:val="24"/>
        </w:rPr>
        <w:t>偏离说明表</w:t>
      </w:r>
      <w:bookmarkEnd w:id="491"/>
      <w:bookmarkEnd w:id="492"/>
      <w:bookmarkEnd w:id="493"/>
    </w:p>
    <w:p w14:paraId="4220FF22">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14:paraId="0DCCAE67">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0"/>
        <w:tblW w:w="492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7"/>
        <w:gridCol w:w="1033"/>
        <w:gridCol w:w="2698"/>
        <w:gridCol w:w="2656"/>
        <w:gridCol w:w="1416"/>
        <w:gridCol w:w="1196"/>
      </w:tblGrid>
      <w:tr w14:paraId="6561A1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255" w:type="pct"/>
            <w:gridSpan w:val="3"/>
            <w:tcBorders>
              <w:bottom w:val="single" w:color="auto" w:sz="4" w:space="0"/>
            </w:tcBorders>
            <w:shd w:val="pct10" w:color="C3BD96" w:themeColor="background2" w:themeShade="BF" w:fill="DDD9C4" w:themeFill="background2" w:themeFillShade="E6"/>
            <w:vAlign w:val="center"/>
          </w:tcPr>
          <w:p w14:paraId="3BA69C24">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竞争性磋商文件技术要求</w:t>
            </w:r>
          </w:p>
        </w:tc>
        <w:tc>
          <w:tcPr>
            <w:tcW w:w="1384" w:type="pct"/>
            <w:vMerge w:val="restart"/>
            <w:shd w:val="pct10" w:color="C3BD96" w:themeColor="background2" w:themeShade="BF" w:fill="DDD9C4" w:themeFill="background2" w:themeFillShade="E6"/>
            <w:vAlign w:val="center"/>
          </w:tcPr>
          <w:p w14:paraId="26DED3C7">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响应文件响应的内容</w:t>
            </w:r>
          </w:p>
        </w:tc>
        <w:tc>
          <w:tcPr>
            <w:tcW w:w="738" w:type="pct"/>
            <w:vMerge w:val="restart"/>
            <w:shd w:val="pct10" w:color="C3BD96" w:themeColor="background2" w:themeShade="BF" w:fill="DDD9C4" w:themeFill="background2" w:themeFillShade="E6"/>
            <w:vAlign w:val="center"/>
          </w:tcPr>
          <w:p w14:paraId="1F5F4D21">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23" w:type="pct"/>
            <w:vMerge w:val="restart"/>
            <w:shd w:val="pct10" w:color="C3BD96" w:themeColor="background2" w:themeShade="BF" w:fill="DDD9C4" w:themeFill="background2" w:themeFillShade="E6"/>
            <w:vAlign w:val="center"/>
          </w:tcPr>
          <w:p w14:paraId="280C5698">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14:paraId="025EF3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1" w:type="pct"/>
            <w:tcBorders>
              <w:top w:val="single" w:color="auto" w:sz="4" w:space="0"/>
            </w:tcBorders>
            <w:shd w:val="pct10" w:color="C3BD96" w:themeColor="background2" w:themeShade="BF" w:fill="DDD9C4" w:themeFill="background2" w:themeFillShade="E6"/>
            <w:vAlign w:val="center"/>
          </w:tcPr>
          <w:p w14:paraId="239ACDB4">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538" w:type="pct"/>
            <w:tcBorders>
              <w:top w:val="single" w:color="auto" w:sz="4" w:space="0"/>
              <w:right w:val="single" w:color="auto" w:sz="4" w:space="0"/>
            </w:tcBorders>
            <w:shd w:val="pct10" w:color="C3BD96" w:themeColor="background2" w:themeShade="BF" w:fill="DDD9C4" w:themeFill="background2" w:themeFillShade="E6"/>
            <w:vAlign w:val="center"/>
          </w:tcPr>
          <w:p w14:paraId="5C7CC052">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名称</w:t>
            </w:r>
          </w:p>
        </w:tc>
        <w:tc>
          <w:tcPr>
            <w:tcW w:w="1406" w:type="pct"/>
            <w:tcBorders>
              <w:top w:val="single" w:color="auto" w:sz="4" w:space="0"/>
              <w:left w:val="single" w:color="auto" w:sz="4" w:space="0"/>
            </w:tcBorders>
            <w:shd w:val="pct10" w:color="C3BD96" w:themeColor="background2" w:themeShade="BF" w:fill="DDD9C4" w:themeFill="background2" w:themeFillShade="E6"/>
            <w:vAlign w:val="center"/>
          </w:tcPr>
          <w:p w14:paraId="76AD8C98">
            <w:pPr>
              <w:wordWrap w:val="0"/>
              <w:spacing w:before="100" w:beforeAutospacing="1" w:after="100" w:afterAutospacing="1" w:line="360" w:lineRule="auto"/>
              <w:ind w:left="-60" w:leftChars="-25" w:right="-60" w:rightChars="-25"/>
              <w:jc w:val="center"/>
              <w:rPr>
                <w:rFonts w:cs="仿宋_GB2312"/>
                <w:szCs w:val="24"/>
              </w:rPr>
            </w:pPr>
            <w:r>
              <w:rPr>
                <w:rFonts w:hint="eastAsia"/>
                <w:bCs/>
                <w:szCs w:val="24"/>
              </w:rPr>
              <w:t>功能及技术参数</w:t>
            </w:r>
          </w:p>
        </w:tc>
        <w:tc>
          <w:tcPr>
            <w:tcW w:w="1384" w:type="pct"/>
            <w:vMerge w:val="continue"/>
            <w:shd w:val="pct10" w:color="C3BD96" w:themeColor="background2" w:themeShade="BF" w:fill="DDD9C4" w:themeFill="background2" w:themeFillShade="E6"/>
            <w:vAlign w:val="center"/>
          </w:tcPr>
          <w:p w14:paraId="1C285259">
            <w:pPr>
              <w:wordWrap w:val="0"/>
              <w:spacing w:before="100" w:beforeAutospacing="1" w:after="100" w:afterAutospacing="1" w:line="360" w:lineRule="auto"/>
              <w:ind w:left="-60" w:leftChars="-25" w:right="-60" w:rightChars="-25"/>
              <w:jc w:val="center"/>
              <w:rPr>
                <w:rFonts w:cs="仿宋_GB2312"/>
                <w:szCs w:val="24"/>
              </w:rPr>
            </w:pPr>
          </w:p>
        </w:tc>
        <w:tc>
          <w:tcPr>
            <w:tcW w:w="738" w:type="pct"/>
            <w:vMerge w:val="continue"/>
            <w:shd w:val="pct10" w:color="C3BD96" w:themeColor="background2" w:themeShade="BF" w:fill="DDD9C4" w:themeFill="background2" w:themeFillShade="E6"/>
            <w:vAlign w:val="center"/>
          </w:tcPr>
          <w:p w14:paraId="599A13D1">
            <w:pPr>
              <w:wordWrap w:val="0"/>
              <w:spacing w:before="100" w:beforeAutospacing="1" w:after="100" w:afterAutospacing="1" w:line="360" w:lineRule="auto"/>
              <w:ind w:left="-60" w:leftChars="-25" w:right="-60" w:rightChars="-25"/>
              <w:jc w:val="center"/>
              <w:rPr>
                <w:rFonts w:cs="仿宋_GB2312"/>
                <w:szCs w:val="24"/>
              </w:rPr>
            </w:pPr>
          </w:p>
        </w:tc>
        <w:tc>
          <w:tcPr>
            <w:tcW w:w="623" w:type="pct"/>
            <w:vMerge w:val="continue"/>
            <w:shd w:val="pct10" w:color="C3BD96" w:themeColor="background2" w:themeShade="BF" w:fill="DDD9C4" w:themeFill="background2" w:themeFillShade="E6"/>
          </w:tcPr>
          <w:p w14:paraId="594B9D44">
            <w:pPr>
              <w:wordWrap w:val="0"/>
              <w:spacing w:before="100" w:beforeAutospacing="1" w:after="100" w:afterAutospacing="1" w:line="360" w:lineRule="auto"/>
              <w:ind w:left="-60" w:leftChars="-25" w:right="-60" w:rightChars="-25"/>
              <w:jc w:val="center"/>
              <w:rPr>
                <w:rFonts w:cs="仿宋_GB2312"/>
                <w:szCs w:val="24"/>
              </w:rPr>
            </w:pPr>
          </w:p>
        </w:tc>
      </w:tr>
      <w:tr w14:paraId="1CC634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1F3FD4C4">
            <w:pPr>
              <w:numPr>
                <w:ilvl w:val="0"/>
                <w:numId w:val="61"/>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vAlign w:val="center"/>
          </w:tcPr>
          <w:p w14:paraId="62AAC7C4">
            <w:pPr>
              <w:wordWrap w:val="0"/>
              <w:spacing w:line="360" w:lineRule="auto"/>
              <w:jc w:val="center"/>
              <w:rPr>
                <w:rFonts w:cs="仿宋_GB2312"/>
                <w:szCs w:val="24"/>
              </w:rPr>
            </w:pPr>
          </w:p>
        </w:tc>
        <w:tc>
          <w:tcPr>
            <w:tcW w:w="1406" w:type="pct"/>
            <w:tcBorders>
              <w:left w:val="single" w:color="auto" w:sz="4" w:space="0"/>
              <w:bottom w:val="single" w:color="auto" w:sz="4" w:space="0"/>
            </w:tcBorders>
            <w:vAlign w:val="center"/>
          </w:tcPr>
          <w:p w14:paraId="3A452ED0">
            <w:pPr>
              <w:wordWrap w:val="0"/>
              <w:spacing w:line="360" w:lineRule="auto"/>
              <w:jc w:val="left"/>
              <w:rPr>
                <w:rFonts w:cs="仿宋_GB2312"/>
                <w:szCs w:val="24"/>
              </w:rPr>
            </w:pPr>
            <w:r>
              <w:rPr>
                <w:rFonts w:hint="eastAsia" w:cs="仿宋_GB2312"/>
                <w:szCs w:val="24"/>
              </w:rPr>
              <w:t>1.1</w:t>
            </w:r>
          </w:p>
        </w:tc>
        <w:tc>
          <w:tcPr>
            <w:tcW w:w="1384" w:type="pct"/>
            <w:tcBorders>
              <w:bottom w:val="single" w:color="auto" w:sz="4" w:space="0"/>
            </w:tcBorders>
            <w:vAlign w:val="center"/>
          </w:tcPr>
          <w:p w14:paraId="33FF7FED">
            <w:pPr>
              <w:wordWrap w:val="0"/>
              <w:spacing w:line="360" w:lineRule="auto"/>
              <w:jc w:val="left"/>
              <w:rPr>
                <w:rFonts w:cs="仿宋_GB2312"/>
                <w:szCs w:val="24"/>
              </w:rPr>
            </w:pPr>
            <w:r>
              <w:rPr>
                <w:rFonts w:hint="eastAsia" w:cs="仿宋_GB2312"/>
                <w:szCs w:val="24"/>
              </w:rPr>
              <w:t>1.1</w:t>
            </w:r>
          </w:p>
        </w:tc>
        <w:tc>
          <w:tcPr>
            <w:tcW w:w="738" w:type="pct"/>
            <w:tcBorders>
              <w:bottom w:val="single" w:color="auto" w:sz="4" w:space="0"/>
            </w:tcBorders>
            <w:vAlign w:val="center"/>
          </w:tcPr>
          <w:p w14:paraId="543FFDA7">
            <w:pPr>
              <w:wordWrap w:val="0"/>
              <w:spacing w:line="360" w:lineRule="auto"/>
              <w:jc w:val="center"/>
              <w:rPr>
                <w:rFonts w:cs="仿宋_GB2312"/>
                <w:szCs w:val="24"/>
              </w:rPr>
            </w:pPr>
          </w:p>
        </w:tc>
        <w:tc>
          <w:tcPr>
            <w:tcW w:w="623" w:type="pct"/>
            <w:tcBorders>
              <w:bottom w:val="single" w:color="auto" w:sz="4" w:space="0"/>
            </w:tcBorders>
            <w:vAlign w:val="center"/>
          </w:tcPr>
          <w:p w14:paraId="329E391B">
            <w:pPr>
              <w:wordWrap w:val="0"/>
              <w:spacing w:line="360" w:lineRule="auto"/>
              <w:jc w:val="center"/>
              <w:rPr>
                <w:rFonts w:cs="仿宋_GB2312"/>
                <w:szCs w:val="24"/>
              </w:rPr>
            </w:pPr>
          </w:p>
        </w:tc>
      </w:tr>
      <w:tr w14:paraId="5258F6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2C94EF8">
            <w:pPr>
              <w:numPr>
                <w:ilvl w:val="0"/>
                <w:numId w:val="61"/>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1ACC86A5">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3D32DB9C">
            <w:pPr>
              <w:wordWrap w:val="0"/>
              <w:spacing w:line="360" w:lineRule="auto"/>
              <w:jc w:val="left"/>
              <w:rPr>
                <w:rFonts w:cs="仿宋_GB2312"/>
                <w:szCs w:val="24"/>
              </w:rPr>
            </w:pPr>
            <w:r>
              <w:rPr>
                <w:rFonts w:hint="eastAsia" w:cs="仿宋_GB2312"/>
                <w:szCs w:val="24"/>
              </w:rPr>
              <w:t>1.2</w:t>
            </w:r>
          </w:p>
        </w:tc>
        <w:tc>
          <w:tcPr>
            <w:tcW w:w="1384" w:type="pct"/>
            <w:tcBorders>
              <w:top w:val="single" w:color="auto" w:sz="4" w:space="0"/>
              <w:bottom w:val="single" w:color="auto" w:sz="4" w:space="0"/>
            </w:tcBorders>
            <w:vAlign w:val="center"/>
          </w:tcPr>
          <w:p w14:paraId="1D64E0F8">
            <w:pPr>
              <w:wordWrap w:val="0"/>
              <w:spacing w:line="360" w:lineRule="auto"/>
              <w:jc w:val="left"/>
              <w:rPr>
                <w:rFonts w:cs="仿宋_GB2312"/>
                <w:szCs w:val="24"/>
              </w:rPr>
            </w:pPr>
            <w:r>
              <w:rPr>
                <w:rFonts w:hint="eastAsia" w:cs="仿宋_GB2312"/>
                <w:szCs w:val="24"/>
              </w:rPr>
              <w:t>1.2</w:t>
            </w:r>
          </w:p>
        </w:tc>
        <w:tc>
          <w:tcPr>
            <w:tcW w:w="738" w:type="pct"/>
            <w:tcBorders>
              <w:top w:val="single" w:color="auto" w:sz="4" w:space="0"/>
              <w:bottom w:val="single" w:color="auto" w:sz="4" w:space="0"/>
            </w:tcBorders>
            <w:vAlign w:val="center"/>
          </w:tcPr>
          <w:p w14:paraId="0E9B8A6C">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5C070A13">
            <w:pPr>
              <w:wordWrap w:val="0"/>
              <w:spacing w:line="360" w:lineRule="auto"/>
              <w:jc w:val="center"/>
              <w:rPr>
                <w:rFonts w:cs="仿宋_GB2312"/>
                <w:szCs w:val="24"/>
              </w:rPr>
            </w:pPr>
          </w:p>
        </w:tc>
      </w:tr>
      <w:tr w14:paraId="2B7F62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5200C00F">
            <w:pPr>
              <w:numPr>
                <w:ilvl w:val="0"/>
                <w:numId w:val="61"/>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799A2774">
            <w:pPr>
              <w:wordWrap w:val="0"/>
              <w:spacing w:line="360" w:lineRule="auto"/>
              <w:jc w:val="center"/>
              <w:rPr>
                <w:rFonts w:cs="仿宋_GB2312"/>
                <w:szCs w:val="24"/>
              </w:rPr>
            </w:pPr>
          </w:p>
        </w:tc>
        <w:tc>
          <w:tcPr>
            <w:tcW w:w="1406" w:type="pct"/>
            <w:tcBorders>
              <w:top w:val="single" w:color="auto" w:sz="4" w:space="0"/>
              <w:left w:val="single" w:color="auto" w:sz="4" w:space="0"/>
            </w:tcBorders>
            <w:vAlign w:val="center"/>
          </w:tcPr>
          <w:p w14:paraId="7F1F8D8A">
            <w:pPr>
              <w:wordWrap w:val="0"/>
              <w:spacing w:line="360" w:lineRule="auto"/>
              <w:jc w:val="left"/>
              <w:rPr>
                <w:rFonts w:cs="仿宋_GB2312"/>
                <w:szCs w:val="24"/>
              </w:rPr>
            </w:pPr>
            <w:r>
              <w:rPr>
                <w:rFonts w:hint="eastAsia" w:cs="宋体"/>
                <w:szCs w:val="24"/>
              </w:rPr>
              <w:t>……</w:t>
            </w:r>
          </w:p>
        </w:tc>
        <w:tc>
          <w:tcPr>
            <w:tcW w:w="1384" w:type="pct"/>
            <w:tcBorders>
              <w:top w:val="single" w:color="auto" w:sz="4" w:space="0"/>
            </w:tcBorders>
            <w:vAlign w:val="center"/>
          </w:tcPr>
          <w:p w14:paraId="0C5F2FA2">
            <w:pPr>
              <w:wordWrap w:val="0"/>
              <w:spacing w:line="360" w:lineRule="auto"/>
              <w:jc w:val="left"/>
              <w:rPr>
                <w:rFonts w:cs="仿宋_GB2312"/>
                <w:szCs w:val="24"/>
              </w:rPr>
            </w:pPr>
            <w:r>
              <w:rPr>
                <w:rFonts w:hint="eastAsia" w:cs="宋体"/>
                <w:szCs w:val="24"/>
              </w:rPr>
              <w:t>……</w:t>
            </w:r>
          </w:p>
        </w:tc>
        <w:tc>
          <w:tcPr>
            <w:tcW w:w="738" w:type="pct"/>
            <w:tcBorders>
              <w:top w:val="single" w:color="auto" w:sz="4" w:space="0"/>
            </w:tcBorders>
            <w:vAlign w:val="center"/>
          </w:tcPr>
          <w:p w14:paraId="72A88D4F">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vAlign w:val="center"/>
          </w:tcPr>
          <w:p w14:paraId="6218E13B">
            <w:pPr>
              <w:wordWrap w:val="0"/>
              <w:spacing w:line="360" w:lineRule="auto"/>
              <w:jc w:val="center"/>
              <w:rPr>
                <w:rFonts w:cs="仿宋_GB2312"/>
                <w:szCs w:val="24"/>
              </w:rPr>
            </w:pPr>
            <w:r>
              <w:rPr>
                <w:rFonts w:hint="eastAsia" w:cs="宋体"/>
                <w:szCs w:val="24"/>
              </w:rPr>
              <w:t>……</w:t>
            </w:r>
          </w:p>
        </w:tc>
      </w:tr>
      <w:tr w14:paraId="16B755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6BB1C7AA">
            <w:pPr>
              <w:numPr>
                <w:ilvl w:val="0"/>
                <w:numId w:val="61"/>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vAlign w:val="center"/>
          </w:tcPr>
          <w:p w14:paraId="097B8F5A">
            <w:pPr>
              <w:wordWrap w:val="0"/>
              <w:spacing w:line="360" w:lineRule="auto"/>
              <w:jc w:val="center"/>
              <w:rPr>
                <w:rFonts w:cs="仿宋_GB2312"/>
                <w:szCs w:val="24"/>
              </w:rPr>
            </w:pPr>
          </w:p>
        </w:tc>
        <w:tc>
          <w:tcPr>
            <w:tcW w:w="1406" w:type="pct"/>
            <w:tcBorders>
              <w:left w:val="single" w:color="auto" w:sz="4" w:space="0"/>
              <w:bottom w:val="single" w:color="auto" w:sz="4" w:space="0"/>
            </w:tcBorders>
            <w:vAlign w:val="center"/>
          </w:tcPr>
          <w:p w14:paraId="66B9EF07">
            <w:pPr>
              <w:wordWrap w:val="0"/>
              <w:spacing w:line="360" w:lineRule="auto"/>
              <w:jc w:val="left"/>
              <w:rPr>
                <w:rFonts w:cs="仿宋_GB2312"/>
                <w:szCs w:val="24"/>
              </w:rPr>
            </w:pPr>
            <w:r>
              <w:rPr>
                <w:rFonts w:hint="eastAsia" w:cs="仿宋_GB2312"/>
                <w:szCs w:val="24"/>
              </w:rPr>
              <w:t>2.1</w:t>
            </w:r>
          </w:p>
        </w:tc>
        <w:tc>
          <w:tcPr>
            <w:tcW w:w="1384" w:type="pct"/>
            <w:tcBorders>
              <w:bottom w:val="single" w:color="auto" w:sz="4" w:space="0"/>
            </w:tcBorders>
            <w:vAlign w:val="center"/>
          </w:tcPr>
          <w:p w14:paraId="79BB7D9A">
            <w:pPr>
              <w:wordWrap w:val="0"/>
              <w:spacing w:line="360" w:lineRule="auto"/>
              <w:jc w:val="left"/>
              <w:rPr>
                <w:rFonts w:cs="仿宋_GB2312"/>
                <w:szCs w:val="24"/>
              </w:rPr>
            </w:pPr>
            <w:r>
              <w:rPr>
                <w:rFonts w:hint="eastAsia" w:cs="仿宋_GB2312"/>
                <w:szCs w:val="24"/>
              </w:rPr>
              <w:t>2.1</w:t>
            </w:r>
          </w:p>
        </w:tc>
        <w:tc>
          <w:tcPr>
            <w:tcW w:w="738" w:type="pct"/>
            <w:tcBorders>
              <w:bottom w:val="single" w:color="auto" w:sz="4" w:space="0"/>
            </w:tcBorders>
            <w:vAlign w:val="center"/>
          </w:tcPr>
          <w:p w14:paraId="4FEC5971">
            <w:pPr>
              <w:wordWrap w:val="0"/>
              <w:spacing w:line="360" w:lineRule="auto"/>
              <w:jc w:val="center"/>
              <w:rPr>
                <w:rFonts w:cs="仿宋_GB2312"/>
                <w:szCs w:val="24"/>
              </w:rPr>
            </w:pPr>
          </w:p>
        </w:tc>
        <w:tc>
          <w:tcPr>
            <w:tcW w:w="623" w:type="pct"/>
            <w:tcBorders>
              <w:bottom w:val="single" w:color="auto" w:sz="4" w:space="0"/>
            </w:tcBorders>
            <w:vAlign w:val="center"/>
          </w:tcPr>
          <w:p w14:paraId="15C64B94">
            <w:pPr>
              <w:wordWrap w:val="0"/>
              <w:spacing w:line="360" w:lineRule="auto"/>
              <w:jc w:val="center"/>
              <w:rPr>
                <w:rFonts w:cs="仿宋_GB2312"/>
                <w:szCs w:val="24"/>
              </w:rPr>
            </w:pPr>
          </w:p>
        </w:tc>
      </w:tr>
      <w:tr w14:paraId="13A6DB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64EBB5F3">
            <w:pPr>
              <w:numPr>
                <w:ilvl w:val="0"/>
                <w:numId w:val="61"/>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06E886F0">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2AA11749">
            <w:pPr>
              <w:wordWrap w:val="0"/>
              <w:spacing w:line="360" w:lineRule="auto"/>
              <w:jc w:val="left"/>
              <w:rPr>
                <w:rFonts w:cs="仿宋_GB2312"/>
                <w:szCs w:val="24"/>
              </w:rPr>
            </w:pPr>
            <w:r>
              <w:rPr>
                <w:rFonts w:hint="eastAsia" w:cs="仿宋_GB2312"/>
                <w:szCs w:val="24"/>
              </w:rPr>
              <w:t>2.2</w:t>
            </w:r>
          </w:p>
        </w:tc>
        <w:tc>
          <w:tcPr>
            <w:tcW w:w="1384" w:type="pct"/>
            <w:tcBorders>
              <w:top w:val="single" w:color="auto" w:sz="4" w:space="0"/>
              <w:bottom w:val="single" w:color="auto" w:sz="4" w:space="0"/>
            </w:tcBorders>
            <w:vAlign w:val="center"/>
          </w:tcPr>
          <w:p w14:paraId="568608D3">
            <w:pPr>
              <w:wordWrap w:val="0"/>
              <w:spacing w:line="360" w:lineRule="auto"/>
              <w:jc w:val="left"/>
              <w:rPr>
                <w:rFonts w:cs="仿宋_GB2312"/>
                <w:szCs w:val="24"/>
              </w:rPr>
            </w:pPr>
            <w:r>
              <w:rPr>
                <w:rFonts w:hint="eastAsia" w:cs="仿宋_GB2312"/>
                <w:szCs w:val="24"/>
              </w:rPr>
              <w:t>2.2</w:t>
            </w:r>
          </w:p>
        </w:tc>
        <w:tc>
          <w:tcPr>
            <w:tcW w:w="738" w:type="pct"/>
            <w:tcBorders>
              <w:top w:val="single" w:color="auto" w:sz="4" w:space="0"/>
              <w:bottom w:val="single" w:color="auto" w:sz="4" w:space="0"/>
            </w:tcBorders>
            <w:vAlign w:val="center"/>
          </w:tcPr>
          <w:p w14:paraId="72497710">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494101BE">
            <w:pPr>
              <w:wordWrap w:val="0"/>
              <w:spacing w:line="360" w:lineRule="auto"/>
              <w:jc w:val="center"/>
              <w:rPr>
                <w:rFonts w:cs="仿宋_GB2312"/>
                <w:szCs w:val="24"/>
              </w:rPr>
            </w:pPr>
          </w:p>
        </w:tc>
      </w:tr>
      <w:tr w14:paraId="07B7C2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0A227847">
            <w:pPr>
              <w:numPr>
                <w:ilvl w:val="0"/>
                <w:numId w:val="61"/>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6D4A57CD">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023A6B3C">
            <w:pPr>
              <w:wordWrap w:val="0"/>
              <w:spacing w:line="360" w:lineRule="auto"/>
              <w:jc w:val="left"/>
              <w:rPr>
                <w:rFonts w:cs="仿宋_GB2312"/>
                <w:szCs w:val="24"/>
              </w:rPr>
            </w:pPr>
            <w:r>
              <w:rPr>
                <w:rFonts w:hint="eastAsia" w:cs="仿宋_GB2312"/>
                <w:szCs w:val="24"/>
              </w:rPr>
              <w:t>2.3</w:t>
            </w:r>
          </w:p>
        </w:tc>
        <w:tc>
          <w:tcPr>
            <w:tcW w:w="1384" w:type="pct"/>
            <w:tcBorders>
              <w:top w:val="single" w:color="auto" w:sz="4" w:space="0"/>
              <w:bottom w:val="single" w:color="auto" w:sz="4" w:space="0"/>
            </w:tcBorders>
            <w:vAlign w:val="center"/>
          </w:tcPr>
          <w:p w14:paraId="37368FED">
            <w:pPr>
              <w:wordWrap w:val="0"/>
              <w:spacing w:line="360" w:lineRule="auto"/>
              <w:jc w:val="left"/>
              <w:rPr>
                <w:rFonts w:cs="仿宋_GB2312"/>
                <w:szCs w:val="24"/>
              </w:rPr>
            </w:pPr>
            <w:r>
              <w:rPr>
                <w:rFonts w:hint="eastAsia" w:cs="仿宋_GB2312"/>
                <w:szCs w:val="24"/>
              </w:rPr>
              <w:t>2.3</w:t>
            </w:r>
          </w:p>
        </w:tc>
        <w:tc>
          <w:tcPr>
            <w:tcW w:w="738" w:type="pct"/>
            <w:tcBorders>
              <w:top w:val="single" w:color="auto" w:sz="4" w:space="0"/>
              <w:bottom w:val="single" w:color="auto" w:sz="4" w:space="0"/>
            </w:tcBorders>
            <w:vAlign w:val="center"/>
          </w:tcPr>
          <w:p w14:paraId="040AF5AD">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008AAF75">
            <w:pPr>
              <w:wordWrap w:val="0"/>
              <w:spacing w:line="360" w:lineRule="auto"/>
              <w:jc w:val="center"/>
              <w:rPr>
                <w:rFonts w:cs="仿宋_GB2312"/>
                <w:szCs w:val="24"/>
              </w:rPr>
            </w:pPr>
          </w:p>
        </w:tc>
      </w:tr>
      <w:tr w14:paraId="3D1153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70B69940">
            <w:pPr>
              <w:numPr>
                <w:ilvl w:val="0"/>
                <w:numId w:val="61"/>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2A751E7A">
            <w:pPr>
              <w:wordWrap w:val="0"/>
              <w:spacing w:line="360" w:lineRule="auto"/>
              <w:jc w:val="center"/>
              <w:rPr>
                <w:rFonts w:cs="仿宋_GB2312"/>
                <w:szCs w:val="24"/>
              </w:rPr>
            </w:pPr>
          </w:p>
        </w:tc>
        <w:tc>
          <w:tcPr>
            <w:tcW w:w="1406" w:type="pct"/>
            <w:tcBorders>
              <w:top w:val="single" w:color="auto" w:sz="4" w:space="0"/>
              <w:left w:val="single" w:color="auto" w:sz="4" w:space="0"/>
            </w:tcBorders>
            <w:vAlign w:val="center"/>
          </w:tcPr>
          <w:p w14:paraId="339C8B51">
            <w:pPr>
              <w:wordWrap w:val="0"/>
              <w:spacing w:line="360" w:lineRule="auto"/>
              <w:jc w:val="left"/>
              <w:rPr>
                <w:rFonts w:cs="仿宋_GB2312"/>
                <w:szCs w:val="24"/>
              </w:rPr>
            </w:pPr>
            <w:r>
              <w:rPr>
                <w:rFonts w:hint="eastAsia" w:cs="宋体"/>
                <w:szCs w:val="24"/>
              </w:rPr>
              <w:t>……</w:t>
            </w:r>
          </w:p>
        </w:tc>
        <w:tc>
          <w:tcPr>
            <w:tcW w:w="1384" w:type="pct"/>
            <w:tcBorders>
              <w:top w:val="single" w:color="auto" w:sz="4" w:space="0"/>
            </w:tcBorders>
            <w:vAlign w:val="center"/>
          </w:tcPr>
          <w:p w14:paraId="6BFA003E">
            <w:pPr>
              <w:wordWrap w:val="0"/>
              <w:spacing w:line="360" w:lineRule="auto"/>
              <w:jc w:val="left"/>
              <w:rPr>
                <w:rFonts w:cs="仿宋_GB2312"/>
                <w:szCs w:val="24"/>
              </w:rPr>
            </w:pPr>
            <w:r>
              <w:rPr>
                <w:rFonts w:hint="eastAsia" w:cs="宋体"/>
                <w:szCs w:val="24"/>
              </w:rPr>
              <w:t>……</w:t>
            </w:r>
          </w:p>
        </w:tc>
        <w:tc>
          <w:tcPr>
            <w:tcW w:w="738" w:type="pct"/>
            <w:tcBorders>
              <w:top w:val="single" w:color="auto" w:sz="4" w:space="0"/>
            </w:tcBorders>
            <w:vAlign w:val="center"/>
          </w:tcPr>
          <w:p w14:paraId="2310D704">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vAlign w:val="center"/>
          </w:tcPr>
          <w:p w14:paraId="325910F7">
            <w:pPr>
              <w:wordWrap w:val="0"/>
              <w:spacing w:line="360" w:lineRule="auto"/>
              <w:jc w:val="center"/>
              <w:rPr>
                <w:rFonts w:cs="仿宋_GB2312"/>
                <w:szCs w:val="24"/>
              </w:rPr>
            </w:pPr>
            <w:r>
              <w:rPr>
                <w:rFonts w:hint="eastAsia" w:cs="宋体"/>
                <w:szCs w:val="24"/>
              </w:rPr>
              <w:t>……</w:t>
            </w:r>
          </w:p>
        </w:tc>
      </w:tr>
      <w:tr w14:paraId="49C942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542D7F8B">
            <w:pPr>
              <w:numPr>
                <w:ilvl w:val="0"/>
                <w:numId w:val="61"/>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vAlign w:val="center"/>
          </w:tcPr>
          <w:p w14:paraId="0A5CBA1D">
            <w:pPr>
              <w:wordWrap w:val="0"/>
              <w:spacing w:line="360" w:lineRule="auto"/>
              <w:jc w:val="center"/>
              <w:rPr>
                <w:rFonts w:cs="仿宋_GB2312"/>
                <w:szCs w:val="24"/>
              </w:rPr>
            </w:pPr>
          </w:p>
        </w:tc>
        <w:tc>
          <w:tcPr>
            <w:tcW w:w="1406" w:type="pct"/>
            <w:tcBorders>
              <w:left w:val="single" w:color="auto" w:sz="4" w:space="0"/>
              <w:bottom w:val="single" w:color="auto" w:sz="4" w:space="0"/>
            </w:tcBorders>
            <w:vAlign w:val="center"/>
          </w:tcPr>
          <w:p w14:paraId="4A900631">
            <w:pPr>
              <w:wordWrap w:val="0"/>
              <w:spacing w:line="360" w:lineRule="auto"/>
              <w:jc w:val="left"/>
              <w:rPr>
                <w:rFonts w:cs="仿宋_GB2312"/>
                <w:szCs w:val="24"/>
              </w:rPr>
            </w:pPr>
            <w:r>
              <w:rPr>
                <w:rFonts w:hint="eastAsia" w:cs="仿宋_GB2312"/>
                <w:szCs w:val="24"/>
              </w:rPr>
              <w:t>3.1</w:t>
            </w:r>
          </w:p>
        </w:tc>
        <w:tc>
          <w:tcPr>
            <w:tcW w:w="1384" w:type="pct"/>
            <w:tcBorders>
              <w:bottom w:val="single" w:color="auto" w:sz="4" w:space="0"/>
            </w:tcBorders>
            <w:vAlign w:val="center"/>
          </w:tcPr>
          <w:p w14:paraId="5B4C1151">
            <w:pPr>
              <w:wordWrap w:val="0"/>
              <w:spacing w:line="360" w:lineRule="auto"/>
              <w:jc w:val="left"/>
              <w:rPr>
                <w:rFonts w:cs="仿宋_GB2312"/>
                <w:szCs w:val="24"/>
              </w:rPr>
            </w:pPr>
            <w:r>
              <w:rPr>
                <w:rFonts w:hint="eastAsia" w:cs="仿宋_GB2312"/>
                <w:szCs w:val="24"/>
              </w:rPr>
              <w:t>3.1</w:t>
            </w:r>
          </w:p>
        </w:tc>
        <w:tc>
          <w:tcPr>
            <w:tcW w:w="738" w:type="pct"/>
            <w:tcBorders>
              <w:bottom w:val="single" w:color="auto" w:sz="4" w:space="0"/>
            </w:tcBorders>
            <w:vAlign w:val="center"/>
          </w:tcPr>
          <w:p w14:paraId="55CED84D">
            <w:pPr>
              <w:wordWrap w:val="0"/>
              <w:spacing w:line="360" w:lineRule="auto"/>
              <w:jc w:val="center"/>
              <w:rPr>
                <w:rFonts w:cs="仿宋_GB2312"/>
                <w:szCs w:val="24"/>
              </w:rPr>
            </w:pPr>
          </w:p>
        </w:tc>
        <w:tc>
          <w:tcPr>
            <w:tcW w:w="623" w:type="pct"/>
            <w:tcBorders>
              <w:bottom w:val="single" w:color="auto" w:sz="4" w:space="0"/>
            </w:tcBorders>
            <w:vAlign w:val="center"/>
          </w:tcPr>
          <w:p w14:paraId="32DC67A9">
            <w:pPr>
              <w:wordWrap w:val="0"/>
              <w:spacing w:line="360" w:lineRule="auto"/>
              <w:jc w:val="center"/>
              <w:rPr>
                <w:rFonts w:cs="仿宋_GB2312"/>
                <w:szCs w:val="24"/>
              </w:rPr>
            </w:pPr>
          </w:p>
        </w:tc>
      </w:tr>
      <w:tr w14:paraId="686406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675DA289">
            <w:pPr>
              <w:numPr>
                <w:ilvl w:val="0"/>
                <w:numId w:val="61"/>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407C476C">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22442897">
            <w:pPr>
              <w:wordWrap w:val="0"/>
              <w:spacing w:line="360" w:lineRule="auto"/>
              <w:jc w:val="left"/>
              <w:rPr>
                <w:rFonts w:cs="仿宋_GB2312"/>
                <w:szCs w:val="24"/>
              </w:rPr>
            </w:pPr>
            <w:r>
              <w:rPr>
                <w:rFonts w:hint="eastAsia" w:cs="仿宋_GB2312"/>
                <w:szCs w:val="24"/>
              </w:rPr>
              <w:t>3.2</w:t>
            </w:r>
          </w:p>
        </w:tc>
        <w:tc>
          <w:tcPr>
            <w:tcW w:w="1384" w:type="pct"/>
            <w:tcBorders>
              <w:top w:val="single" w:color="auto" w:sz="4" w:space="0"/>
              <w:bottom w:val="single" w:color="auto" w:sz="4" w:space="0"/>
            </w:tcBorders>
            <w:vAlign w:val="center"/>
          </w:tcPr>
          <w:p w14:paraId="7B8CF3BC">
            <w:pPr>
              <w:wordWrap w:val="0"/>
              <w:spacing w:line="360" w:lineRule="auto"/>
              <w:jc w:val="left"/>
              <w:rPr>
                <w:rFonts w:cs="仿宋_GB2312"/>
                <w:szCs w:val="24"/>
              </w:rPr>
            </w:pPr>
            <w:r>
              <w:rPr>
                <w:rFonts w:hint="eastAsia" w:cs="仿宋_GB2312"/>
                <w:szCs w:val="24"/>
              </w:rPr>
              <w:t>3.2</w:t>
            </w:r>
          </w:p>
        </w:tc>
        <w:tc>
          <w:tcPr>
            <w:tcW w:w="738" w:type="pct"/>
            <w:tcBorders>
              <w:top w:val="single" w:color="auto" w:sz="4" w:space="0"/>
              <w:bottom w:val="single" w:color="auto" w:sz="4" w:space="0"/>
            </w:tcBorders>
            <w:vAlign w:val="center"/>
          </w:tcPr>
          <w:p w14:paraId="6C75DE72">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6A6A66E1">
            <w:pPr>
              <w:wordWrap w:val="0"/>
              <w:spacing w:line="360" w:lineRule="auto"/>
              <w:jc w:val="center"/>
              <w:rPr>
                <w:rFonts w:cs="仿宋_GB2312"/>
                <w:szCs w:val="24"/>
              </w:rPr>
            </w:pPr>
          </w:p>
        </w:tc>
      </w:tr>
      <w:tr w14:paraId="21214F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151295B8">
            <w:pPr>
              <w:numPr>
                <w:ilvl w:val="0"/>
                <w:numId w:val="61"/>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23C9672D">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73827586">
            <w:pPr>
              <w:wordWrap w:val="0"/>
              <w:spacing w:line="360" w:lineRule="auto"/>
              <w:jc w:val="left"/>
              <w:rPr>
                <w:rFonts w:cs="仿宋_GB2312"/>
                <w:szCs w:val="24"/>
              </w:rPr>
            </w:pPr>
            <w:r>
              <w:rPr>
                <w:rFonts w:hint="eastAsia" w:cs="仿宋_GB2312"/>
                <w:szCs w:val="24"/>
              </w:rPr>
              <w:t>3.3</w:t>
            </w:r>
          </w:p>
        </w:tc>
        <w:tc>
          <w:tcPr>
            <w:tcW w:w="1384" w:type="pct"/>
            <w:tcBorders>
              <w:top w:val="single" w:color="auto" w:sz="4" w:space="0"/>
              <w:bottom w:val="single" w:color="auto" w:sz="4" w:space="0"/>
            </w:tcBorders>
            <w:vAlign w:val="center"/>
          </w:tcPr>
          <w:p w14:paraId="175F6D71">
            <w:pPr>
              <w:wordWrap w:val="0"/>
              <w:spacing w:line="360" w:lineRule="auto"/>
              <w:jc w:val="left"/>
              <w:rPr>
                <w:rFonts w:cs="仿宋_GB2312"/>
                <w:szCs w:val="24"/>
              </w:rPr>
            </w:pPr>
            <w:r>
              <w:rPr>
                <w:rFonts w:hint="eastAsia" w:cs="仿宋_GB2312"/>
                <w:szCs w:val="24"/>
              </w:rPr>
              <w:t>3.3</w:t>
            </w:r>
          </w:p>
        </w:tc>
        <w:tc>
          <w:tcPr>
            <w:tcW w:w="738" w:type="pct"/>
            <w:tcBorders>
              <w:top w:val="single" w:color="auto" w:sz="4" w:space="0"/>
              <w:bottom w:val="single" w:color="auto" w:sz="4" w:space="0"/>
            </w:tcBorders>
            <w:vAlign w:val="center"/>
          </w:tcPr>
          <w:p w14:paraId="7A9030BA">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7524C0EA">
            <w:pPr>
              <w:wordWrap w:val="0"/>
              <w:spacing w:line="360" w:lineRule="auto"/>
              <w:jc w:val="center"/>
              <w:rPr>
                <w:rFonts w:cs="仿宋_GB2312"/>
                <w:szCs w:val="24"/>
              </w:rPr>
            </w:pPr>
          </w:p>
        </w:tc>
      </w:tr>
      <w:tr w14:paraId="4A0D8D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5ECC9280">
            <w:pPr>
              <w:numPr>
                <w:ilvl w:val="0"/>
                <w:numId w:val="61"/>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7C54461B">
            <w:pPr>
              <w:wordWrap w:val="0"/>
              <w:spacing w:line="360" w:lineRule="auto"/>
              <w:jc w:val="center"/>
              <w:rPr>
                <w:rFonts w:cs="仿宋_GB2312"/>
                <w:szCs w:val="24"/>
              </w:rPr>
            </w:pPr>
          </w:p>
        </w:tc>
        <w:tc>
          <w:tcPr>
            <w:tcW w:w="1406" w:type="pct"/>
            <w:tcBorders>
              <w:top w:val="single" w:color="auto" w:sz="4" w:space="0"/>
              <w:left w:val="single" w:color="auto" w:sz="4" w:space="0"/>
            </w:tcBorders>
            <w:vAlign w:val="center"/>
          </w:tcPr>
          <w:p w14:paraId="3506CE7A">
            <w:pPr>
              <w:wordWrap w:val="0"/>
              <w:spacing w:line="360" w:lineRule="auto"/>
              <w:jc w:val="left"/>
              <w:rPr>
                <w:rFonts w:cs="仿宋_GB2312"/>
                <w:szCs w:val="24"/>
              </w:rPr>
            </w:pPr>
            <w:r>
              <w:rPr>
                <w:rFonts w:hint="eastAsia" w:cs="宋体"/>
                <w:szCs w:val="24"/>
              </w:rPr>
              <w:t>……</w:t>
            </w:r>
          </w:p>
        </w:tc>
        <w:tc>
          <w:tcPr>
            <w:tcW w:w="1384" w:type="pct"/>
            <w:tcBorders>
              <w:top w:val="single" w:color="auto" w:sz="4" w:space="0"/>
            </w:tcBorders>
            <w:vAlign w:val="center"/>
          </w:tcPr>
          <w:p w14:paraId="4BFE67A1">
            <w:pPr>
              <w:wordWrap w:val="0"/>
              <w:spacing w:line="360" w:lineRule="auto"/>
              <w:jc w:val="left"/>
              <w:rPr>
                <w:rFonts w:cs="仿宋_GB2312"/>
                <w:szCs w:val="24"/>
              </w:rPr>
            </w:pPr>
            <w:r>
              <w:rPr>
                <w:rFonts w:hint="eastAsia" w:cs="宋体"/>
                <w:szCs w:val="24"/>
              </w:rPr>
              <w:t>……</w:t>
            </w:r>
          </w:p>
        </w:tc>
        <w:tc>
          <w:tcPr>
            <w:tcW w:w="738" w:type="pct"/>
            <w:tcBorders>
              <w:top w:val="single" w:color="auto" w:sz="4" w:space="0"/>
            </w:tcBorders>
            <w:vAlign w:val="center"/>
          </w:tcPr>
          <w:p w14:paraId="413638CB">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vAlign w:val="center"/>
          </w:tcPr>
          <w:p w14:paraId="3B7AE62B">
            <w:pPr>
              <w:wordWrap w:val="0"/>
              <w:spacing w:line="360" w:lineRule="auto"/>
              <w:jc w:val="center"/>
              <w:rPr>
                <w:rFonts w:cs="仿宋_GB2312"/>
                <w:szCs w:val="24"/>
              </w:rPr>
            </w:pPr>
            <w:r>
              <w:rPr>
                <w:rFonts w:hint="eastAsia" w:cs="宋体"/>
                <w:szCs w:val="24"/>
              </w:rPr>
              <w:t>……</w:t>
            </w:r>
          </w:p>
        </w:tc>
      </w:tr>
      <w:tr w14:paraId="0EC194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35" w:hRule="atLeast"/>
          <w:jc w:val="center"/>
        </w:trPr>
        <w:tc>
          <w:tcPr>
            <w:tcW w:w="311" w:type="pct"/>
            <w:vAlign w:val="center"/>
          </w:tcPr>
          <w:p w14:paraId="0F2DEFCE">
            <w:pPr>
              <w:wordWrap w:val="0"/>
              <w:spacing w:line="360" w:lineRule="auto"/>
              <w:jc w:val="center"/>
              <w:rPr>
                <w:rFonts w:cs="仿宋_GB2312"/>
                <w:szCs w:val="24"/>
              </w:rPr>
            </w:pPr>
            <w:r>
              <w:rPr>
                <w:rFonts w:hint="eastAsia" w:cs="仿宋_GB2312"/>
                <w:szCs w:val="24"/>
              </w:rPr>
              <w:t>…</w:t>
            </w:r>
          </w:p>
        </w:tc>
        <w:tc>
          <w:tcPr>
            <w:tcW w:w="538" w:type="pct"/>
            <w:tcBorders>
              <w:right w:val="single" w:color="auto" w:sz="4" w:space="0"/>
            </w:tcBorders>
            <w:vAlign w:val="center"/>
          </w:tcPr>
          <w:p w14:paraId="213B1428">
            <w:pPr>
              <w:wordWrap w:val="0"/>
              <w:spacing w:line="360" w:lineRule="auto"/>
              <w:jc w:val="center"/>
              <w:rPr>
                <w:rFonts w:cs="仿宋_GB2312"/>
                <w:szCs w:val="24"/>
              </w:rPr>
            </w:pPr>
            <w:r>
              <w:rPr>
                <w:rFonts w:hint="eastAsia" w:cs="宋体"/>
                <w:szCs w:val="24"/>
              </w:rPr>
              <w:t>……</w:t>
            </w:r>
          </w:p>
        </w:tc>
        <w:tc>
          <w:tcPr>
            <w:tcW w:w="1406" w:type="pct"/>
            <w:tcBorders>
              <w:left w:val="single" w:color="auto" w:sz="4" w:space="0"/>
            </w:tcBorders>
            <w:vAlign w:val="center"/>
          </w:tcPr>
          <w:p w14:paraId="7B9B62D4">
            <w:pPr>
              <w:wordWrap w:val="0"/>
              <w:spacing w:line="360" w:lineRule="auto"/>
              <w:jc w:val="center"/>
              <w:rPr>
                <w:rFonts w:cs="仿宋_GB2312"/>
                <w:szCs w:val="24"/>
              </w:rPr>
            </w:pPr>
            <w:r>
              <w:rPr>
                <w:rFonts w:hint="eastAsia" w:cs="宋体"/>
                <w:szCs w:val="24"/>
              </w:rPr>
              <w:t>……</w:t>
            </w:r>
          </w:p>
        </w:tc>
        <w:tc>
          <w:tcPr>
            <w:tcW w:w="1384" w:type="pct"/>
            <w:vAlign w:val="center"/>
          </w:tcPr>
          <w:p w14:paraId="7C078872">
            <w:pPr>
              <w:wordWrap w:val="0"/>
              <w:spacing w:line="360" w:lineRule="auto"/>
              <w:jc w:val="center"/>
              <w:rPr>
                <w:rFonts w:cs="仿宋_GB2312"/>
                <w:szCs w:val="24"/>
              </w:rPr>
            </w:pPr>
            <w:r>
              <w:rPr>
                <w:rFonts w:hint="eastAsia" w:cs="宋体"/>
                <w:szCs w:val="24"/>
              </w:rPr>
              <w:t>……</w:t>
            </w:r>
          </w:p>
        </w:tc>
        <w:tc>
          <w:tcPr>
            <w:tcW w:w="738" w:type="pct"/>
            <w:vAlign w:val="center"/>
          </w:tcPr>
          <w:p w14:paraId="3DBFB7D5">
            <w:pPr>
              <w:wordWrap w:val="0"/>
              <w:spacing w:line="360" w:lineRule="auto"/>
              <w:jc w:val="center"/>
              <w:rPr>
                <w:rFonts w:cs="仿宋_GB2312"/>
                <w:szCs w:val="24"/>
              </w:rPr>
            </w:pPr>
            <w:r>
              <w:rPr>
                <w:rFonts w:hint="eastAsia" w:cs="宋体"/>
                <w:szCs w:val="24"/>
              </w:rPr>
              <w:t>……</w:t>
            </w:r>
          </w:p>
        </w:tc>
        <w:tc>
          <w:tcPr>
            <w:tcW w:w="623" w:type="pct"/>
            <w:vAlign w:val="center"/>
          </w:tcPr>
          <w:p w14:paraId="0436BEE0">
            <w:pPr>
              <w:wordWrap w:val="0"/>
              <w:spacing w:line="360" w:lineRule="auto"/>
              <w:jc w:val="center"/>
              <w:rPr>
                <w:rFonts w:cs="仿宋_GB2312"/>
                <w:szCs w:val="24"/>
              </w:rPr>
            </w:pPr>
            <w:r>
              <w:rPr>
                <w:rFonts w:hint="eastAsia" w:cs="宋体"/>
                <w:szCs w:val="24"/>
              </w:rPr>
              <w:t>……</w:t>
            </w:r>
          </w:p>
        </w:tc>
      </w:tr>
    </w:tbl>
    <w:p w14:paraId="15C81631">
      <w:pPr>
        <w:wordWrap w:val="0"/>
        <w:spacing w:line="360" w:lineRule="auto"/>
        <w:ind w:left="1132" w:hanging="1132" w:hangingChars="470"/>
        <w:jc w:val="left"/>
        <w:rPr>
          <w:szCs w:val="24"/>
        </w:rPr>
      </w:pPr>
      <w:r>
        <w:rPr>
          <w:rFonts w:hint="eastAsia" w:cs="Corbel"/>
          <w:b/>
          <w:szCs w:val="24"/>
        </w:rPr>
        <w:t>说明：</w:t>
      </w:r>
      <w:r>
        <w:rPr>
          <w:rFonts w:hint="eastAsia" w:cs="Corbel"/>
          <w:szCs w:val="24"/>
        </w:rPr>
        <w:t>1、应按竞争性磋商文件“第四章 评审办法”中“技术要求”条款逐项在“响应文件响应的内容”栏中进行响应说明，并在“偏离说明”栏注明是否偏离，如有偏离,供应商应详细说明。未按照要求填写此表或在“响应文件响应的内容”栏中仅注明“符合”、“满足”的，导致的后果由供应商自行承担</w:t>
      </w:r>
      <w:r>
        <w:rPr>
          <w:rFonts w:hint="eastAsia"/>
          <w:szCs w:val="24"/>
        </w:rPr>
        <w:t>。</w:t>
      </w:r>
    </w:p>
    <w:p w14:paraId="6B23B916">
      <w:pPr>
        <w:wordWrap w:val="0"/>
        <w:spacing w:line="360" w:lineRule="auto"/>
        <w:ind w:left="1228" w:leftChars="366" w:hanging="350" w:hangingChars="146"/>
        <w:jc w:val="left"/>
        <w:rPr>
          <w:rFonts w:cs="Corbel"/>
          <w:szCs w:val="24"/>
        </w:rPr>
      </w:pPr>
      <w:r>
        <w:rPr>
          <w:rFonts w:hint="eastAsia" w:cs="Corbel"/>
          <w:szCs w:val="24"/>
        </w:rPr>
        <w:t>2、应将对应响应内容的页码（多页的，起码和止码）填写到上表“响应文件对应页码”栏中。未提供准确页码或页码与对应内容不一致的，导致的后果由供应商自行承担。</w:t>
      </w:r>
    </w:p>
    <w:p w14:paraId="5221132E">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2962D7C0">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586D93F6">
      <w:pPr>
        <w:widowControl/>
        <w:spacing w:line="360" w:lineRule="auto"/>
        <w:jc w:val="left"/>
        <w:rPr>
          <w:rFonts w:cstheme="majorBidi"/>
          <w:b/>
          <w:bCs/>
          <w:szCs w:val="24"/>
        </w:rPr>
      </w:pPr>
      <w:r>
        <w:rPr>
          <w:szCs w:val="24"/>
        </w:rPr>
        <w:br w:type="page"/>
      </w:r>
    </w:p>
    <w:bookmarkEnd w:id="494"/>
    <w:p w14:paraId="1163EE05">
      <w:pPr>
        <w:pStyle w:val="4"/>
        <w:numPr>
          <w:ilvl w:val="0"/>
          <w:numId w:val="50"/>
        </w:numPr>
        <w:tabs>
          <w:tab w:val="left" w:pos="567"/>
        </w:tabs>
        <w:spacing w:before="0" w:after="0" w:line="360" w:lineRule="auto"/>
        <w:ind w:left="482" w:hanging="482" w:hangingChars="200"/>
        <w:jc w:val="left"/>
        <w:rPr>
          <w:rFonts w:ascii="宋体" w:hAnsi="宋体" w:eastAsia="宋体"/>
          <w:sz w:val="24"/>
          <w:szCs w:val="24"/>
        </w:rPr>
      </w:pPr>
      <w:bookmarkStart w:id="495" w:name="_Toc122424592"/>
      <w:bookmarkStart w:id="496" w:name="_Toc117244503"/>
      <w:bookmarkStart w:id="497" w:name="_Toc122527557"/>
      <w:bookmarkStart w:id="498" w:name="_Toc117244388"/>
      <w:bookmarkStart w:id="499" w:name="_Toc117244390"/>
      <w:bookmarkStart w:id="500" w:name="_Toc107561309"/>
      <w:bookmarkStart w:id="501" w:name="_Toc117244505"/>
      <w:r>
        <w:rPr>
          <w:rFonts w:hint="eastAsia" w:ascii="宋体" w:hAnsi="宋体" w:eastAsia="宋体"/>
          <w:sz w:val="24"/>
          <w:szCs w:val="24"/>
        </w:rPr>
        <w:t>商务评分对照表</w:t>
      </w:r>
      <w:bookmarkEnd w:id="495"/>
      <w:bookmarkEnd w:id="496"/>
      <w:bookmarkEnd w:id="497"/>
      <w:bookmarkEnd w:id="498"/>
    </w:p>
    <w:p w14:paraId="341BDFFE">
      <w:pPr>
        <w:wordWrap w:val="0"/>
        <w:spacing w:line="360" w:lineRule="auto"/>
        <w:jc w:val="left"/>
        <w:rPr>
          <w:b/>
        </w:rPr>
      </w:pPr>
      <w:r>
        <w:rPr>
          <w:rFonts w:hint="eastAsia"/>
          <w:b/>
        </w:rPr>
        <w:t>投 标 人：</w:t>
      </w:r>
      <w:r>
        <w:rPr>
          <w:rFonts w:hint="eastAsia"/>
          <w:b/>
          <w:szCs w:val="21"/>
          <w:u w:val="single"/>
          <w:lang w:val="zh-CN"/>
        </w:rPr>
        <w:t xml:space="preserve">                     </w:t>
      </w:r>
      <w:r>
        <w:rPr>
          <w:rFonts w:hint="eastAsia"/>
          <w:b/>
          <w:szCs w:val="21"/>
          <w:lang w:val="zh-CN"/>
        </w:rPr>
        <w:t xml:space="preserve"> </w:t>
      </w:r>
    </w:p>
    <w:p w14:paraId="1B91672B">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30"/>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21"/>
        <w:gridCol w:w="1154"/>
        <w:gridCol w:w="696"/>
        <w:gridCol w:w="2124"/>
        <w:gridCol w:w="2610"/>
        <w:gridCol w:w="1161"/>
        <w:gridCol w:w="1295"/>
      </w:tblGrid>
      <w:tr w14:paraId="2849C5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318" w:type="pct"/>
            <w:gridSpan w:val="4"/>
            <w:tcBorders>
              <w:bottom w:val="single" w:color="auto" w:sz="4" w:space="0"/>
            </w:tcBorders>
            <w:shd w:val="pct10" w:color="C3BD96" w:themeColor="background2" w:themeShade="BF" w:fill="DDD9C4" w:themeFill="background2" w:themeFillShade="E6"/>
            <w:vAlign w:val="center"/>
          </w:tcPr>
          <w:p w14:paraId="4DD03D7A">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竞争性磋商文件商务评分内容</w:t>
            </w:r>
          </w:p>
        </w:tc>
        <w:tc>
          <w:tcPr>
            <w:tcW w:w="1376" w:type="pct"/>
            <w:vMerge w:val="restart"/>
            <w:shd w:val="pct10" w:color="C3BD96" w:themeColor="background2" w:themeShade="BF" w:fill="DDD9C4" w:themeFill="background2" w:themeFillShade="E6"/>
            <w:vAlign w:val="center"/>
          </w:tcPr>
          <w:p w14:paraId="1C44714D">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响应文件的内容</w:t>
            </w:r>
          </w:p>
        </w:tc>
        <w:tc>
          <w:tcPr>
            <w:tcW w:w="618" w:type="pct"/>
            <w:vMerge w:val="restart"/>
            <w:shd w:val="pct10" w:color="C3BD96" w:themeColor="background2" w:themeShade="BF" w:fill="DDD9C4" w:themeFill="background2" w:themeFillShade="E6"/>
            <w:vAlign w:val="center"/>
          </w:tcPr>
          <w:p w14:paraId="08367741">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88" w:type="pct"/>
            <w:vMerge w:val="restart"/>
            <w:shd w:val="pct10" w:color="C3BD96" w:themeColor="background2" w:themeShade="BF" w:fill="DDD9C4" w:themeFill="background2" w:themeFillShade="E6"/>
            <w:vAlign w:val="center"/>
          </w:tcPr>
          <w:p w14:paraId="314041CD">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14:paraId="6AA409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284" w:type="pct"/>
            <w:tcBorders>
              <w:top w:val="single" w:color="auto" w:sz="4" w:space="0"/>
              <w:bottom w:val="single" w:color="auto" w:sz="4" w:space="0"/>
            </w:tcBorders>
            <w:shd w:val="pct10" w:color="C3BD96" w:themeColor="background2" w:themeShade="BF" w:fill="DDD9C4" w:themeFill="background2" w:themeFillShade="E6"/>
            <w:vAlign w:val="center"/>
          </w:tcPr>
          <w:p w14:paraId="18B27131">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615" w:type="pct"/>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0B1CAC99">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评审因素</w:t>
            </w:r>
          </w:p>
        </w:tc>
        <w:tc>
          <w:tcPr>
            <w:tcW w:w="297" w:type="pct"/>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1A640270">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分值</w:t>
            </w:r>
          </w:p>
        </w:tc>
        <w:tc>
          <w:tcPr>
            <w:tcW w:w="1122" w:type="pct"/>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264CA4DE">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评分标准</w:t>
            </w:r>
          </w:p>
        </w:tc>
        <w:tc>
          <w:tcPr>
            <w:tcW w:w="1376" w:type="pct"/>
            <w:vMerge w:val="continue"/>
            <w:tcBorders>
              <w:bottom w:val="single" w:color="auto" w:sz="4" w:space="0"/>
            </w:tcBorders>
            <w:shd w:val="pct10" w:color="C3BD96" w:themeColor="background2" w:themeShade="BF" w:fill="DDD9C4" w:themeFill="background2" w:themeFillShade="E6"/>
            <w:vAlign w:val="center"/>
          </w:tcPr>
          <w:p w14:paraId="4D7CACC8">
            <w:pPr>
              <w:wordWrap w:val="0"/>
              <w:spacing w:before="100" w:beforeAutospacing="1" w:after="100" w:afterAutospacing="1" w:line="360" w:lineRule="auto"/>
              <w:ind w:left="-60" w:leftChars="-25" w:right="-60" w:rightChars="-25"/>
              <w:jc w:val="center"/>
              <w:rPr>
                <w:rFonts w:cs="仿宋_GB2312"/>
                <w:szCs w:val="24"/>
              </w:rPr>
            </w:pPr>
          </w:p>
        </w:tc>
        <w:tc>
          <w:tcPr>
            <w:tcW w:w="618" w:type="pct"/>
            <w:vMerge w:val="continue"/>
            <w:tcBorders>
              <w:bottom w:val="single" w:color="auto" w:sz="4" w:space="0"/>
            </w:tcBorders>
            <w:shd w:val="pct10" w:color="C3BD96" w:themeColor="background2" w:themeShade="BF" w:fill="DDD9C4" w:themeFill="background2" w:themeFillShade="E6"/>
            <w:vAlign w:val="center"/>
          </w:tcPr>
          <w:p w14:paraId="5D07D2BD">
            <w:pPr>
              <w:wordWrap w:val="0"/>
              <w:spacing w:before="100" w:beforeAutospacing="1" w:after="100" w:afterAutospacing="1" w:line="360" w:lineRule="auto"/>
              <w:ind w:left="-60" w:leftChars="-25" w:right="-60" w:rightChars="-25"/>
              <w:jc w:val="center"/>
              <w:rPr>
                <w:rFonts w:cs="仿宋_GB2312"/>
                <w:szCs w:val="24"/>
              </w:rPr>
            </w:pPr>
          </w:p>
        </w:tc>
        <w:tc>
          <w:tcPr>
            <w:tcW w:w="688" w:type="pct"/>
            <w:vMerge w:val="continue"/>
            <w:tcBorders>
              <w:bottom w:val="single" w:color="auto" w:sz="4" w:space="0"/>
            </w:tcBorders>
            <w:shd w:val="pct10" w:color="C3BD96" w:themeColor="background2" w:themeShade="BF" w:fill="DDD9C4" w:themeFill="background2" w:themeFillShade="E6"/>
          </w:tcPr>
          <w:p w14:paraId="0B4C3561">
            <w:pPr>
              <w:wordWrap w:val="0"/>
              <w:spacing w:before="100" w:beforeAutospacing="1" w:after="100" w:afterAutospacing="1" w:line="360" w:lineRule="auto"/>
              <w:ind w:left="-60" w:leftChars="-25" w:right="-60" w:rightChars="-25"/>
              <w:jc w:val="center"/>
              <w:rPr>
                <w:rFonts w:cs="仿宋_GB2312"/>
                <w:szCs w:val="24"/>
              </w:rPr>
            </w:pPr>
          </w:p>
        </w:tc>
      </w:tr>
      <w:tr w14:paraId="76C5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tcBorders>
              <w:top w:val="single" w:color="auto" w:sz="4" w:space="0"/>
            </w:tcBorders>
            <w:vAlign w:val="center"/>
          </w:tcPr>
          <w:p w14:paraId="7CD51ADA">
            <w:pPr>
              <w:numPr>
                <w:ilvl w:val="0"/>
                <w:numId w:val="62"/>
              </w:numPr>
              <w:wordWrap w:val="0"/>
              <w:spacing w:line="360" w:lineRule="auto"/>
              <w:jc w:val="center"/>
              <w:rPr>
                <w:rFonts w:cs="仿宋_GB2312"/>
                <w:szCs w:val="24"/>
              </w:rPr>
            </w:pPr>
          </w:p>
        </w:tc>
        <w:tc>
          <w:tcPr>
            <w:tcW w:w="615" w:type="pct"/>
            <w:tcBorders>
              <w:top w:val="single" w:color="auto" w:sz="4" w:space="0"/>
            </w:tcBorders>
            <w:vAlign w:val="center"/>
          </w:tcPr>
          <w:p w14:paraId="6183F7C9">
            <w:pPr>
              <w:wordWrap w:val="0"/>
              <w:spacing w:line="360" w:lineRule="auto"/>
              <w:jc w:val="center"/>
              <w:rPr>
                <w:rFonts w:cs="仿宋_GB2312"/>
                <w:szCs w:val="24"/>
              </w:rPr>
            </w:pPr>
          </w:p>
        </w:tc>
        <w:tc>
          <w:tcPr>
            <w:tcW w:w="297" w:type="pct"/>
            <w:tcBorders>
              <w:top w:val="single" w:color="auto" w:sz="4" w:space="0"/>
            </w:tcBorders>
            <w:vAlign w:val="center"/>
          </w:tcPr>
          <w:p w14:paraId="11AC3094">
            <w:pPr>
              <w:wordWrap w:val="0"/>
              <w:spacing w:line="360" w:lineRule="auto"/>
              <w:jc w:val="center"/>
              <w:rPr>
                <w:rFonts w:cs="仿宋_GB2312"/>
                <w:szCs w:val="24"/>
              </w:rPr>
            </w:pPr>
          </w:p>
        </w:tc>
        <w:tc>
          <w:tcPr>
            <w:tcW w:w="1122" w:type="pct"/>
            <w:tcBorders>
              <w:top w:val="single" w:color="auto" w:sz="4" w:space="0"/>
            </w:tcBorders>
            <w:vAlign w:val="center"/>
          </w:tcPr>
          <w:p w14:paraId="57C2597E">
            <w:pPr>
              <w:wordWrap w:val="0"/>
              <w:spacing w:line="360" w:lineRule="auto"/>
              <w:jc w:val="center"/>
              <w:rPr>
                <w:rFonts w:cs="仿宋_GB2312"/>
                <w:szCs w:val="24"/>
              </w:rPr>
            </w:pPr>
          </w:p>
        </w:tc>
        <w:tc>
          <w:tcPr>
            <w:tcW w:w="1376" w:type="pct"/>
            <w:tcBorders>
              <w:top w:val="single" w:color="auto" w:sz="4" w:space="0"/>
            </w:tcBorders>
            <w:vAlign w:val="center"/>
          </w:tcPr>
          <w:p w14:paraId="1E4CDEFC">
            <w:pPr>
              <w:wordWrap w:val="0"/>
              <w:spacing w:line="360" w:lineRule="auto"/>
              <w:jc w:val="center"/>
              <w:rPr>
                <w:rFonts w:cs="仿宋_GB2312"/>
                <w:szCs w:val="24"/>
              </w:rPr>
            </w:pPr>
          </w:p>
        </w:tc>
        <w:tc>
          <w:tcPr>
            <w:tcW w:w="618" w:type="pct"/>
            <w:tcBorders>
              <w:top w:val="single" w:color="auto" w:sz="4" w:space="0"/>
            </w:tcBorders>
            <w:vAlign w:val="center"/>
          </w:tcPr>
          <w:p w14:paraId="2826420E">
            <w:pPr>
              <w:wordWrap w:val="0"/>
              <w:spacing w:line="360" w:lineRule="auto"/>
              <w:jc w:val="center"/>
              <w:rPr>
                <w:rFonts w:cs="仿宋_GB2312"/>
                <w:szCs w:val="24"/>
              </w:rPr>
            </w:pPr>
          </w:p>
        </w:tc>
        <w:tc>
          <w:tcPr>
            <w:tcW w:w="688" w:type="pct"/>
            <w:tcBorders>
              <w:top w:val="single" w:color="auto" w:sz="4" w:space="0"/>
            </w:tcBorders>
            <w:vAlign w:val="center"/>
          </w:tcPr>
          <w:p w14:paraId="15233A42">
            <w:pPr>
              <w:wordWrap w:val="0"/>
              <w:spacing w:line="360" w:lineRule="auto"/>
              <w:jc w:val="center"/>
              <w:rPr>
                <w:rFonts w:cs="仿宋_GB2312"/>
                <w:szCs w:val="24"/>
              </w:rPr>
            </w:pPr>
          </w:p>
        </w:tc>
      </w:tr>
      <w:tr w14:paraId="33D4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2331141C">
            <w:pPr>
              <w:numPr>
                <w:ilvl w:val="0"/>
                <w:numId w:val="62"/>
              </w:numPr>
              <w:wordWrap w:val="0"/>
              <w:spacing w:line="360" w:lineRule="auto"/>
              <w:jc w:val="center"/>
              <w:rPr>
                <w:rFonts w:cs="仿宋_GB2312"/>
                <w:szCs w:val="24"/>
              </w:rPr>
            </w:pPr>
          </w:p>
        </w:tc>
        <w:tc>
          <w:tcPr>
            <w:tcW w:w="615" w:type="pct"/>
            <w:vAlign w:val="center"/>
          </w:tcPr>
          <w:p w14:paraId="58F06FB4">
            <w:pPr>
              <w:wordWrap w:val="0"/>
              <w:spacing w:line="360" w:lineRule="auto"/>
              <w:jc w:val="center"/>
              <w:rPr>
                <w:rFonts w:cs="仿宋_GB2312"/>
                <w:szCs w:val="24"/>
              </w:rPr>
            </w:pPr>
          </w:p>
        </w:tc>
        <w:tc>
          <w:tcPr>
            <w:tcW w:w="297" w:type="pct"/>
            <w:vAlign w:val="center"/>
          </w:tcPr>
          <w:p w14:paraId="3BBEB463">
            <w:pPr>
              <w:wordWrap w:val="0"/>
              <w:spacing w:line="360" w:lineRule="auto"/>
              <w:jc w:val="center"/>
              <w:rPr>
                <w:rFonts w:cs="仿宋_GB2312"/>
                <w:szCs w:val="24"/>
              </w:rPr>
            </w:pPr>
          </w:p>
        </w:tc>
        <w:tc>
          <w:tcPr>
            <w:tcW w:w="1122" w:type="pct"/>
            <w:vAlign w:val="center"/>
          </w:tcPr>
          <w:p w14:paraId="60A431E1">
            <w:pPr>
              <w:wordWrap w:val="0"/>
              <w:spacing w:line="360" w:lineRule="auto"/>
              <w:jc w:val="center"/>
              <w:rPr>
                <w:rFonts w:cs="仿宋_GB2312"/>
                <w:szCs w:val="24"/>
              </w:rPr>
            </w:pPr>
          </w:p>
        </w:tc>
        <w:tc>
          <w:tcPr>
            <w:tcW w:w="1376" w:type="pct"/>
            <w:vAlign w:val="center"/>
          </w:tcPr>
          <w:p w14:paraId="3BA71D25">
            <w:pPr>
              <w:wordWrap w:val="0"/>
              <w:spacing w:line="360" w:lineRule="auto"/>
              <w:jc w:val="center"/>
              <w:rPr>
                <w:rFonts w:cs="仿宋_GB2312"/>
                <w:szCs w:val="24"/>
              </w:rPr>
            </w:pPr>
          </w:p>
        </w:tc>
        <w:tc>
          <w:tcPr>
            <w:tcW w:w="618" w:type="pct"/>
            <w:vAlign w:val="center"/>
          </w:tcPr>
          <w:p w14:paraId="5F650AD5">
            <w:pPr>
              <w:wordWrap w:val="0"/>
              <w:spacing w:line="360" w:lineRule="auto"/>
              <w:jc w:val="center"/>
              <w:rPr>
                <w:rFonts w:cs="仿宋_GB2312"/>
                <w:szCs w:val="24"/>
              </w:rPr>
            </w:pPr>
          </w:p>
        </w:tc>
        <w:tc>
          <w:tcPr>
            <w:tcW w:w="688" w:type="pct"/>
            <w:vAlign w:val="center"/>
          </w:tcPr>
          <w:p w14:paraId="568A0AC2">
            <w:pPr>
              <w:wordWrap w:val="0"/>
              <w:spacing w:line="360" w:lineRule="auto"/>
              <w:jc w:val="center"/>
              <w:rPr>
                <w:rFonts w:cs="仿宋_GB2312"/>
                <w:szCs w:val="24"/>
              </w:rPr>
            </w:pPr>
          </w:p>
        </w:tc>
      </w:tr>
      <w:tr w14:paraId="4133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69BC43C1">
            <w:pPr>
              <w:numPr>
                <w:ilvl w:val="0"/>
                <w:numId w:val="62"/>
              </w:numPr>
              <w:wordWrap w:val="0"/>
              <w:spacing w:line="360" w:lineRule="auto"/>
              <w:jc w:val="center"/>
              <w:rPr>
                <w:rFonts w:cs="仿宋_GB2312"/>
                <w:szCs w:val="24"/>
              </w:rPr>
            </w:pPr>
          </w:p>
        </w:tc>
        <w:tc>
          <w:tcPr>
            <w:tcW w:w="615" w:type="pct"/>
            <w:vAlign w:val="center"/>
          </w:tcPr>
          <w:p w14:paraId="01B35C39">
            <w:pPr>
              <w:wordWrap w:val="0"/>
              <w:spacing w:line="360" w:lineRule="auto"/>
              <w:jc w:val="center"/>
              <w:rPr>
                <w:rFonts w:cs="仿宋_GB2312"/>
                <w:szCs w:val="24"/>
              </w:rPr>
            </w:pPr>
          </w:p>
        </w:tc>
        <w:tc>
          <w:tcPr>
            <w:tcW w:w="297" w:type="pct"/>
            <w:vAlign w:val="center"/>
          </w:tcPr>
          <w:p w14:paraId="0D45EB66">
            <w:pPr>
              <w:wordWrap w:val="0"/>
              <w:spacing w:line="360" w:lineRule="auto"/>
              <w:jc w:val="center"/>
              <w:rPr>
                <w:rFonts w:cs="仿宋_GB2312"/>
                <w:szCs w:val="24"/>
              </w:rPr>
            </w:pPr>
          </w:p>
        </w:tc>
        <w:tc>
          <w:tcPr>
            <w:tcW w:w="1122" w:type="pct"/>
            <w:vAlign w:val="center"/>
          </w:tcPr>
          <w:p w14:paraId="0E859BC3">
            <w:pPr>
              <w:wordWrap w:val="0"/>
              <w:spacing w:line="360" w:lineRule="auto"/>
              <w:jc w:val="center"/>
              <w:rPr>
                <w:rFonts w:cs="仿宋_GB2312"/>
                <w:szCs w:val="24"/>
              </w:rPr>
            </w:pPr>
          </w:p>
        </w:tc>
        <w:tc>
          <w:tcPr>
            <w:tcW w:w="1376" w:type="pct"/>
            <w:vAlign w:val="center"/>
          </w:tcPr>
          <w:p w14:paraId="6F2A0587">
            <w:pPr>
              <w:wordWrap w:val="0"/>
              <w:spacing w:line="360" w:lineRule="auto"/>
              <w:jc w:val="center"/>
              <w:rPr>
                <w:rFonts w:cs="仿宋_GB2312"/>
                <w:szCs w:val="24"/>
              </w:rPr>
            </w:pPr>
          </w:p>
        </w:tc>
        <w:tc>
          <w:tcPr>
            <w:tcW w:w="618" w:type="pct"/>
            <w:vAlign w:val="center"/>
          </w:tcPr>
          <w:p w14:paraId="18541A50">
            <w:pPr>
              <w:wordWrap w:val="0"/>
              <w:spacing w:line="360" w:lineRule="auto"/>
              <w:jc w:val="center"/>
              <w:rPr>
                <w:rFonts w:cs="仿宋_GB2312"/>
                <w:szCs w:val="24"/>
              </w:rPr>
            </w:pPr>
          </w:p>
        </w:tc>
        <w:tc>
          <w:tcPr>
            <w:tcW w:w="688" w:type="pct"/>
            <w:vAlign w:val="center"/>
          </w:tcPr>
          <w:p w14:paraId="32F96F36">
            <w:pPr>
              <w:wordWrap w:val="0"/>
              <w:spacing w:line="360" w:lineRule="auto"/>
              <w:jc w:val="center"/>
              <w:rPr>
                <w:rFonts w:cs="仿宋_GB2312"/>
                <w:szCs w:val="24"/>
              </w:rPr>
            </w:pPr>
          </w:p>
        </w:tc>
      </w:tr>
      <w:tr w14:paraId="3D1E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2CA936ED">
            <w:pPr>
              <w:numPr>
                <w:ilvl w:val="0"/>
                <w:numId w:val="62"/>
              </w:numPr>
              <w:wordWrap w:val="0"/>
              <w:spacing w:line="360" w:lineRule="auto"/>
              <w:jc w:val="center"/>
              <w:rPr>
                <w:rFonts w:cs="仿宋_GB2312"/>
                <w:szCs w:val="24"/>
              </w:rPr>
            </w:pPr>
          </w:p>
        </w:tc>
        <w:tc>
          <w:tcPr>
            <w:tcW w:w="615" w:type="pct"/>
            <w:vAlign w:val="center"/>
          </w:tcPr>
          <w:p w14:paraId="24BE257D">
            <w:pPr>
              <w:wordWrap w:val="0"/>
              <w:spacing w:line="360" w:lineRule="auto"/>
              <w:jc w:val="center"/>
              <w:rPr>
                <w:rFonts w:cs="仿宋_GB2312"/>
                <w:szCs w:val="24"/>
              </w:rPr>
            </w:pPr>
          </w:p>
        </w:tc>
        <w:tc>
          <w:tcPr>
            <w:tcW w:w="297" w:type="pct"/>
            <w:vAlign w:val="center"/>
          </w:tcPr>
          <w:p w14:paraId="15177B5B">
            <w:pPr>
              <w:wordWrap w:val="0"/>
              <w:spacing w:line="360" w:lineRule="auto"/>
              <w:jc w:val="center"/>
              <w:rPr>
                <w:rFonts w:cs="仿宋_GB2312"/>
                <w:szCs w:val="24"/>
              </w:rPr>
            </w:pPr>
          </w:p>
        </w:tc>
        <w:tc>
          <w:tcPr>
            <w:tcW w:w="1122" w:type="pct"/>
            <w:vAlign w:val="center"/>
          </w:tcPr>
          <w:p w14:paraId="6DAF7243">
            <w:pPr>
              <w:wordWrap w:val="0"/>
              <w:spacing w:line="360" w:lineRule="auto"/>
              <w:jc w:val="center"/>
              <w:rPr>
                <w:rFonts w:cs="仿宋_GB2312"/>
                <w:szCs w:val="24"/>
              </w:rPr>
            </w:pPr>
          </w:p>
        </w:tc>
        <w:tc>
          <w:tcPr>
            <w:tcW w:w="1376" w:type="pct"/>
            <w:vAlign w:val="center"/>
          </w:tcPr>
          <w:p w14:paraId="565F6C0B">
            <w:pPr>
              <w:wordWrap w:val="0"/>
              <w:spacing w:line="360" w:lineRule="auto"/>
              <w:jc w:val="center"/>
              <w:rPr>
                <w:rFonts w:cs="仿宋_GB2312"/>
                <w:szCs w:val="24"/>
              </w:rPr>
            </w:pPr>
          </w:p>
        </w:tc>
        <w:tc>
          <w:tcPr>
            <w:tcW w:w="618" w:type="pct"/>
            <w:vAlign w:val="center"/>
          </w:tcPr>
          <w:p w14:paraId="44FE4268">
            <w:pPr>
              <w:wordWrap w:val="0"/>
              <w:spacing w:line="360" w:lineRule="auto"/>
              <w:jc w:val="center"/>
              <w:rPr>
                <w:rFonts w:cs="仿宋_GB2312"/>
                <w:szCs w:val="24"/>
              </w:rPr>
            </w:pPr>
          </w:p>
        </w:tc>
        <w:tc>
          <w:tcPr>
            <w:tcW w:w="688" w:type="pct"/>
            <w:vAlign w:val="center"/>
          </w:tcPr>
          <w:p w14:paraId="049D0AAC">
            <w:pPr>
              <w:wordWrap w:val="0"/>
              <w:spacing w:line="360" w:lineRule="auto"/>
              <w:jc w:val="center"/>
              <w:rPr>
                <w:rFonts w:cs="仿宋_GB2312"/>
                <w:szCs w:val="24"/>
              </w:rPr>
            </w:pPr>
          </w:p>
        </w:tc>
      </w:tr>
      <w:tr w14:paraId="1FEC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606D436F">
            <w:pPr>
              <w:numPr>
                <w:ilvl w:val="0"/>
                <w:numId w:val="62"/>
              </w:numPr>
              <w:wordWrap w:val="0"/>
              <w:spacing w:line="360" w:lineRule="auto"/>
              <w:jc w:val="center"/>
              <w:rPr>
                <w:rFonts w:cs="仿宋_GB2312"/>
                <w:szCs w:val="24"/>
              </w:rPr>
            </w:pPr>
          </w:p>
        </w:tc>
        <w:tc>
          <w:tcPr>
            <w:tcW w:w="615" w:type="pct"/>
            <w:vAlign w:val="center"/>
          </w:tcPr>
          <w:p w14:paraId="283080D7">
            <w:pPr>
              <w:wordWrap w:val="0"/>
              <w:spacing w:line="360" w:lineRule="auto"/>
              <w:jc w:val="center"/>
              <w:rPr>
                <w:rFonts w:cs="仿宋_GB2312"/>
                <w:szCs w:val="24"/>
              </w:rPr>
            </w:pPr>
          </w:p>
        </w:tc>
        <w:tc>
          <w:tcPr>
            <w:tcW w:w="297" w:type="pct"/>
            <w:vAlign w:val="center"/>
          </w:tcPr>
          <w:p w14:paraId="46B36326">
            <w:pPr>
              <w:wordWrap w:val="0"/>
              <w:spacing w:line="360" w:lineRule="auto"/>
              <w:jc w:val="center"/>
              <w:rPr>
                <w:rFonts w:cs="仿宋_GB2312"/>
                <w:szCs w:val="24"/>
              </w:rPr>
            </w:pPr>
          </w:p>
        </w:tc>
        <w:tc>
          <w:tcPr>
            <w:tcW w:w="1122" w:type="pct"/>
            <w:vAlign w:val="center"/>
          </w:tcPr>
          <w:p w14:paraId="35769820">
            <w:pPr>
              <w:wordWrap w:val="0"/>
              <w:spacing w:line="360" w:lineRule="auto"/>
              <w:jc w:val="center"/>
              <w:rPr>
                <w:rFonts w:cs="仿宋_GB2312"/>
                <w:szCs w:val="24"/>
              </w:rPr>
            </w:pPr>
          </w:p>
        </w:tc>
        <w:tc>
          <w:tcPr>
            <w:tcW w:w="1376" w:type="pct"/>
            <w:vAlign w:val="center"/>
          </w:tcPr>
          <w:p w14:paraId="46012A9F">
            <w:pPr>
              <w:wordWrap w:val="0"/>
              <w:spacing w:line="360" w:lineRule="auto"/>
              <w:jc w:val="center"/>
              <w:rPr>
                <w:rFonts w:cs="仿宋_GB2312"/>
                <w:szCs w:val="24"/>
              </w:rPr>
            </w:pPr>
          </w:p>
        </w:tc>
        <w:tc>
          <w:tcPr>
            <w:tcW w:w="618" w:type="pct"/>
            <w:vAlign w:val="center"/>
          </w:tcPr>
          <w:p w14:paraId="6B7DBF0D">
            <w:pPr>
              <w:wordWrap w:val="0"/>
              <w:spacing w:line="360" w:lineRule="auto"/>
              <w:jc w:val="center"/>
              <w:rPr>
                <w:rFonts w:cs="仿宋_GB2312"/>
                <w:szCs w:val="24"/>
              </w:rPr>
            </w:pPr>
          </w:p>
        </w:tc>
        <w:tc>
          <w:tcPr>
            <w:tcW w:w="688" w:type="pct"/>
            <w:vAlign w:val="center"/>
          </w:tcPr>
          <w:p w14:paraId="0F228790">
            <w:pPr>
              <w:wordWrap w:val="0"/>
              <w:spacing w:line="360" w:lineRule="auto"/>
              <w:jc w:val="center"/>
              <w:rPr>
                <w:rFonts w:cs="仿宋_GB2312"/>
                <w:szCs w:val="24"/>
              </w:rPr>
            </w:pPr>
          </w:p>
        </w:tc>
      </w:tr>
      <w:tr w14:paraId="7BBC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56C38027">
            <w:pPr>
              <w:numPr>
                <w:ilvl w:val="0"/>
                <w:numId w:val="62"/>
              </w:numPr>
              <w:wordWrap w:val="0"/>
              <w:spacing w:line="360" w:lineRule="auto"/>
              <w:jc w:val="center"/>
              <w:rPr>
                <w:rFonts w:cs="仿宋_GB2312"/>
                <w:szCs w:val="24"/>
              </w:rPr>
            </w:pPr>
          </w:p>
        </w:tc>
        <w:tc>
          <w:tcPr>
            <w:tcW w:w="615" w:type="pct"/>
            <w:vAlign w:val="center"/>
          </w:tcPr>
          <w:p w14:paraId="69540BAE">
            <w:pPr>
              <w:wordWrap w:val="0"/>
              <w:spacing w:line="360" w:lineRule="auto"/>
              <w:jc w:val="center"/>
              <w:rPr>
                <w:rFonts w:cs="仿宋_GB2312"/>
                <w:szCs w:val="24"/>
              </w:rPr>
            </w:pPr>
          </w:p>
        </w:tc>
        <w:tc>
          <w:tcPr>
            <w:tcW w:w="297" w:type="pct"/>
            <w:vAlign w:val="center"/>
          </w:tcPr>
          <w:p w14:paraId="1864B3F5">
            <w:pPr>
              <w:wordWrap w:val="0"/>
              <w:spacing w:line="360" w:lineRule="auto"/>
              <w:jc w:val="center"/>
              <w:rPr>
                <w:rFonts w:cs="仿宋_GB2312"/>
                <w:szCs w:val="24"/>
              </w:rPr>
            </w:pPr>
          </w:p>
        </w:tc>
        <w:tc>
          <w:tcPr>
            <w:tcW w:w="1122" w:type="pct"/>
            <w:vAlign w:val="center"/>
          </w:tcPr>
          <w:p w14:paraId="2703DDE8">
            <w:pPr>
              <w:wordWrap w:val="0"/>
              <w:spacing w:line="360" w:lineRule="auto"/>
              <w:jc w:val="center"/>
              <w:rPr>
                <w:rFonts w:cs="仿宋_GB2312"/>
                <w:szCs w:val="24"/>
              </w:rPr>
            </w:pPr>
          </w:p>
        </w:tc>
        <w:tc>
          <w:tcPr>
            <w:tcW w:w="1376" w:type="pct"/>
            <w:vAlign w:val="center"/>
          </w:tcPr>
          <w:p w14:paraId="03C2BC3B">
            <w:pPr>
              <w:wordWrap w:val="0"/>
              <w:spacing w:line="360" w:lineRule="auto"/>
              <w:jc w:val="center"/>
              <w:rPr>
                <w:rFonts w:cs="仿宋_GB2312"/>
                <w:szCs w:val="24"/>
              </w:rPr>
            </w:pPr>
          </w:p>
        </w:tc>
        <w:tc>
          <w:tcPr>
            <w:tcW w:w="618" w:type="pct"/>
            <w:vAlign w:val="center"/>
          </w:tcPr>
          <w:p w14:paraId="383E35BA">
            <w:pPr>
              <w:wordWrap w:val="0"/>
              <w:spacing w:line="360" w:lineRule="auto"/>
              <w:jc w:val="center"/>
              <w:rPr>
                <w:rFonts w:cs="仿宋_GB2312"/>
                <w:szCs w:val="24"/>
              </w:rPr>
            </w:pPr>
          </w:p>
        </w:tc>
        <w:tc>
          <w:tcPr>
            <w:tcW w:w="688" w:type="pct"/>
            <w:vAlign w:val="center"/>
          </w:tcPr>
          <w:p w14:paraId="1778DD7C">
            <w:pPr>
              <w:wordWrap w:val="0"/>
              <w:spacing w:line="360" w:lineRule="auto"/>
              <w:jc w:val="center"/>
              <w:rPr>
                <w:rFonts w:cs="仿宋_GB2312"/>
                <w:szCs w:val="24"/>
              </w:rPr>
            </w:pPr>
          </w:p>
        </w:tc>
      </w:tr>
      <w:tr w14:paraId="3213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7F5AE99D">
            <w:pPr>
              <w:wordWrap w:val="0"/>
              <w:spacing w:line="360" w:lineRule="auto"/>
              <w:jc w:val="center"/>
              <w:rPr>
                <w:rFonts w:cs="仿宋_GB2312"/>
                <w:szCs w:val="24"/>
              </w:rPr>
            </w:pPr>
            <w:r>
              <w:rPr>
                <w:rFonts w:hint="eastAsia" w:cs="仿宋_GB2312"/>
                <w:szCs w:val="24"/>
              </w:rPr>
              <w:t>…</w:t>
            </w:r>
          </w:p>
        </w:tc>
        <w:tc>
          <w:tcPr>
            <w:tcW w:w="615" w:type="pct"/>
            <w:vAlign w:val="center"/>
          </w:tcPr>
          <w:p w14:paraId="20A255BA">
            <w:pPr>
              <w:wordWrap w:val="0"/>
              <w:spacing w:line="360" w:lineRule="auto"/>
              <w:jc w:val="center"/>
              <w:rPr>
                <w:rFonts w:cs="仿宋_GB2312"/>
                <w:szCs w:val="24"/>
              </w:rPr>
            </w:pPr>
            <w:r>
              <w:rPr>
                <w:rFonts w:hint="eastAsia" w:cs="宋体"/>
                <w:szCs w:val="24"/>
              </w:rPr>
              <w:t>……</w:t>
            </w:r>
          </w:p>
        </w:tc>
        <w:tc>
          <w:tcPr>
            <w:tcW w:w="297" w:type="pct"/>
            <w:vAlign w:val="center"/>
          </w:tcPr>
          <w:p w14:paraId="128844A8">
            <w:pPr>
              <w:wordWrap w:val="0"/>
              <w:spacing w:line="360" w:lineRule="auto"/>
              <w:jc w:val="center"/>
              <w:rPr>
                <w:rFonts w:cs="仿宋_GB2312"/>
                <w:szCs w:val="24"/>
              </w:rPr>
            </w:pPr>
            <w:r>
              <w:rPr>
                <w:rFonts w:hint="eastAsia" w:cs="宋体"/>
                <w:szCs w:val="24"/>
              </w:rPr>
              <w:t>……</w:t>
            </w:r>
          </w:p>
        </w:tc>
        <w:tc>
          <w:tcPr>
            <w:tcW w:w="1122" w:type="pct"/>
            <w:vAlign w:val="center"/>
          </w:tcPr>
          <w:p w14:paraId="2C2CEF55">
            <w:pPr>
              <w:wordWrap w:val="0"/>
              <w:spacing w:line="360" w:lineRule="auto"/>
              <w:jc w:val="center"/>
              <w:rPr>
                <w:rFonts w:cs="仿宋_GB2312"/>
                <w:szCs w:val="24"/>
              </w:rPr>
            </w:pPr>
            <w:r>
              <w:rPr>
                <w:rFonts w:hint="eastAsia" w:cs="宋体"/>
                <w:szCs w:val="24"/>
              </w:rPr>
              <w:t>……</w:t>
            </w:r>
          </w:p>
        </w:tc>
        <w:tc>
          <w:tcPr>
            <w:tcW w:w="1376" w:type="pct"/>
            <w:vAlign w:val="center"/>
          </w:tcPr>
          <w:p w14:paraId="4557D827">
            <w:pPr>
              <w:wordWrap w:val="0"/>
              <w:spacing w:line="360" w:lineRule="auto"/>
              <w:jc w:val="center"/>
              <w:rPr>
                <w:rFonts w:cs="仿宋_GB2312"/>
                <w:szCs w:val="24"/>
              </w:rPr>
            </w:pPr>
            <w:r>
              <w:rPr>
                <w:rFonts w:hint="eastAsia" w:cs="宋体"/>
                <w:szCs w:val="24"/>
              </w:rPr>
              <w:t>……</w:t>
            </w:r>
          </w:p>
        </w:tc>
        <w:tc>
          <w:tcPr>
            <w:tcW w:w="618" w:type="pct"/>
            <w:vAlign w:val="center"/>
          </w:tcPr>
          <w:p w14:paraId="7DD7B24F">
            <w:pPr>
              <w:wordWrap w:val="0"/>
              <w:spacing w:line="360" w:lineRule="auto"/>
              <w:jc w:val="center"/>
              <w:rPr>
                <w:rFonts w:cs="仿宋_GB2312"/>
                <w:szCs w:val="24"/>
              </w:rPr>
            </w:pPr>
            <w:r>
              <w:rPr>
                <w:rFonts w:hint="eastAsia" w:cs="宋体"/>
                <w:szCs w:val="24"/>
              </w:rPr>
              <w:t>……</w:t>
            </w:r>
          </w:p>
        </w:tc>
        <w:tc>
          <w:tcPr>
            <w:tcW w:w="688" w:type="pct"/>
            <w:vAlign w:val="center"/>
          </w:tcPr>
          <w:p w14:paraId="3F74520E">
            <w:pPr>
              <w:wordWrap w:val="0"/>
              <w:spacing w:line="360" w:lineRule="auto"/>
              <w:jc w:val="center"/>
              <w:rPr>
                <w:rFonts w:cs="仿宋_GB2312"/>
                <w:szCs w:val="24"/>
              </w:rPr>
            </w:pPr>
            <w:r>
              <w:rPr>
                <w:rFonts w:hint="eastAsia" w:cs="宋体"/>
                <w:szCs w:val="24"/>
              </w:rPr>
              <w:t>……</w:t>
            </w:r>
          </w:p>
        </w:tc>
      </w:tr>
    </w:tbl>
    <w:p w14:paraId="5DCB3333">
      <w:pPr>
        <w:wordWrap w:val="0"/>
        <w:spacing w:line="360" w:lineRule="auto"/>
        <w:ind w:left="1132" w:hanging="1132" w:hangingChars="470"/>
        <w:jc w:val="left"/>
        <w:rPr>
          <w:rFonts w:cs="Corbel"/>
          <w:szCs w:val="24"/>
        </w:rPr>
      </w:pPr>
      <w:r>
        <w:rPr>
          <w:rFonts w:hint="eastAsia" w:cs="Corbel"/>
          <w:b/>
          <w:szCs w:val="24"/>
        </w:rPr>
        <w:t>说明：</w:t>
      </w:r>
      <w:r>
        <w:rPr>
          <w:rFonts w:hint="eastAsia" w:cs="Corbel"/>
          <w:szCs w:val="24"/>
        </w:rPr>
        <w:t>1、应按竞争性磋商文件“第四章 评审办法”中“2.商务评分”的评分标准逐项在“响应文件的内容”栏中进行响应说明，并在“偏离说明”栏中注明是否偏离，如有偏离,供应商应详细说明。未按照要求填写此表或在“响应文件的内容”栏中仅注明“符合”、“满足”的，导致的后果由供应商自行承担</w:t>
      </w:r>
      <w:r>
        <w:rPr>
          <w:rFonts w:hint="eastAsia"/>
          <w:szCs w:val="24"/>
        </w:rPr>
        <w:t>。</w:t>
      </w:r>
    </w:p>
    <w:p w14:paraId="261574C1">
      <w:pPr>
        <w:wordWrap w:val="0"/>
        <w:spacing w:line="360" w:lineRule="auto"/>
        <w:ind w:left="1132" w:leftChars="296" w:hanging="422" w:hangingChars="176"/>
        <w:jc w:val="left"/>
        <w:rPr>
          <w:szCs w:val="24"/>
        </w:rPr>
      </w:pPr>
      <w:r>
        <w:rPr>
          <w:rFonts w:hint="eastAsia"/>
          <w:szCs w:val="24"/>
        </w:rPr>
        <w:t>2、应将对应响应内容的页码（多页的，起码和止码）填写到上表“响应文件对应页码”栏中。未提供准确页码或页码与对应内容不一致的，导致的后果由供应商自行承担。</w:t>
      </w:r>
    </w:p>
    <w:p w14:paraId="2EBA2CB3">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7225B362">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61B98F25">
      <w:pPr>
        <w:keepNext/>
        <w:keepLines/>
        <w:numPr>
          <w:ilvl w:val="0"/>
          <w:numId w:val="60"/>
        </w:numPr>
        <w:wordWrap w:val="0"/>
        <w:spacing w:before="40" w:after="40" w:line="360" w:lineRule="auto"/>
        <w:ind w:left="1285" w:hanging="1285" w:hangingChars="400"/>
        <w:jc w:val="left"/>
        <w:outlineLvl w:val="1"/>
        <w:rPr>
          <w:b/>
          <w:sz w:val="32"/>
          <w:szCs w:val="32"/>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14:paraId="38770FED">
      <w:pPr>
        <w:pStyle w:val="4"/>
        <w:numPr>
          <w:ilvl w:val="0"/>
          <w:numId w:val="50"/>
        </w:numPr>
        <w:tabs>
          <w:tab w:val="left" w:pos="567"/>
        </w:tabs>
        <w:spacing w:before="0" w:after="0" w:line="360" w:lineRule="auto"/>
        <w:ind w:left="482" w:hanging="482" w:hangingChars="200"/>
        <w:jc w:val="left"/>
        <w:rPr>
          <w:rFonts w:ascii="宋体" w:hAnsi="宋体" w:eastAsia="宋体"/>
          <w:sz w:val="24"/>
          <w:szCs w:val="24"/>
        </w:rPr>
      </w:pPr>
      <w:bookmarkStart w:id="502" w:name="_Toc122527558"/>
      <w:bookmarkStart w:id="503" w:name="_Toc107561318"/>
      <w:bookmarkStart w:id="504" w:name="_Toc122424593"/>
      <w:bookmarkStart w:id="505" w:name="_Toc117244389"/>
      <w:bookmarkStart w:id="506" w:name="_Toc117244504"/>
      <w:r>
        <w:rPr>
          <w:rFonts w:hint="eastAsia" w:ascii="宋体" w:hAnsi="宋体" w:eastAsia="宋体"/>
          <w:sz w:val="24"/>
          <w:szCs w:val="24"/>
        </w:rPr>
        <w:t>技术评分对照表</w:t>
      </w:r>
      <w:bookmarkEnd w:id="502"/>
      <w:bookmarkEnd w:id="503"/>
      <w:bookmarkEnd w:id="504"/>
      <w:bookmarkEnd w:id="505"/>
      <w:bookmarkEnd w:id="506"/>
    </w:p>
    <w:p w14:paraId="1072137E">
      <w:pPr>
        <w:wordWrap w:val="0"/>
        <w:spacing w:line="360" w:lineRule="auto"/>
        <w:jc w:val="left"/>
        <w:rPr>
          <w:b/>
        </w:rPr>
      </w:pPr>
      <w:r>
        <w:rPr>
          <w:rFonts w:hint="eastAsia"/>
          <w:b/>
        </w:rPr>
        <w:t>投 标 人：</w:t>
      </w:r>
      <w:r>
        <w:rPr>
          <w:rFonts w:hint="eastAsia"/>
          <w:b/>
          <w:szCs w:val="21"/>
          <w:u w:val="single"/>
          <w:lang w:val="zh-CN"/>
        </w:rPr>
        <w:t xml:space="preserve">                     </w:t>
      </w:r>
      <w:r>
        <w:rPr>
          <w:rFonts w:hint="eastAsia"/>
          <w:b/>
          <w:szCs w:val="21"/>
          <w:lang w:val="zh-CN"/>
        </w:rPr>
        <w:t xml:space="preserve"> </w:t>
      </w:r>
    </w:p>
    <w:p w14:paraId="66188C16">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30"/>
        <w:tblW w:w="497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175"/>
        <w:gridCol w:w="696"/>
        <w:gridCol w:w="2506"/>
        <w:gridCol w:w="2505"/>
        <w:gridCol w:w="1123"/>
        <w:gridCol w:w="1096"/>
      </w:tblGrid>
      <w:tr w14:paraId="562D96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4908" w:type="dxa"/>
            <w:gridSpan w:val="4"/>
            <w:tcBorders>
              <w:bottom w:val="single" w:color="auto" w:sz="4" w:space="0"/>
            </w:tcBorders>
            <w:shd w:val="pct10" w:color="C3BD96" w:themeColor="background2" w:themeShade="BF" w:fill="DDD9C4" w:themeFill="background2" w:themeFillShade="E6"/>
            <w:vAlign w:val="center"/>
          </w:tcPr>
          <w:p w14:paraId="3415EECA">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竞争性磋商文件技术评分内容</w:t>
            </w:r>
          </w:p>
        </w:tc>
        <w:tc>
          <w:tcPr>
            <w:tcW w:w="2551" w:type="dxa"/>
            <w:vMerge w:val="restart"/>
            <w:shd w:val="pct10" w:color="C3BD96" w:themeColor="background2" w:themeShade="BF" w:fill="DDD9C4" w:themeFill="background2" w:themeFillShade="E6"/>
            <w:vAlign w:val="center"/>
          </w:tcPr>
          <w:p w14:paraId="7302AFC5">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响应文件的内容</w:t>
            </w:r>
          </w:p>
        </w:tc>
        <w:tc>
          <w:tcPr>
            <w:tcW w:w="1134" w:type="dxa"/>
            <w:vMerge w:val="restart"/>
            <w:shd w:val="pct10" w:color="C3BD96" w:themeColor="background2" w:themeShade="BF" w:fill="DDD9C4" w:themeFill="background2" w:themeFillShade="E6"/>
            <w:vAlign w:val="center"/>
          </w:tcPr>
          <w:p w14:paraId="68E9E536">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1106" w:type="dxa"/>
            <w:vMerge w:val="restart"/>
            <w:shd w:val="pct10" w:color="C3BD96" w:themeColor="background2" w:themeShade="BF" w:fill="DDD9C4" w:themeFill="background2" w:themeFillShade="E6"/>
            <w:vAlign w:val="center"/>
          </w:tcPr>
          <w:p w14:paraId="3D255C1F">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14:paraId="1F5321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602" w:type="dxa"/>
            <w:tcBorders>
              <w:top w:val="single" w:color="auto" w:sz="4" w:space="0"/>
              <w:bottom w:val="single" w:color="auto" w:sz="4" w:space="0"/>
            </w:tcBorders>
            <w:shd w:val="pct10" w:color="C3BD96" w:themeColor="background2" w:themeShade="BF" w:fill="DDD9C4" w:themeFill="background2" w:themeFillShade="E6"/>
            <w:vAlign w:val="center"/>
          </w:tcPr>
          <w:p w14:paraId="1ECC4C7B">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1187" w:type="dxa"/>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0941CEB1">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评审因素</w:t>
            </w:r>
          </w:p>
        </w:tc>
        <w:tc>
          <w:tcPr>
            <w:tcW w:w="567"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7AD82701">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分值</w:t>
            </w:r>
          </w:p>
        </w:tc>
        <w:tc>
          <w:tcPr>
            <w:tcW w:w="2552"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4E8D4B14">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评分标准</w:t>
            </w:r>
          </w:p>
        </w:tc>
        <w:tc>
          <w:tcPr>
            <w:tcW w:w="2551" w:type="dxa"/>
            <w:vMerge w:val="continue"/>
            <w:tcBorders>
              <w:bottom w:val="single" w:color="auto" w:sz="4" w:space="0"/>
            </w:tcBorders>
            <w:shd w:val="pct10" w:color="C3BD96" w:themeColor="background2" w:themeShade="BF" w:fill="DDD9C4" w:themeFill="background2" w:themeFillShade="E6"/>
            <w:vAlign w:val="center"/>
          </w:tcPr>
          <w:p w14:paraId="61208CA3">
            <w:pPr>
              <w:wordWrap w:val="0"/>
              <w:spacing w:before="100" w:beforeAutospacing="1" w:after="100" w:afterAutospacing="1" w:line="360" w:lineRule="auto"/>
              <w:ind w:left="-60" w:leftChars="-25" w:right="-60" w:rightChars="-25"/>
              <w:jc w:val="center"/>
              <w:rPr>
                <w:rFonts w:cs="仿宋_GB2312"/>
                <w:szCs w:val="24"/>
              </w:rPr>
            </w:pPr>
          </w:p>
        </w:tc>
        <w:tc>
          <w:tcPr>
            <w:tcW w:w="1134" w:type="dxa"/>
            <w:vMerge w:val="continue"/>
            <w:tcBorders>
              <w:bottom w:val="single" w:color="auto" w:sz="4" w:space="0"/>
            </w:tcBorders>
            <w:shd w:val="pct10" w:color="C3BD96" w:themeColor="background2" w:themeShade="BF" w:fill="DDD9C4" w:themeFill="background2" w:themeFillShade="E6"/>
            <w:vAlign w:val="center"/>
          </w:tcPr>
          <w:p w14:paraId="73D440A3">
            <w:pPr>
              <w:wordWrap w:val="0"/>
              <w:spacing w:before="100" w:beforeAutospacing="1" w:after="100" w:afterAutospacing="1" w:line="360" w:lineRule="auto"/>
              <w:ind w:left="-60" w:leftChars="-25" w:right="-60" w:rightChars="-25"/>
              <w:jc w:val="center"/>
              <w:rPr>
                <w:rFonts w:cs="仿宋_GB2312"/>
                <w:szCs w:val="24"/>
              </w:rPr>
            </w:pPr>
          </w:p>
        </w:tc>
        <w:tc>
          <w:tcPr>
            <w:tcW w:w="1106" w:type="dxa"/>
            <w:vMerge w:val="continue"/>
            <w:tcBorders>
              <w:bottom w:val="single" w:color="auto" w:sz="4" w:space="0"/>
            </w:tcBorders>
            <w:shd w:val="pct10" w:color="C3BD96" w:themeColor="background2" w:themeShade="BF" w:fill="DDD9C4" w:themeFill="background2" w:themeFillShade="E6"/>
          </w:tcPr>
          <w:p w14:paraId="32C5B49C">
            <w:pPr>
              <w:wordWrap w:val="0"/>
              <w:spacing w:before="100" w:beforeAutospacing="1" w:after="100" w:afterAutospacing="1" w:line="360" w:lineRule="auto"/>
              <w:ind w:left="-60" w:leftChars="-25" w:right="-60" w:rightChars="-25"/>
              <w:jc w:val="center"/>
              <w:rPr>
                <w:rFonts w:cs="仿宋_GB2312"/>
                <w:szCs w:val="24"/>
              </w:rPr>
            </w:pPr>
          </w:p>
        </w:tc>
      </w:tr>
      <w:tr w14:paraId="23C23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tcBorders>
              <w:top w:val="single" w:color="auto" w:sz="4" w:space="0"/>
            </w:tcBorders>
            <w:vAlign w:val="center"/>
          </w:tcPr>
          <w:p w14:paraId="390EC9F5">
            <w:pPr>
              <w:numPr>
                <w:ilvl w:val="0"/>
                <w:numId w:val="63"/>
              </w:numPr>
              <w:wordWrap w:val="0"/>
              <w:spacing w:line="360" w:lineRule="auto"/>
              <w:jc w:val="center"/>
              <w:rPr>
                <w:rFonts w:cs="仿宋_GB2312"/>
                <w:szCs w:val="24"/>
              </w:rPr>
            </w:pPr>
          </w:p>
        </w:tc>
        <w:tc>
          <w:tcPr>
            <w:tcW w:w="1187" w:type="dxa"/>
            <w:tcBorders>
              <w:top w:val="single" w:color="auto" w:sz="4" w:space="0"/>
            </w:tcBorders>
            <w:vAlign w:val="center"/>
          </w:tcPr>
          <w:p w14:paraId="20F53124">
            <w:pPr>
              <w:wordWrap w:val="0"/>
              <w:spacing w:line="360" w:lineRule="auto"/>
              <w:jc w:val="center"/>
              <w:rPr>
                <w:rFonts w:cs="仿宋_GB2312"/>
                <w:szCs w:val="24"/>
              </w:rPr>
            </w:pPr>
          </w:p>
        </w:tc>
        <w:tc>
          <w:tcPr>
            <w:tcW w:w="567" w:type="dxa"/>
            <w:tcBorders>
              <w:top w:val="single" w:color="auto" w:sz="4" w:space="0"/>
            </w:tcBorders>
            <w:vAlign w:val="center"/>
          </w:tcPr>
          <w:p w14:paraId="15897120">
            <w:pPr>
              <w:wordWrap w:val="0"/>
              <w:spacing w:line="360" w:lineRule="auto"/>
              <w:jc w:val="center"/>
              <w:rPr>
                <w:rFonts w:cs="仿宋_GB2312"/>
                <w:szCs w:val="24"/>
              </w:rPr>
            </w:pPr>
          </w:p>
        </w:tc>
        <w:tc>
          <w:tcPr>
            <w:tcW w:w="2552" w:type="dxa"/>
            <w:tcBorders>
              <w:top w:val="single" w:color="auto" w:sz="4" w:space="0"/>
            </w:tcBorders>
            <w:vAlign w:val="center"/>
          </w:tcPr>
          <w:p w14:paraId="3FF53ED4">
            <w:pPr>
              <w:wordWrap w:val="0"/>
              <w:spacing w:line="360" w:lineRule="auto"/>
              <w:jc w:val="center"/>
              <w:rPr>
                <w:rFonts w:cs="仿宋_GB2312"/>
                <w:szCs w:val="24"/>
              </w:rPr>
            </w:pPr>
          </w:p>
        </w:tc>
        <w:tc>
          <w:tcPr>
            <w:tcW w:w="2551" w:type="dxa"/>
            <w:tcBorders>
              <w:top w:val="single" w:color="auto" w:sz="4" w:space="0"/>
            </w:tcBorders>
            <w:vAlign w:val="center"/>
          </w:tcPr>
          <w:p w14:paraId="6FD7A967">
            <w:pPr>
              <w:wordWrap w:val="0"/>
              <w:spacing w:line="360" w:lineRule="auto"/>
              <w:jc w:val="center"/>
              <w:rPr>
                <w:rFonts w:cs="仿宋_GB2312"/>
                <w:szCs w:val="24"/>
              </w:rPr>
            </w:pPr>
          </w:p>
        </w:tc>
        <w:tc>
          <w:tcPr>
            <w:tcW w:w="1134" w:type="dxa"/>
            <w:tcBorders>
              <w:top w:val="single" w:color="auto" w:sz="4" w:space="0"/>
            </w:tcBorders>
            <w:vAlign w:val="center"/>
          </w:tcPr>
          <w:p w14:paraId="2A9473A2">
            <w:pPr>
              <w:wordWrap w:val="0"/>
              <w:spacing w:line="360" w:lineRule="auto"/>
              <w:jc w:val="center"/>
              <w:rPr>
                <w:rFonts w:cs="仿宋_GB2312"/>
                <w:szCs w:val="24"/>
              </w:rPr>
            </w:pPr>
          </w:p>
        </w:tc>
        <w:tc>
          <w:tcPr>
            <w:tcW w:w="1106" w:type="dxa"/>
            <w:tcBorders>
              <w:top w:val="single" w:color="auto" w:sz="4" w:space="0"/>
            </w:tcBorders>
            <w:vAlign w:val="center"/>
          </w:tcPr>
          <w:p w14:paraId="771F5EA9">
            <w:pPr>
              <w:wordWrap w:val="0"/>
              <w:spacing w:line="360" w:lineRule="auto"/>
              <w:jc w:val="center"/>
              <w:rPr>
                <w:rFonts w:cs="仿宋_GB2312"/>
                <w:szCs w:val="24"/>
              </w:rPr>
            </w:pPr>
          </w:p>
        </w:tc>
      </w:tr>
      <w:tr w14:paraId="7144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vAlign w:val="center"/>
          </w:tcPr>
          <w:p w14:paraId="1D3919FF">
            <w:pPr>
              <w:numPr>
                <w:ilvl w:val="0"/>
                <w:numId w:val="63"/>
              </w:numPr>
              <w:wordWrap w:val="0"/>
              <w:spacing w:line="360" w:lineRule="auto"/>
              <w:jc w:val="center"/>
              <w:rPr>
                <w:rFonts w:cs="仿宋_GB2312"/>
                <w:szCs w:val="24"/>
              </w:rPr>
            </w:pPr>
          </w:p>
        </w:tc>
        <w:tc>
          <w:tcPr>
            <w:tcW w:w="1187" w:type="dxa"/>
            <w:vAlign w:val="center"/>
          </w:tcPr>
          <w:p w14:paraId="6EABE382">
            <w:pPr>
              <w:wordWrap w:val="0"/>
              <w:spacing w:line="360" w:lineRule="auto"/>
              <w:jc w:val="center"/>
              <w:rPr>
                <w:rFonts w:cs="仿宋_GB2312"/>
                <w:szCs w:val="24"/>
              </w:rPr>
            </w:pPr>
          </w:p>
        </w:tc>
        <w:tc>
          <w:tcPr>
            <w:tcW w:w="567" w:type="dxa"/>
            <w:vAlign w:val="center"/>
          </w:tcPr>
          <w:p w14:paraId="31A5C00F">
            <w:pPr>
              <w:wordWrap w:val="0"/>
              <w:spacing w:line="360" w:lineRule="auto"/>
              <w:jc w:val="center"/>
              <w:rPr>
                <w:rFonts w:cs="仿宋_GB2312"/>
                <w:szCs w:val="24"/>
              </w:rPr>
            </w:pPr>
          </w:p>
        </w:tc>
        <w:tc>
          <w:tcPr>
            <w:tcW w:w="2552" w:type="dxa"/>
            <w:vAlign w:val="center"/>
          </w:tcPr>
          <w:p w14:paraId="5943E18E">
            <w:pPr>
              <w:wordWrap w:val="0"/>
              <w:spacing w:line="360" w:lineRule="auto"/>
              <w:jc w:val="center"/>
              <w:rPr>
                <w:rFonts w:cs="仿宋_GB2312"/>
                <w:szCs w:val="24"/>
              </w:rPr>
            </w:pPr>
          </w:p>
        </w:tc>
        <w:tc>
          <w:tcPr>
            <w:tcW w:w="2551" w:type="dxa"/>
            <w:vAlign w:val="center"/>
          </w:tcPr>
          <w:p w14:paraId="0480C87B">
            <w:pPr>
              <w:wordWrap w:val="0"/>
              <w:spacing w:line="360" w:lineRule="auto"/>
              <w:jc w:val="center"/>
              <w:rPr>
                <w:rFonts w:cs="仿宋_GB2312"/>
                <w:szCs w:val="24"/>
              </w:rPr>
            </w:pPr>
          </w:p>
        </w:tc>
        <w:tc>
          <w:tcPr>
            <w:tcW w:w="1134" w:type="dxa"/>
            <w:vAlign w:val="center"/>
          </w:tcPr>
          <w:p w14:paraId="0C01A27B">
            <w:pPr>
              <w:wordWrap w:val="0"/>
              <w:spacing w:line="360" w:lineRule="auto"/>
              <w:jc w:val="center"/>
              <w:rPr>
                <w:rFonts w:cs="仿宋_GB2312"/>
                <w:szCs w:val="24"/>
              </w:rPr>
            </w:pPr>
          </w:p>
        </w:tc>
        <w:tc>
          <w:tcPr>
            <w:tcW w:w="1106" w:type="dxa"/>
            <w:vAlign w:val="center"/>
          </w:tcPr>
          <w:p w14:paraId="5AACD226">
            <w:pPr>
              <w:wordWrap w:val="0"/>
              <w:spacing w:line="360" w:lineRule="auto"/>
              <w:jc w:val="center"/>
              <w:rPr>
                <w:rFonts w:cs="仿宋_GB2312"/>
                <w:szCs w:val="24"/>
              </w:rPr>
            </w:pPr>
          </w:p>
        </w:tc>
      </w:tr>
      <w:tr w14:paraId="140899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59E2AB26">
            <w:pPr>
              <w:numPr>
                <w:ilvl w:val="0"/>
                <w:numId w:val="63"/>
              </w:numPr>
              <w:wordWrap w:val="0"/>
              <w:spacing w:line="360" w:lineRule="auto"/>
              <w:jc w:val="center"/>
              <w:rPr>
                <w:rFonts w:cs="仿宋_GB2312"/>
                <w:szCs w:val="24"/>
              </w:rPr>
            </w:pPr>
          </w:p>
        </w:tc>
        <w:tc>
          <w:tcPr>
            <w:tcW w:w="1187" w:type="dxa"/>
            <w:tcBorders>
              <w:right w:val="single" w:color="auto" w:sz="4" w:space="0"/>
            </w:tcBorders>
            <w:vAlign w:val="center"/>
          </w:tcPr>
          <w:p w14:paraId="3FF32486">
            <w:pPr>
              <w:wordWrap w:val="0"/>
              <w:spacing w:line="360" w:lineRule="auto"/>
              <w:jc w:val="left"/>
              <w:rPr>
                <w:rFonts w:cs="仿宋_GB2312"/>
                <w:szCs w:val="24"/>
              </w:rPr>
            </w:pPr>
          </w:p>
        </w:tc>
        <w:tc>
          <w:tcPr>
            <w:tcW w:w="567" w:type="dxa"/>
            <w:tcBorders>
              <w:left w:val="single" w:color="auto" w:sz="4" w:space="0"/>
            </w:tcBorders>
            <w:vAlign w:val="center"/>
          </w:tcPr>
          <w:p w14:paraId="0F25C3AD">
            <w:pPr>
              <w:wordWrap w:val="0"/>
              <w:spacing w:line="360" w:lineRule="auto"/>
              <w:jc w:val="left"/>
              <w:rPr>
                <w:rFonts w:cs="仿宋_GB2312"/>
                <w:szCs w:val="24"/>
              </w:rPr>
            </w:pPr>
          </w:p>
        </w:tc>
        <w:tc>
          <w:tcPr>
            <w:tcW w:w="2552" w:type="dxa"/>
            <w:tcBorders>
              <w:left w:val="single" w:color="auto" w:sz="4" w:space="0"/>
            </w:tcBorders>
            <w:vAlign w:val="center"/>
          </w:tcPr>
          <w:p w14:paraId="53A155FA">
            <w:pPr>
              <w:wordWrap w:val="0"/>
              <w:spacing w:line="360" w:lineRule="auto"/>
              <w:jc w:val="left"/>
              <w:rPr>
                <w:rFonts w:cs="仿宋_GB2312"/>
                <w:szCs w:val="24"/>
              </w:rPr>
            </w:pPr>
          </w:p>
        </w:tc>
        <w:tc>
          <w:tcPr>
            <w:tcW w:w="2551" w:type="dxa"/>
            <w:vAlign w:val="center"/>
          </w:tcPr>
          <w:p w14:paraId="0B72A7FF">
            <w:pPr>
              <w:wordWrap w:val="0"/>
              <w:spacing w:line="360" w:lineRule="auto"/>
              <w:jc w:val="left"/>
              <w:rPr>
                <w:rFonts w:cs="仿宋_GB2312"/>
                <w:szCs w:val="24"/>
              </w:rPr>
            </w:pPr>
          </w:p>
        </w:tc>
        <w:tc>
          <w:tcPr>
            <w:tcW w:w="1134" w:type="dxa"/>
            <w:vAlign w:val="center"/>
          </w:tcPr>
          <w:p w14:paraId="7F06F44D">
            <w:pPr>
              <w:wordWrap w:val="0"/>
              <w:spacing w:line="360" w:lineRule="auto"/>
              <w:jc w:val="center"/>
              <w:rPr>
                <w:rFonts w:cs="仿宋_GB2312"/>
                <w:szCs w:val="24"/>
              </w:rPr>
            </w:pPr>
          </w:p>
        </w:tc>
        <w:tc>
          <w:tcPr>
            <w:tcW w:w="1106" w:type="dxa"/>
            <w:vAlign w:val="center"/>
          </w:tcPr>
          <w:p w14:paraId="158AF082">
            <w:pPr>
              <w:wordWrap w:val="0"/>
              <w:spacing w:line="360" w:lineRule="auto"/>
              <w:jc w:val="center"/>
              <w:rPr>
                <w:rFonts w:cs="仿宋_GB2312"/>
                <w:szCs w:val="24"/>
              </w:rPr>
            </w:pPr>
          </w:p>
        </w:tc>
      </w:tr>
      <w:tr w14:paraId="4B5B75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16201C52">
            <w:pPr>
              <w:numPr>
                <w:ilvl w:val="0"/>
                <w:numId w:val="63"/>
              </w:numPr>
              <w:wordWrap w:val="0"/>
              <w:spacing w:line="360" w:lineRule="auto"/>
              <w:jc w:val="center"/>
              <w:rPr>
                <w:rFonts w:cs="仿宋_GB2312"/>
                <w:szCs w:val="24"/>
              </w:rPr>
            </w:pPr>
          </w:p>
        </w:tc>
        <w:tc>
          <w:tcPr>
            <w:tcW w:w="1187" w:type="dxa"/>
            <w:tcBorders>
              <w:right w:val="single" w:color="auto" w:sz="4" w:space="0"/>
            </w:tcBorders>
            <w:vAlign w:val="center"/>
          </w:tcPr>
          <w:p w14:paraId="72665C94">
            <w:pPr>
              <w:wordWrap w:val="0"/>
              <w:spacing w:line="360" w:lineRule="auto"/>
              <w:jc w:val="left"/>
              <w:rPr>
                <w:rFonts w:cs="仿宋_GB2312"/>
                <w:szCs w:val="24"/>
              </w:rPr>
            </w:pPr>
          </w:p>
        </w:tc>
        <w:tc>
          <w:tcPr>
            <w:tcW w:w="567" w:type="dxa"/>
            <w:tcBorders>
              <w:left w:val="single" w:color="auto" w:sz="4" w:space="0"/>
            </w:tcBorders>
            <w:vAlign w:val="center"/>
          </w:tcPr>
          <w:p w14:paraId="1EE33A56">
            <w:pPr>
              <w:wordWrap w:val="0"/>
              <w:spacing w:line="360" w:lineRule="auto"/>
              <w:jc w:val="left"/>
              <w:rPr>
                <w:rFonts w:cs="仿宋_GB2312"/>
                <w:szCs w:val="24"/>
              </w:rPr>
            </w:pPr>
          </w:p>
        </w:tc>
        <w:tc>
          <w:tcPr>
            <w:tcW w:w="2552" w:type="dxa"/>
            <w:tcBorders>
              <w:left w:val="single" w:color="auto" w:sz="4" w:space="0"/>
            </w:tcBorders>
            <w:vAlign w:val="center"/>
          </w:tcPr>
          <w:p w14:paraId="3379FA34">
            <w:pPr>
              <w:wordWrap w:val="0"/>
              <w:spacing w:line="360" w:lineRule="auto"/>
              <w:jc w:val="left"/>
              <w:rPr>
                <w:rFonts w:cs="仿宋_GB2312"/>
                <w:szCs w:val="24"/>
              </w:rPr>
            </w:pPr>
          </w:p>
        </w:tc>
        <w:tc>
          <w:tcPr>
            <w:tcW w:w="2551" w:type="dxa"/>
            <w:vAlign w:val="center"/>
          </w:tcPr>
          <w:p w14:paraId="041EA54D">
            <w:pPr>
              <w:wordWrap w:val="0"/>
              <w:spacing w:line="360" w:lineRule="auto"/>
              <w:jc w:val="left"/>
              <w:rPr>
                <w:rFonts w:cs="仿宋_GB2312"/>
                <w:szCs w:val="24"/>
              </w:rPr>
            </w:pPr>
          </w:p>
        </w:tc>
        <w:tc>
          <w:tcPr>
            <w:tcW w:w="1134" w:type="dxa"/>
            <w:vAlign w:val="center"/>
          </w:tcPr>
          <w:p w14:paraId="0728F782">
            <w:pPr>
              <w:wordWrap w:val="0"/>
              <w:spacing w:line="360" w:lineRule="auto"/>
              <w:jc w:val="center"/>
              <w:rPr>
                <w:rFonts w:cs="仿宋_GB2312"/>
                <w:szCs w:val="24"/>
              </w:rPr>
            </w:pPr>
          </w:p>
        </w:tc>
        <w:tc>
          <w:tcPr>
            <w:tcW w:w="1106" w:type="dxa"/>
            <w:vAlign w:val="center"/>
          </w:tcPr>
          <w:p w14:paraId="1A91851B">
            <w:pPr>
              <w:wordWrap w:val="0"/>
              <w:spacing w:line="360" w:lineRule="auto"/>
              <w:jc w:val="center"/>
              <w:rPr>
                <w:rFonts w:cs="仿宋_GB2312"/>
                <w:szCs w:val="24"/>
              </w:rPr>
            </w:pPr>
          </w:p>
        </w:tc>
      </w:tr>
      <w:tr w14:paraId="5D489F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2482515E">
            <w:pPr>
              <w:numPr>
                <w:ilvl w:val="0"/>
                <w:numId w:val="63"/>
              </w:numPr>
              <w:wordWrap w:val="0"/>
              <w:spacing w:line="360" w:lineRule="auto"/>
              <w:jc w:val="center"/>
              <w:rPr>
                <w:rFonts w:cs="仿宋_GB2312"/>
                <w:szCs w:val="24"/>
              </w:rPr>
            </w:pPr>
          </w:p>
        </w:tc>
        <w:tc>
          <w:tcPr>
            <w:tcW w:w="1187" w:type="dxa"/>
            <w:tcBorders>
              <w:right w:val="single" w:color="auto" w:sz="4" w:space="0"/>
            </w:tcBorders>
            <w:vAlign w:val="center"/>
          </w:tcPr>
          <w:p w14:paraId="73EE7BD6">
            <w:pPr>
              <w:wordWrap w:val="0"/>
              <w:spacing w:line="360" w:lineRule="auto"/>
              <w:jc w:val="left"/>
              <w:rPr>
                <w:rFonts w:cs="仿宋_GB2312"/>
                <w:szCs w:val="24"/>
              </w:rPr>
            </w:pPr>
          </w:p>
        </w:tc>
        <w:tc>
          <w:tcPr>
            <w:tcW w:w="567" w:type="dxa"/>
            <w:tcBorders>
              <w:left w:val="single" w:color="auto" w:sz="4" w:space="0"/>
            </w:tcBorders>
            <w:vAlign w:val="center"/>
          </w:tcPr>
          <w:p w14:paraId="3EE356FB">
            <w:pPr>
              <w:wordWrap w:val="0"/>
              <w:spacing w:line="360" w:lineRule="auto"/>
              <w:jc w:val="left"/>
              <w:rPr>
                <w:rFonts w:cs="仿宋_GB2312"/>
                <w:szCs w:val="24"/>
              </w:rPr>
            </w:pPr>
          </w:p>
        </w:tc>
        <w:tc>
          <w:tcPr>
            <w:tcW w:w="2552" w:type="dxa"/>
            <w:tcBorders>
              <w:left w:val="single" w:color="auto" w:sz="4" w:space="0"/>
            </w:tcBorders>
            <w:vAlign w:val="center"/>
          </w:tcPr>
          <w:p w14:paraId="3133009E">
            <w:pPr>
              <w:wordWrap w:val="0"/>
              <w:spacing w:line="360" w:lineRule="auto"/>
              <w:jc w:val="left"/>
              <w:rPr>
                <w:rFonts w:cs="仿宋_GB2312"/>
                <w:szCs w:val="24"/>
              </w:rPr>
            </w:pPr>
          </w:p>
        </w:tc>
        <w:tc>
          <w:tcPr>
            <w:tcW w:w="2551" w:type="dxa"/>
            <w:vAlign w:val="center"/>
          </w:tcPr>
          <w:p w14:paraId="7BD88BF9">
            <w:pPr>
              <w:wordWrap w:val="0"/>
              <w:spacing w:line="360" w:lineRule="auto"/>
              <w:jc w:val="left"/>
              <w:rPr>
                <w:rFonts w:cs="仿宋_GB2312"/>
                <w:szCs w:val="24"/>
              </w:rPr>
            </w:pPr>
          </w:p>
        </w:tc>
        <w:tc>
          <w:tcPr>
            <w:tcW w:w="1134" w:type="dxa"/>
            <w:vAlign w:val="center"/>
          </w:tcPr>
          <w:p w14:paraId="4EA2E9DB">
            <w:pPr>
              <w:wordWrap w:val="0"/>
              <w:spacing w:line="360" w:lineRule="auto"/>
              <w:jc w:val="center"/>
              <w:rPr>
                <w:rFonts w:cs="仿宋_GB2312"/>
                <w:szCs w:val="24"/>
              </w:rPr>
            </w:pPr>
          </w:p>
        </w:tc>
        <w:tc>
          <w:tcPr>
            <w:tcW w:w="1106" w:type="dxa"/>
            <w:vAlign w:val="center"/>
          </w:tcPr>
          <w:p w14:paraId="6241F3DC">
            <w:pPr>
              <w:wordWrap w:val="0"/>
              <w:spacing w:line="360" w:lineRule="auto"/>
              <w:jc w:val="center"/>
              <w:rPr>
                <w:rFonts w:cs="仿宋_GB2312"/>
                <w:szCs w:val="24"/>
              </w:rPr>
            </w:pPr>
          </w:p>
        </w:tc>
      </w:tr>
      <w:tr w14:paraId="3C8F5C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4B408839">
            <w:pPr>
              <w:numPr>
                <w:ilvl w:val="0"/>
                <w:numId w:val="63"/>
              </w:numPr>
              <w:wordWrap w:val="0"/>
              <w:spacing w:line="360" w:lineRule="auto"/>
              <w:jc w:val="center"/>
              <w:rPr>
                <w:rFonts w:cs="仿宋_GB2312"/>
                <w:szCs w:val="24"/>
              </w:rPr>
            </w:pPr>
          </w:p>
        </w:tc>
        <w:tc>
          <w:tcPr>
            <w:tcW w:w="1187" w:type="dxa"/>
            <w:tcBorders>
              <w:right w:val="single" w:color="auto" w:sz="4" w:space="0"/>
            </w:tcBorders>
            <w:vAlign w:val="center"/>
          </w:tcPr>
          <w:p w14:paraId="169A9FB2">
            <w:pPr>
              <w:wordWrap w:val="0"/>
              <w:spacing w:line="360" w:lineRule="auto"/>
              <w:jc w:val="left"/>
              <w:rPr>
                <w:rFonts w:cs="仿宋_GB2312"/>
                <w:szCs w:val="24"/>
              </w:rPr>
            </w:pPr>
          </w:p>
        </w:tc>
        <w:tc>
          <w:tcPr>
            <w:tcW w:w="567" w:type="dxa"/>
            <w:tcBorders>
              <w:left w:val="single" w:color="auto" w:sz="4" w:space="0"/>
            </w:tcBorders>
            <w:vAlign w:val="center"/>
          </w:tcPr>
          <w:p w14:paraId="2830B128">
            <w:pPr>
              <w:wordWrap w:val="0"/>
              <w:spacing w:line="360" w:lineRule="auto"/>
              <w:jc w:val="left"/>
              <w:rPr>
                <w:rFonts w:cs="仿宋_GB2312"/>
                <w:szCs w:val="24"/>
              </w:rPr>
            </w:pPr>
          </w:p>
        </w:tc>
        <w:tc>
          <w:tcPr>
            <w:tcW w:w="2552" w:type="dxa"/>
            <w:tcBorders>
              <w:left w:val="single" w:color="auto" w:sz="4" w:space="0"/>
            </w:tcBorders>
            <w:vAlign w:val="center"/>
          </w:tcPr>
          <w:p w14:paraId="0176D0D2">
            <w:pPr>
              <w:wordWrap w:val="0"/>
              <w:spacing w:line="360" w:lineRule="auto"/>
              <w:jc w:val="left"/>
              <w:rPr>
                <w:rFonts w:cs="仿宋_GB2312"/>
                <w:szCs w:val="24"/>
              </w:rPr>
            </w:pPr>
          </w:p>
        </w:tc>
        <w:tc>
          <w:tcPr>
            <w:tcW w:w="2551" w:type="dxa"/>
            <w:vAlign w:val="center"/>
          </w:tcPr>
          <w:p w14:paraId="7B1AF183">
            <w:pPr>
              <w:wordWrap w:val="0"/>
              <w:spacing w:line="360" w:lineRule="auto"/>
              <w:jc w:val="left"/>
              <w:rPr>
                <w:rFonts w:cs="仿宋_GB2312"/>
                <w:szCs w:val="24"/>
              </w:rPr>
            </w:pPr>
          </w:p>
        </w:tc>
        <w:tc>
          <w:tcPr>
            <w:tcW w:w="1134" w:type="dxa"/>
            <w:vAlign w:val="center"/>
          </w:tcPr>
          <w:p w14:paraId="1B063630">
            <w:pPr>
              <w:wordWrap w:val="0"/>
              <w:spacing w:line="360" w:lineRule="auto"/>
              <w:jc w:val="center"/>
              <w:rPr>
                <w:rFonts w:cs="仿宋_GB2312"/>
                <w:szCs w:val="24"/>
              </w:rPr>
            </w:pPr>
          </w:p>
        </w:tc>
        <w:tc>
          <w:tcPr>
            <w:tcW w:w="1106" w:type="dxa"/>
            <w:vAlign w:val="center"/>
          </w:tcPr>
          <w:p w14:paraId="54360115">
            <w:pPr>
              <w:wordWrap w:val="0"/>
              <w:spacing w:line="360" w:lineRule="auto"/>
              <w:jc w:val="center"/>
              <w:rPr>
                <w:rFonts w:cs="仿宋_GB2312"/>
                <w:szCs w:val="24"/>
              </w:rPr>
            </w:pPr>
          </w:p>
        </w:tc>
      </w:tr>
      <w:tr w14:paraId="2A794C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66EB2551">
            <w:pPr>
              <w:wordWrap w:val="0"/>
              <w:spacing w:line="360" w:lineRule="auto"/>
              <w:jc w:val="right"/>
              <w:rPr>
                <w:rFonts w:cs="仿宋_GB2312"/>
                <w:szCs w:val="24"/>
              </w:rPr>
            </w:pPr>
            <w:r>
              <w:rPr>
                <w:rFonts w:hint="eastAsia" w:cs="仿宋_GB2312"/>
                <w:szCs w:val="24"/>
              </w:rPr>
              <w:t>…</w:t>
            </w:r>
          </w:p>
        </w:tc>
        <w:tc>
          <w:tcPr>
            <w:tcW w:w="1187" w:type="dxa"/>
            <w:tcBorders>
              <w:right w:val="single" w:color="auto" w:sz="4" w:space="0"/>
            </w:tcBorders>
            <w:vAlign w:val="center"/>
          </w:tcPr>
          <w:p w14:paraId="3E31A482">
            <w:pPr>
              <w:wordWrap w:val="0"/>
              <w:spacing w:line="360" w:lineRule="auto"/>
              <w:jc w:val="left"/>
              <w:rPr>
                <w:rFonts w:cs="仿宋_GB2312"/>
                <w:szCs w:val="24"/>
              </w:rPr>
            </w:pPr>
            <w:r>
              <w:rPr>
                <w:rFonts w:hint="eastAsia" w:cs="宋体"/>
                <w:szCs w:val="24"/>
              </w:rPr>
              <w:t>……</w:t>
            </w:r>
          </w:p>
        </w:tc>
        <w:tc>
          <w:tcPr>
            <w:tcW w:w="567" w:type="dxa"/>
            <w:tcBorders>
              <w:left w:val="single" w:color="auto" w:sz="4" w:space="0"/>
            </w:tcBorders>
            <w:vAlign w:val="center"/>
          </w:tcPr>
          <w:p w14:paraId="049F03B6">
            <w:pPr>
              <w:wordWrap w:val="0"/>
              <w:spacing w:line="360" w:lineRule="auto"/>
              <w:jc w:val="left"/>
              <w:rPr>
                <w:rFonts w:cs="仿宋_GB2312"/>
                <w:szCs w:val="24"/>
              </w:rPr>
            </w:pPr>
            <w:r>
              <w:rPr>
                <w:rFonts w:hint="eastAsia" w:cs="宋体"/>
                <w:szCs w:val="24"/>
              </w:rPr>
              <w:t>……</w:t>
            </w:r>
          </w:p>
        </w:tc>
        <w:tc>
          <w:tcPr>
            <w:tcW w:w="2552" w:type="dxa"/>
            <w:tcBorders>
              <w:left w:val="single" w:color="auto" w:sz="4" w:space="0"/>
            </w:tcBorders>
            <w:vAlign w:val="center"/>
          </w:tcPr>
          <w:p w14:paraId="47FDD372">
            <w:pPr>
              <w:wordWrap w:val="0"/>
              <w:spacing w:line="360" w:lineRule="auto"/>
              <w:jc w:val="left"/>
              <w:rPr>
                <w:rFonts w:cs="仿宋_GB2312"/>
                <w:szCs w:val="24"/>
              </w:rPr>
            </w:pPr>
            <w:r>
              <w:rPr>
                <w:rFonts w:hint="eastAsia" w:cs="宋体"/>
                <w:szCs w:val="24"/>
              </w:rPr>
              <w:t>……</w:t>
            </w:r>
          </w:p>
        </w:tc>
        <w:tc>
          <w:tcPr>
            <w:tcW w:w="2551" w:type="dxa"/>
            <w:vAlign w:val="center"/>
          </w:tcPr>
          <w:p w14:paraId="18ECA8BD">
            <w:pPr>
              <w:wordWrap w:val="0"/>
              <w:spacing w:line="360" w:lineRule="auto"/>
              <w:jc w:val="left"/>
              <w:rPr>
                <w:rFonts w:cs="仿宋_GB2312"/>
                <w:szCs w:val="24"/>
              </w:rPr>
            </w:pPr>
            <w:r>
              <w:rPr>
                <w:rFonts w:hint="eastAsia" w:cs="宋体"/>
                <w:szCs w:val="24"/>
              </w:rPr>
              <w:t>……</w:t>
            </w:r>
          </w:p>
        </w:tc>
        <w:tc>
          <w:tcPr>
            <w:tcW w:w="1134" w:type="dxa"/>
            <w:vAlign w:val="center"/>
          </w:tcPr>
          <w:p w14:paraId="395EBFC3">
            <w:pPr>
              <w:wordWrap w:val="0"/>
              <w:spacing w:line="360" w:lineRule="auto"/>
              <w:jc w:val="center"/>
              <w:rPr>
                <w:rFonts w:cs="仿宋_GB2312"/>
                <w:szCs w:val="24"/>
              </w:rPr>
            </w:pPr>
            <w:r>
              <w:rPr>
                <w:rFonts w:hint="eastAsia" w:cs="宋体"/>
                <w:szCs w:val="24"/>
              </w:rPr>
              <w:t>……</w:t>
            </w:r>
          </w:p>
        </w:tc>
        <w:tc>
          <w:tcPr>
            <w:tcW w:w="1106" w:type="dxa"/>
            <w:vAlign w:val="center"/>
          </w:tcPr>
          <w:p w14:paraId="1B7C062E">
            <w:pPr>
              <w:wordWrap w:val="0"/>
              <w:spacing w:line="360" w:lineRule="auto"/>
              <w:jc w:val="center"/>
              <w:rPr>
                <w:rFonts w:cs="仿宋_GB2312"/>
                <w:szCs w:val="24"/>
              </w:rPr>
            </w:pPr>
            <w:r>
              <w:rPr>
                <w:rFonts w:hint="eastAsia" w:cs="宋体"/>
                <w:szCs w:val="24"/>
              </w:rPr>
              <w:t>……</w:t>
            </w:r>
          </w:p>
        </w:tc>
      </w:tr>
    </w:tbl>
    <w:p w14:paraId="32C35A87">
      <w:pPr>
        <w:wordWrap w:val="0"/>
        <w:spacing w:line="360" w:lineRule="auto"/>
        <w:ind w:left="1132" w:hanging="1132" w:hangingChars="470"/>
        <w:jc w:val="left"/>
        <w:rPr>
          <w:rFonts w:cs="Corbel"/>
          <w:szCs w:val="24"/>
        </w:rPr>
      </w:pPr>
      <w:r>
        <w:rPr>
          <w:rFonts w:hint="eastAsia" w:cs="Corbel"/>
          <w:b/>
          <w:szCs w:val="24"/>
        </w:rPr>
        <w:t>说明：</w:t>
      </w:r>
      <w:r>
        <w:rPr>
          <w:rFonts w:hint="eastAsia" w:cs="Corbel"/>
          <w:szCs w:val="24"/>
        </w:rPr>
        <w:t>1、应按竞争性磋商文件“第四章 评审办法”中“3.技术评分”的评分标准逐项在“响应文件的内容”栏中进行响应说明，并在“偏离说明”栏中注明是否偏离，如有偏离,信闻应详细说明。未按照要求填写此表或在“响应文件的内容”栏中仅注明“符合”、“满足”的，</w:t>
      </w:r>
      <w:r>
        <w:rPr>
          <w:rFonts w:hint="eastAsia"/>
          <w:szCs w:val="24"/>
        </w:rPr>
        <w:t>导致的后果由供应商自行承担。</w:t>
      </w:r>
    </w:p>
    <w:p w14:paraId="733F62C8">
      <w:pPr>
        <w:wordWrap w:val="0"/>
        <w:spacing w:line="360" w:lineRule="auto"/>
        <w:ind w:left="1111" w:leftChars="297" w:hanging="398" w:hangingChars="166"/>
        <w:jc w:val="left"/>
        <w:rPr>
          <w:rFonts w:cs="Corbel"/>
          <w:szCs w:val="24"/>
        </w:rPr>
      </w:pPr>
      <w:r>
        <w:rPr>
          <w:rFonts w:hint="eastAsia" w:cs="Corbel"/>
          <w:szCs w:val="24"/>
        </w:rPr>
        <w:t>2、应将对应响应内容的页码（多页的，起码和止码）填写到上表“响应文件对应页码”栏中。未提供准确页码或页码与对应内容不一致的，</w:t>
      </w:r>
      <w:r>
        <w:rPr>
          <w:rFonts w:hint="eastAsia"/>
          <w:szCs w:val="24"/>
        </w:rPr>
        <w:t>导致的后果由供应商自行承担。</w:t>
      </w:r>
    </w:p>
    <w:p w14:paraId="37277927">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00BB8808">
      <w:pPr>
        <w:wordWrap w:val="0"/>
        <w:spacing w:before="100" w:beforeAutospacing="1" w:after="100" w:afterAutospacing="1" w:line="360" w:lineRule="auto"/>
        <w:ind w:firstLine="3316" w:firstLineChars="1382"/>
        <w:rPr>
          <w:bCs/>
          <w:u w:val="single"/>
        </w:rPr>
      </w:pPr>
      <w:r>
        <w:rPr>
          <w:rFonts w:hint="eastAsia"/>
          <w:szCs w:val="24"/>
        </w:rPr>
        <w:t>日   期：</w:t>
      </w:r>
      <w:r>
        <w:rPr>
          <w:rFonts w:hint="eastAsia"/>
          <w:bCs/>
          <w:u w:val="single"/>
        </w:rPr>
        <w:t xml:space="preserve">                               </w:t>
      </w:r>
    </w:p>
    <w:p w14:paraId="5DDA42F1">
      <w:pPr>
        <w:wordWrap w:val="0"/>
        <w:spacing w:before="100" w:beforeAutospacing="1" w:after="100" w:afterAutospacing="1" w:line="360" w:lineRule="auto"/>
        <w:ind w:firstLine="3316" w:firstLineChars="1382"/>
        <w:rPr>
          <w:bCs/>
        </w:rPr>
      </w:pPr>
      <w:r>
        <w:rPr>
          <w:bCs/>
        </w:rPr>
        <w:br w:type="page"/>
      </w:r>
    </w:p>
    <w:p w14:paraId="35712264">
      <w:pPr>
        <w:pStyle w:val="4"/>
        <w:numPr>
          <w:ilvl w:val="0"/>
          <w:numId w:val="50"/>
        </w:numPr>
        <w:tabs>
          <w:tab w:val="left" w:pos="567"/>
        </w:tabs>
        <w:spacing w:before="0" w:after="0" w:line="360" w:lineRule="auto"/>
        <w:ind w:left="482" w:hanging="482" w:hangingChars="200"/>
        <w:jc w:val="left"/>
        <w:rPr>
          <w:rFonts w:ascii="宋体" w:hAnsi="宋体" w:eastAsia="宋体"/>
          <w:sz w:val="24"/>
          <w:szCs w:val="24"/>
        </w:rPr>
      </w:pPr>
      <w:bookmarkStart w:id="507" w:name="_Toc122527559"/>
      <w:r>
        <w:rPr>
          <w:rFonts w:hint="eastAsia" w:ascii="宋体" w:hAnsi="宋体" w:eastAsia="宋体"/>
          <w:sz w:val="24"/>
          <w:szCs w:val="24"/>
        </w:rPr>
        <w:t>磋商书</w:t>
      </w:r>
      <w:bookmarkEnd w:id="499"/>
      <w:bookmarkEnd w:id="500"/>
      <w:bookmarkEnd w:id="501"/>
      <w:bookmarkEnd w:id="507"/>
    </w:p>
    <w:p w14:paraId="61FBE990">
      <w:pPr>
        <w:wordWrap w:val="0"/>
        <w:spacing w:line="360" w:lineRule="auto"/>
        <w:ind w:firstLine="480" w:firstLineChars="200"/>
        <w:rPr>
          <w:szCs w:val="24"/>
        </w:rPr>
      </w:pPr>
      <w:r>
        <w:rPr>
          <w:rFonts w:hint="eastAsia"/>
          <w:szCs w:val="24"/>
        </w:rPr>
        <w:t>依据</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项目（项目编号：</w:t>
      </w:r>
      <w:r>
        <w:rPr>
          <w:rFonts w:hint="eastAsia"/>
          <w:szCs w:val="24"/>
          <w:u w:val="single"/>
        </w:rPr>
        <w:t xml:space="preserve">      </w:t>
      </w:r>
      <w:r>
        <w:rPr>
          <w:rFonts w:hint="eastAsia"/>
          <w:szCs w:val="24"/>
        </w:rPr>
        <w:t>）竞争性磋商的磋商邀请，我方代表</w:t>
      </w:r>
      <w:r>
        <w:rPr>
          <w:rFonts w:hint="eastAsia"/>
          <w:szCs w:val="24"/>
          <w:u w:val="single"/>
        </w:rPr>
        <w:t xml:space="preserve"> </w:t>
      </w:r>
      <w:r>
        <w:rPr>
          <w:rFonts w:hint="eastAsia"/>
          <w:i/>
          <w:szCs w:val="24"/>
          <w:u w:val="single"/>
        </w:rPr>
        <w:t>（姓名、职务）</w:t>
      </w:r>
      <w:r>
        <w:rPr>
          <w:rFonts w:hint="eastAsia"/>
          <w:szCs w:val="24"/>
          <w:u w:val="single"/>
        </w:rPr>
        <w:t xml:space="preserve"> </w:t>
      </w:r>
      <w:r>
        <w:rPr>
          <w:rFonts w:hint="eastAsia"/>
          <w:szCs w:val="24"/>
        </w:rPr>
        <w:t>经正式授权并代表供应商</w:t>
      </w:r>
      <w:r>
        <w:rPr>
          <w:rFonts w:hint="eastAsia"/>
          <w:szCs w:val="24"/>
          <w:u w:val="single"/>
        </w:rPr>
        <w:t xml:space="preserve"> </w:t>
      </w:r>
      <w:r>
        <w:rPr>
          <w:rFonts w:hint="eastAsia"/>
          <w:i/>
          <w:szCs w:val="24"/>
          <w:u w:val="single"/>
        </w:rPr>
        <w:t>（供应商全称 ）</w:t>
      </w:r>
      <w:r>
        <w:rPr>
          <w:rFonts w:hint="eastAsia"/>
          <w:szCs w:val="24"/>
          <w:u w:val="single"/>
        </w:rPr>
        <w:t xml:space="preserve"> </w:t>
      </w:r>
      <w:r>
        <w:rPr>
          <w:rFonts w:hint="eastAsia"/>
          <w:szCs w:val="24"/>
        </w:rPr>
        <w:t>提交下述文件：</w:t>
      </w:r>
    </w:p>
    <w:p w14:paraId="0FF79231">
      <w:pPr>
        <w:numPr>
          <w:ilvl w:val="0"/>
          <w:numId w:val="64"/>
        </w:numPr>
        <w:tabs>
          <w:tab w:val="left" w:pos="966"/>
        </w:tabs>
        <w:wordWrap w:val="0"/>
        <w:autoSpaceDE w:val="0"/>
        <w:autoSpaceDN w:val="0"/>
        <w:adjustRightInd w:val="0"/>
        <w:spacing w:line="360" w:lineRule="auto"/>
        <w:ind w:left="0" w:firstLine="480" w:firstLineChars="200"/>
        <w:rPr>
          <w:szCs w:val="32"/>
        </w:rPr>
      </w:pPr>
      <w:r>
        <w:rPr>
          <w:rFonts w:hint="eastAsia"/>
          <w:szCs w:val="32"/>
        </w:rPr>
        <w:t>响应文件（</w:t>
      </w:r>
      <w:r>
        <w:rPr>
          <w:szCs w:val="32"/>
        </w:rPr>
        <w:t>PDF</w:t>
      </w:r>
      <w:r>
        <w:rPr>
          <w:rFonts w:hint="eastAsia"/>
          <w:szCs w:val="32"/>
        </w:rPr>
        <w:t>格式）；</w:t>
      </w:r>
    </w:p>
    <w:p w14:paraId="0562805C">
      <w:pPr>
        <w:numPr>
          <w:ilvl w:val="0"/>
          <w:numId w:val="64"/>
        </w:numPr>
        <w:tabs>
          <w:tab w:val="left" w:pos="966"/>
        </w:tabs>
        <w:wordWrap w:val="0"/>
        <w:autoSpaceDE w:val="0"/>
        <w:autoSpaceDN w:val="0"/>
        <w:adjustRightInd w:val="0"/>
        <w:spacing w:line="360" w:lineRule="auto"/>
        <w:ind w:left="0" w:firstLine="480" w:firstLineChars="200"/>
        <w:rPr>
          <w:szCs w:val="32"/>
        </w:rPr>
      </w:pPr>
      <w:r>
        <w:rPr>
          <w:rFonts w:hint="eastAsia"/>
          <w:szCs w:val="32"/>
        </w:rPr>
        <w:t>响应数据文件（</w:t>
      </w:r>
      <w:r>
        <w:rPr>
          <w:szCs w:val="32"/>
        </w:rPr>
        <w:t>PDF</w:t>
      </w:r>
      <w:r>
        <w:rPr>
          <w:rFonts w:hint="eastAsia"/>
          <w:szCs w:val="32"/>
        </w:rPr>
        <w:t>格式）。</w:t>
      </w:r>
    </w:p>
    <w:p w14:paraId="36609FE2">
      <w:pPr>
        <w:wordWrap w:val="0"/>
        <w:spacing w:line="360" w:lineRule="auto"/>
        <w:rPr>
          <w:b/>
          <w:szCs w:val="24"/>
        </w:rPr>
      </w:pPr>
      <w:r>
        <w:rPr>
          <w:rFonts w:hint="eastAsia"/>
          <w:b/>
          <w:szCs w:val="24"/>
        </w:rPr>
        <w:t>在此，我方宣布同意如下：</w:t>
      </w:r>
    </w:p>
    <w:p w14:paraId="7358A34E">
      <w:pPr>
        <w:pStyle w:val="44"/>
        <w:numPr>
          <w:ilvl w:val="0"/>
          <w:numId w:val="65"/>
        </w:numPr>
        <w:tabs>
          <w:tab w:val="left" w:pos="851"/>
        </w:tabs>
        <w:wordWrap w:val="0"/>
        <w:spacing w:line="360" w:lineRule="auto"/>
        <w:ind w:left="0" w:firstLine="480"/>
        <w:rPr>
          <w:szCs w:val="24"/>
        </w:rPr>
      </w:pPr>
      <w:r>
        <w:rPr>
          <w:rFonts w:hint="eastAsia"/>
          <w:szCs w:val="24"/>
        </w:rPr>
        <w:t>应提交和交付的货物（或服务）磋商总价为</w:t>
      </w:r>
      <w:r>
        <w:rPr>
          <w:rFonts w:hint="eastAsia"/>
          <w:szCs w:val="24"/>
          <w:u w:val="single"/>
        </w:rPr>
        <w:t xml:space="preserve">  详见“磋商数据文件”中磋商一览表（含明细）总报价  </w:t>
      </w:r>
      <w:r>
        <w:rPr>
          <w:rFonts w:hint="eastAsia"/>
          <w:szCs w:val="24"/>
        </w:rPr>
        <w:t>；</w:t>
      </w:r>
    </w:p>
    <w:p w14:paraId="682458A0">
      <w:pPr>
        <w:pStyle w:val="44"/>
        <w:numPr>
          <w:ilvl w:val="0"/>
          <w:numId w:val="65"/>
        </w:numPr>
        <w:tabs>
          <w:tab w:val="left" w:pos="851"/>
        </w:tabs>
        <w:wordWrap w:val="0"/>
        <w:spacing w:line="360" w:lineRule="auto"/>
        <w:ind w:left="0" w:firstLine="480"/>
        <w:rPr>
          <w:szCs w:val="24"/>
        </w:rPr>
      </w:pPr>
      <w:r>
        <w:rPr>
          <w:rFonts w:hint="eastAsia"/>
          <w:szCs w:val="24"/>
        </w:rPr>
        <w:t>按竞争性磋商文件的约定履行合同责任和义务；</w:t>
      </w:r>
    </w:p>
    <w:p w14:paraId="264E38DC">
      <w:pPr>
        <w:pStyle w:val="44"/>
        <w:numPr>
          <w:ilvl w:val="0"/>
          <w:numId w:val="65"/>
        </w:numPr>
        <w:tabs>
          <w:tab w:val="left" w:pos="851"/>
        </w:tabs>
        <w:wordWrap w:val="0"/>
        <w:spacing w:line="360" w:lineRule="auto"/>
        <w:ind w:left="0" w:firstLine="480"/>
        <w:rPr>
          <w:szCs w:val="24"/>
        </w:rPr>
      </w:pPr>
      <w:r>
        <w:rPr>
          <w:rFonts w:hint="eastAsia"/>
          <w:szCs w:val="24"/>
        </w:rPr>
        <w:t>已详细审查全部竞争性磋商文件，包括 （修正或补充文件）（如果有的话） ，对此无异议；</w:t>
      </w:r>
    </w:p>
    <w:p w14:paraId="099004CB">
      <w:pPr>
        <w:pStyle w:val="44"/>
        <w:numPr>
          <w:ilvl w:val="0"/>
          <w:numId w:val="65"/>
        </w:numPr>
        <w:tabs>
          <w:tab w:val="left" w:pos="851"/>
        </w:tabs>
        <w:wordWrap w:val="0"/>
        <w:spacing w:line="360" w:lineRule="auto"/>
        <w:ind w:left="0" w:firstLine="480"/>
        <w:rPr>
          <w:szCs w:val="24"/>
        </w:rPr>
      </w:pPr>
      <w:r>
        <w:rPr>
          <w:rFonts w:hint="eastAsia"/>
          <w:szCs w:val="24"/>
        </w:rPr>
        <w:t>磋商有效期为自提交磋商文件截止之日起，共</w:t>
      </w:r>
      <w:r>
        <w:rPr>
          <w:rFonts w:hint="eastAsia"/>
          <w:szCs w:val="24"/>
          <w:u w:val="single"/>
        </w:rPr>
        <w:t xml:space="preserve">      </w:t>
      </w:r>
      <w:r>
        <w:rPr>
          <w:rFonts w:hint="eastAsia"/>
          <w:szCs w:val="24"/>
        </w:rPr>
        <w:t>个日历天；</w:t>
      </w:r>
    </w:p>
    <w:p w14:paraId="28234ED5">
      <w:pPr>
        <w:pStyle w:val="44"/>
        <w:numPr>
          <w:ilvl w:val="0"/>
          <w:numId w:val="65"/>
        </w:numPr>
        <w:tabs>
          <w:tab w:val="left" w:pos="851"/>
        </w:tabs>
        <w:wordWrap w:val="0"/>
        <w:spacing w:line="360" w:lineRule="auto"/>
        <w:ind w:left="0" w:firstLine="480"/>
        <w:rPr>
          <w:szCs w:val="24"/>
        </w:rPr>
      </w:pPr>
      <w:r>
        <w:rPr>
          <w:rFonts w:hint="eastAsia"/>
          <w:szCs w:val="24"/>
        </w:rPr>
        <w:t>提供按照贵方可能要求的与磋商有关的一切数据或资料；</w:t>
      </w:r>
    </w:p>
    <w:p w14:paraId="0E5A9C97">
      <w:pPr>
        <w:pStyle w:val="44"/>
        <w:numPr>
          <w:ilvl w:val="0"/>
          <w:numId w:val="65"/>
        </w:numPr>
        <w:tabs>
          <w:tab w:val="left" w:pos="851"/>
        </w:tabs>
        <w:wordWrap w:val="0"/>
        <w:spacing w:line="360" w:lineRule="auto"/>
        <w:ind w:left="0" w:firstLine="480"/>
        <w:rPr>
          <w:szCs w:val="24"/>
        </w:rPr>
      </w:pPr>
      <w:r>
        <w:rPr>
          <w:rFonts w:hint="eastAsia"/>
          <w:szCs w:val="24"/>
        </w:rPr>
        <w:t>与磋商有关的一切正式往来信函请寄：</w:t>
      </w:r>
      <w:r>
        <w:rPr>
          <w:rFonts w:hint="eastAsia"/>
          <w:szCs w:val="24"/>
          <w:u w:val="single"/>
        </w:rPr>
        <w:t xml:space="preserve">                              </w:t>
      </w:r>
      <w:r>
        <w:rPr>
          <w:rFonts w:hint="eastAsia"/>
          <w:szCs w:val="24"/>
        </w:rPr>
        <w:t>。</w:t>
      </w:r>
    </w:p>
    <w:p w14:paraId="5EF0DD85">
      <w:pPr>
        <w:wordWrap w:val="0"/>
        <w:spacing w:line="360" w:lineRule="auto"/>
        <w:ind w:left="14" w:leftChars="6" w:firstLine="472" w:firstLineChars="197"/>
        <w:rPr>
          <w:szCs w:val="24"/>
        </w:rPr>
      </w:pPr>
    </w:p>
    <w:p w14:paraId="7FB11003">
      <w:pPr>
        <w:wordWrap w:val="0"/>
        <w:spacing w:line="360" w:lineRule="auto"/>
        <w:ind w:left="14" w:leftChars="6" w:firstLine="472" w:firstLineChars="197"/>
        <w:rPr>
          <w:szCs w:val="24"/>
        </w:rPr>
      </w:pPr>
      <w:r>
        <w:rPr>
          <w:rFonts w:hint="eastAsia"/>
          <w:szCs w:val="24"/>
        </w:rPr>
        <w:t>地  址：</w:t>
      </w:r>
      <w:r>
        <w:rPr>
          <w:rFonts w:hint="eastAsia"/>
          <w:szCs w:val="24"/>
          <w:u w:val="single"/>
        </w:rPr>
        <w:t xml:space="preserve">                                 </w:t>
      </w:r>
    </w:p>
    <w:p w14:paraId="7C8F3A0C">
      <w:pPr>
        <w:wordWrap w:val="0"/>
        <w:spacing w:line="360" w:lineRule="auto"/>
        <w:ind w:left="14" w:leftChars="6" w:firstLine="472" w:firstLineChars="197"/>
        <w:rPr>
          <w:szCs w:val="24"/>
        </w:rPr>
      </w:pPr>
      <w:r>
        <w:rPr>
          <w:rFonts w:hint="eastAsia"/>
          <w:szCs w:val="24"/>
        </w:rPr>
        <w:t>电话/传真：</w:t>
      </w:r>
      <w:r>
        <w:rPr>
          <w:rFonts w:hint="eastAsia"/>
          <w:szCs w:val="24"/>
          <w:u w:val="single"/>
        </w:rPr>
        <w:t xml:space="preserve">                              </w:t>
      </w:r>
    </w:p>
    <w:p w14:paraId="2E6BB51A">
      <w:pPr>
        <w:wordWrap w:val="0"/>
        <w:spacing w:line="360" w:lineRule="auto"/>
        <w:ind w:left="14" w:leftChars="6" w:firstLine="472" w:firstLineChars="197"/>
        <w:rPr>
          <w:szCs w:val="24"/>
        </w:rPr>
      </w:pPr>
      <w:r>
        <w:rPr>
          <w:rFonts w:hint="eastAsia"/>
          <w:szCs w:val="24"/>
        </w:rPr>
        <w:t>电子邮箱：</w:t>
      </w:r>
      <w:r>
        <w:rPr>
          <w:rFonts w:hint="eastAsia"/>
          <w:szCs w:val="24"/>
          <w:u w:val="single"/>
        </w:rPr>
        <w:t xml:space="preserve">                               </w:t>
      </w:r>
    </w:p>
    <w:p w14:paraId="26FED329">
      <w:pPr>
        <w:spacing w:line="360" w:lineRule="auto"/>
        <w:jc w:val="left"/>
        <w:rPr>
          <w:szCs w:val="24"/>
        </w:rPr>
      </w:pPr>
      <w:r>
        <w:rPr>
          <w:rFonts w:hint="eastAsia"/>
          <w:szCs w:val="24"/>
        </w:rPr>
        <w:t xml:space="preserve">    </w:t>
      </w:r>
    </w:p>
    <w:p w14:paraId="55BE242C">
      <w:pPr>
        <w:wordWrap w:val="0"/>
        <w:spacing w:before="100" w:beforeAutospacing="1" w:after="100" w:afterAutospacing="1" w:line="360" w:lineRule="auto"/>
        <w:ind w:firstLine="3316" w:firstLineChars="1382"/>
        <w:rPr>
          <w:bCs/>
        </w:rPr>
      </w:pPr>
      <w:r>
        <w:rPr>
          <w:rFonts w:hint="eastAsia"/>
          <w:bCs/>
        </w:rPr>
        <w:t>供应商（公章）：</w:t>
      </w:r>
      <w:r>
        <w:rPr>
          <w:rFonts w:hint="eastAsia"/>
          <w:bCs/>
          <w:u w:val="single"/>
        </w:rPr>
        <w:t xml:space="preserve">                          </w:t>
      </w:r>
    </w:p>
    <w:p w14:paraId="70A45061">
      <w:pPr>
        <w:wordWrap w:val="0"/>
        <w:spacing w:before="100" w:beforeAutospacing="1" w:after="100" w:afterAutospacing="1" w:line="360" w:lineRule="auto"/>
        <w:ind w:firstLine="3316" w:firstLineChars="1382"/>
        <w:rPr>
          <w:bCs/>
        </w:rPr>
      </w:pPr>
      <w:r>
        <w:rPr>
          <w:rFonts w:hint="eastAsia"/>
          <w:bCs/>
        </w:rPr>
        <w:t>日    期：</w:t>
      </w:r>
      <w:r>
        <w:rPr>
          <w:rFonts w:hint="eastAsia"/>
          <w:bCs/>
          <w:u w:val="single"/>
        </w:rPr>
        <w:t xml:space="preserve">                                </w:t>
      </w:r>
    </w:p>
    <w:p w14:paraId="772FD261">
      <w:pPr>
        <w:pStyle w:val="11"/>
        <w:wordWrap w:val="0"/>
        <w:spacing w:line="360" w:lineRule="auto"/>
      </w:pPr>
      <w:r>
        <w:br w:type="page"/>
      </w:r>
    </w:p>
    <w:p w14:paraId="1A231192">
      <w:pPr>
        <w:pStyle w:val="4"/>
        <w:numPr>
          <w:ilvl w:val="0"/>
          <w:numId w:val="50"/>
        </w:numPr>
        <w:tabs>
          <w:tab w:val="left" w:pos="567"/>
        </w:tabs>
        <w:spacing w:before="0" w:after="0" w:line="360" w:lineRule="auto"/>
        <w:ind w:left="482" w:hanging="482" w:hangingChars="200"/>
        <w:jc w:val="left"/>
        <w:rPr>
          <w:rFonts w:ascii="宋体" w:hAnsi="宋体" w:eastAsia="宋体"/>
          <w:sz w:val="24"/>
          <w:szCs w:val="24"/>
        </w:rPr>
      </w:pPr>
      <w:bookmarkStart w:id="508" w:name="_Toc107561310"/>
      <w:bookmarkStart w:id="509" w:name="_Toc117244391"/>
      <w:bookmarkStart w:id="510" w:name="_Toc122527560"/>
      <w:bookmarkStart w:id="511" w:name="_Toc117244506"/>
      <w:r>
        <w:rPr>
          <w:rFonts w:hint="eastAsia" w:ascii="宋体" w:hAnsi="宋体" w:eastAsia="宋体"/>
          <w:sz w:val="24"/>
          <w:szCs w:val="24"/>
        </w:rPr>
        <w:t>磋商</w:t>
      </w:r>
      <w:r>
        <w:rPr>
          <w:rFonts w:hint="eastAsia" w:ascii="宋体" w:hAnsi="宋体" w:eastAsia="宋体" w:cs="Times New Roman"/>
          <w:bCs w:val="0"/>
          <w:sz w:val="24"/>
          <w:szCs w:val="24"/>
        </w:rPr>
        <w:t>报价表</w:t>
      </w:r>
      <w:bookmarkEnd w:id="508"/>
      <w:bookmarkEnd w:id="509"/>
      <w:bookmarkEnd w:id="510"/>
      <w:bookmarkEnd w:id="511"/>
    </w:p>
    <w:p w14:paraId="4F09A9F5">
      <w:pPr>
        <w:wordWrap w:val="0"/>
        <w:spacing w:line="360" w:lineRule="auto"/>
        <w:jc w:val="left"/>
        <w:rPr>
          <w:b/>
          <w:szCs w:val="21"/>
          <w:u w:val="single"/>
          <w:lang w:val="zh-CN"/>
        </w:rPr>
      </w:pPr>
      <w:r>
        <w:rPr>
          <w:rFonts w:hint="eastAsia"/>
          <w:b/>
          <w:szCs w:val="21"/>
          <w:lang w:val="zh-CN"/>
        </w:rPr>
        <w:t>供应商：</w:t>
      </w:r>
      <w:r>
        <w:rPr>
          <w:rFonts w:hint="eastAsia"/>
          <w:b/>
          <w:szCs w:val="21"/>
          <w:u w:val="single"/>
          <w:lang w:val="zh-CN"/>
        </w:rPr>
        <w:t xml:space="preserve">                     </w:t>
      </w:r>
    </w:p>
    <w:p w14:paraId="316E6A24">
      <w:pPr>
        <w:wordWrap w:val="0"/>
        <w:spacing w:line="360" w:lineRule="auto"/>
        <w:jc w:val="left"/>
        <w:rPr>
          <w:b/>
          <w:bCs/>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p w14:paraId="7A7536B0">
      <w:pPr>
        <w:wordWrap w:val="0"/>
        <w:spacing w:line="360" w:lineRule="auto"/>
        <w:ind w:left="1091" w:hanging="1091" w:hangingChars="453"/>
        <w:jc w:val="left"/>
        <w:rPr>
          <w:rFonts w:cs="Courier New"/>
          <w:b/>
          <w:szCs w:val="21"/>
        </w:rPr>
      </w:pPr>
    </w:p>
    <w:p w14:paraId="71E22C84">
      <w:pPr>
        <w:wordWrap w:val="0"/>
        <w:spacing w:line="360" w:lineRule="auto"/>
        <w:ind w:firstLine="482" w:firstLineChars="200"/>
        <w:jc w:val="left"/>
        <w:rPr>
          <w:rFonts w:cs="Courier New"/>
          <w:szCs w:val="24"/>
        </w:rPr>
      </w:pPr>
      <w:r>
        <w:rPr>
          <w:rFonts w:hint="eastAsia" w:cs="Courier New"/>
          <w:b/>
          <w:szCs w:val="21"/>
        </w:rPr>
        <w:t>详见</w:t>
      </w:r>
      <w:r>
        <w:rPr>
          <w:rFonts w:hint="eastAsia"/>
          <w:b/>
          <w:szCs w:val="24"/>
          <w:lang w:val="zh-CN"/>
        </w:rPr>
        <w:t>响应数据文件（</w:t>
      </w:r>
      <w:r>
        <w:rPr>
          <w:b/>
          <w:szCs w:val="24"/>
          <w:lang w:val="zh-CN"/>
        </w:rPr>
        <w:t>PDF</w:t>
      </w:r>
      <w:r>
        <w:rPr>
          <w:rFonts w:hint="eastAsia"/>
          <w:b/>
          <w:szCs w:val="24"/>
          <w:lang w:val="zh-CN"/>
        </w:rPr>
        <w:t>格式）“磋商（</w:t>
      </w:r>
      <w:r>
        <w:rPr>
          <w:b/>
          <w:szCs w:val="24"/>
          <w:lang w:val="zh-CN"/>
        </w:rPr>
        <w:t>报价）</w:t>
      </w:r>
      <w:r>
        <w:rPr>
          <w:rFonts w:hint="eastAsia"/>
          <w:b/>
          <w:szCs w:val="24"/>
          <w:lang w:val="zh-CN"/>
        </w:rPr>
        <w:t>一览表”</w:t>
      </w:r>
    </w:p>
    <w:p w14:paraId="4329074D">
      <w:pPr>
        <w:wordWrap w:val="0"/>
        <w:spacing w:line="360" w:lineRule="auto"/>
        <w:ind w:firstLine="480" w:firstLineChars="200"/>
        <w:jc w:val="left"/>
        <w:rPr>
          <w:rFonts w:cs="Courier New"/>
          <w:b/>
          <w:szCs w:val="21"/>
        </w:rPr>
      </w:pPr>
      <w:r>
        <w:rPr>
          <w:rFonts w:hint="eastAsia" w:cs="Courier New"/>
          <w:szCs w:val="24"/>
        </w:rPr>
        <w:t>（</w:t>
      </w:r>
      <w:r>
        <w:rPr>
          <w:rFonts w:hint="eastAsia" w:ascii="楷体" w:hAnsi="楷体" w:eastAsia="楷体" w:cs="Courier New"/>
          <w:szCs w:val="24"/>
        </w:rPr>
        <w:t>可不再提供 “磋商一览表”</w:t>
      </w:r>
      <w:r>
        <w:rPr>
          <w:rFonts w:hint="eastAsia" w:cs="Courier New"/>
          <w:szCs w:val="24"/>
        </w:rPr>
        <w:t>）</w:t>
      </w:r>
    </w:p>
    <w:p w14:paraId="4A4BE2AE">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14:paraId="6738104C">
      <w:pPr>
        <w:wordWrap w:val="0"/>
        <w:spacing w:before="100" w:beforeAutospacing="1" w:after="100" w:afterAutospacing="1" w:line="360" w:lineRule="auto"/>
        <w:ind w:firstLine="3316" w:firstLineChars="1382"/>
        <w:rPr>
          <w:bCs/>
          <w:szCs w:val="21"/>
          <w:u w:val="single"/>
          <w:lang w:val="zh-CN"/>
        </w:rPr>
      </w:pPr>
      <w:r>
        <w:rPr>
          <w:rFonts w:hint="eastAsia"/>
          <w:szCs w:val="24"/>
        </w:rPr>
        <w:t>日   期：</w:t>
      </w:r>
      <w:r>
        <w:rPr>
          <w:rFonts w:hint="eastAsia"/>
          <w:bCs/>
          <w:szCs w:val="21"/>
          <w:u w:val="single"/>
          <w:lang w:val="zh-CN"/>
        </w:rPr>
        <w:t xml:space="preserve">                                   </w:t>
      </w:r>
    </w:p>
    <w:p w14:paraId="35304496">
      <w:pPr>
        <w:pStyle w:val="4"/>
        <w:numPr>
          <w:ilvl w:val="0"/>
          <w:numId w:val="66"/>
        </w:numPr>
        <w:tabs>
          <w:tab w:val="left" w:pos="567"/>
        </w:tabs>
        <w:spacing w:line="360" w:lineRule="auto"/>
        <w:ind w:left="482" w:hanging="482" w:hangingChars="200"/>
        <w:jc w:val="left"/>
        <w:rPr>
          <w:rFonts w:cs="Times New Roman" w:asciiTheme="majorEastAsia" w:hAnsiTheme="majorEastAsia"/>
          <w:sz w:val="24"/>
          <w:szCs w:val="24"/>
        </w:rPr>
      </w:pPr>
      <w:bookmarkStart w:id="512" w:name="_Toc117244392"/>
      <w:bookmarkStart w:id="513" w:name="_Toc511895475"/>
      <w:bookmarkStart w:id="514" w:name="_Toc122527561"/>
      <w:bookmarkStart w:id="515" w:name="_Toc117244507"/>
      <w:bookmarkStart w:id="516" w:name="_Toc511894534"/>
      <w:bookmarkStart w:id="517" w:name="_Toc107561243"/>
      <w:bookmarkStart w:id="518" w:name="_Toc107561311"/>
      <w:r>
        <w:rPr>
          <w:rFonts w:hint="eastAsia" w:cs="Times New Roman" w:asciiTheme="majorEastAsia" w:hAnsiTheme="majorEastAsia"/>
          <w:sz w:val="24"/>
          <w:szCs w:val="24"/>
        </w:rPr>
        <w:t>磋商报价明细表</w:t>
      </w:r>
      <w:bookmarkEnd w:id="512"/>
      <w:bookmarkEnd w:id="513"/>
      <w:bookmarkEnd w:id="514"/>
      <w:bookmarkEnd w:id="515"/>
      <w:bookmarkEnd w:id="516"/>
      <w:bookmarkEnd w:id="517"/>
    </w:p>
    <w:p w14:paraId="46B001A2">
      <w:pPr>
        <w:spacing w:line="360" w:lineRule="auto"/>
        <w:jc w:val="left"/>
        <w:rPr>
          <w:b/>
          <w:szCs w:val="21"/>
          <w:u w:val="single"/>
          <w:lang w:val="zh-CN"/>
        </w:rPr>
      </w:pPr>
      <w:r>
        <w:rPr>
          <w:rFonts w:hint="eastAsia"/>
          <w:b/>
          <w:szCs w:val="21"/>
          <w:lang w:val="zh-CN"/>
        </w:rPr>
        <w:t>供应商：</w:t>
      </w:r>
      <w:r>
        <w:rPr>
          <w:rFonts w:hint="eastAsia"/>
          <w:b/>
          <w:szCs w:val="21"/>
          <w:u w:val="single"/>
          <w:lang w:val="zh-CN"/>
        </w:rPr>
        <w:t xml:space="preserve">                     </w:t>
      </w:r>
    </w:p>
    <w:p w14:paraId="0C5A273E">
      <w:pPr>
        <w:spacing w:line="360" w:lineRule="auto"/>
        <w:jc w:val="left"/>
        <w:rPr>
          <w:b/>
          <w:szCs w:val="21"/>
          <w:lang w:val="zh-CN"/>
        </w:rPr>
      </w:pPr>
      <w:r>
        <w:rPr>
          <w:rFonts w:hint="eastAsia"/>
          <w:b/>
          <w:szCs w:val="21"/>
          <w:lang w:val="zh-CN"/>
        </w:rPr>
        <w:t>项目名称：</w:t>
      </w:r>
      <w:r>
        <w:rPr>
          <w:rFonts w:hint="eastAsia"/>
          <w:b/>
          <w:szCs w:val="21"/>
          <w:u w:val="single"/>
          <w:lang w:val="zh-CN"/>
        </w:rPr>
        <w:t xml:space="preserve">                     </w:t>
      </w:r>
    </w:p>
    <w:p w14:paraId="2B12DF23">
      <w:pPr>
        <w:spacing w:line="360" w:lineRule="auto"/>
        <w:jc w:val="left"/>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126"/>
        <w:gridCol w:w="4757"/>
      </w:tblGrid>
      <w:tr w14:paraId="4CBD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gridSpan w:val="2"/>
            <w:shd w:val="clear" w:color="auto" w:fill="auto"/>
            <w:noWrap w:val="0"/>
            <w:vAlign w:val="center"/>
          </w:tcPr>
          <w:p w14:paraId="46F5CF3B">
            <w:pPr>
              <w:widowControl/>
              <w:spacing w:line="360" w:lineRule="auto"/>
              <w:jc w:val="center"/>
              <w:rPr>
                <w:szCs w:val="21"/>
              </w:rPr>
            </w:pPr>
            <w:r>
              <w:rPr>
                <w:color w:val="000000"/>
                <w:position w:val="6"/>
                <w:szCs w:val="21"/>
              </w:rPr>
              <w:t>投标单位名称</w:t>
            </w:r>
          </w:p>
        </w:tc>
        <w:tc>
          <w:tcPr>
            <w:tcW w:w="4757" w:type="dxa"/>
            <w:shd w:val="clear" w:color="auto" w:fill="auto"/>
            <w:noWrap w:val="0"/>
            <w:vAlign w:val="center"/>
          </w:tcPr>
          <w:p w14:paraId="41596BE5">
            <w:pPr>
              <w:widowControl/>
              <w:spacing w:line="360" w:lineRule="auto"/>
              <w:rPr>
                <w:szCs w:val="21"/>
              </w:rPr>
            </w:pPr>
          </w:p>
        </w:tc>
      </w:tr>
      <w:tr w14:paraId="2A29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gridSpan w:val="2"/>
            <w:shd w:val="clear" w:color="auto" w:fill="auto"/>
            <w:noWrap w:val="0"/>
            <w:vAlign w:val="center"/>
          </w:tcPr>
          <w:p w14:paraId="2E245893">
            <w:pPr>
              <w:widowControl/>
              <w:spacing w:line="360" w:lineRule="auto"/>
              <w:jc w:val="center"/>
              <w:rPr>
                <w:color w:val="000000"/>
                <w:position w:val="6"/>
                <w:szCs w:val="21"/>
              </w:rPr>
            </w:pPr>
            <w:r>
              <w:rPr>
                <w:color w:val="000000"/>
                <w:position w:val="6"/>
                <w:szCs w:val="21"/>
              </w:rPr>
              <w:t>投标报价</w:t>
            </w:r>
          </w:p>
        </w:tc>
        <w:tc>
          <w:tcPr>
            <w:tcW w:w="4757" w:type="dxa"/>
            <w:shd w:val="clear" w:color="auto" w:fill="auto"/>
            <w:noWrap w:val="0"/>
            <w:vAlign w:val="center"/>
          </w:tcPr>
          <w:p w14:paraId="57449D7E">
            <w:pPr>
              <w:widowControl/>
              <w:spacing w:line="360" w:lineRule="auto"/>
              <w:jc w:val="left"/>
              <w:rPr>
                <w:szCs w:val="21"/>
              </w:rPr>
            </w:pPr>
            <w:r>
              <w:rPr>
                <w:color w:val="000000"/>
                <w:position w:val="6"/>
                <w:szCs w:val="21"/>
              </w:rPr>
              <w:t>参照《湖北省资产评估服务收费管理办法》（鄂价工服规[2011]24号）规定，服务费按照标准收费的</w:t>
            </w:r>
            <w:r>
              <w:rPr>
                <w:color w:val="000000"/>
                <w:position w:val="6"/>
                <w:szCs w:val="21"/>
                <w:u w:val="single"/>
              </w:rPr>
              <w:t xml:space="preserve">       </w:t>
            </w:r>
            <w:r>
              <w:rPr>
                <w:color w:val="000000"/>
                <w:position w:val="6"/>
                <w:szCs w:val="21"/>
              </w:rPr>
              <w:t>%计取。</w:t>
            </w:r>
          </w:p>
        </w:tc>
      </w:tr>
      <w:tr w14:paraId="2B6F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51" w:type="dxa"/>
            <w:vMerge w:val="restart"/>
            <w:shd w:val="clear" w:color="auto" w:fill="auto"/>
            <w:noWrap w:val="0"/>
            <w:vAlign w:val="center"/>
          </w:tcPr>
          <w:p w14:paraId="6A92A6B8">
            <w:pPr>
              <w:widowControl/>
              <w:spacing w:line="360" w:lineRule="auto"/>
              <w:jc w:val="center"/>
              <w:rPr>
                <w:color w:val="000000"/>
                <w:position w:val="6"/>
                <w:szCs w:val="21"/>
              </w:rPr>
            </w:pPr>
            <w:r>
              <w:rPr>
                <w:color w:val="000000"/>
                <w:position w:val="6"/>
                <w:szCs w:val="21"/>
              </w:rPr>
              <w:t>项目负责人</w:t>
            </w:r>
          </w:p>
        </w:tc>
        <w:tc>
          <w:tcPr>
            <w:tcW w:w="2126" w:type="dxa"/>
            <w:shd w:val="clear" w:color="auto" w:fill="auto"/>
            <w:noWrap w:val="0"/>
            <w:vAlign w:val="center"/>
          </w:tcPr>
          <w:p w14:paraId="734D10BE">
            <w:pPr>
              <w:widowControl/>
              <w:spacing w:line="360" w:lineRule="auto"/>
              <w:jc w:val="center"/>
              <w:rPr>
                <w:color w:val="000000"/>
                <w:position w:val="6"/>
                <w:szCs w:val="21"/>
              </w:rPr>
            </w:pPr>
            <w:r>
              <w:rPr>
                <w:color w:val="000000"/>
                <w:position w:val="6"/>
                <w:szCs w:val="21"/>
              </w:rPr>
              <w:t>姓    名</w:t>
            </w:r>
          </w:p>
        </w:tc>
        <w:tc>
          <w:tcPr>
            <w:tcW w:w="4757" w:type="dxa"/>
            <w:shd w:val="clear" w:color="auto" w:fill="auto"/>
            <w:noWrap w:val="0"/>
            <w:vAlign w:val="center"/>
          </w:tcPr>
          <w:p w14:paraId="08C60406">
            <w:pPr>
              <w:widowControl/>
              <w:spacing w:line="360" w:lineRule="auto"/>
              <w:rPr>
                <w:szCs w:val="21"/>
              </w:rPr>
            </w:pPr>
          </w:p>
        </w:tc>
      </w:tr>
      <w:tr w14:paraId="396F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51" w:type="dxa"/>
            <w:vMerge w:val="continue"/>
            <w:shd w:val="clear" w:color="auto" w:fill="auto"/>
            <w:noWrap w:val="0"/>
            <w:vAlign w:val="center"/>
          </w:tcPr>
          <w:p w14:paraId="1DECC876">
            <w:pPr>
              <w:widowControl/>
              <w:spacing w:line="360" w:lineRule="auto"/>
              <w:rPr>
                <w:szCs w:val="21"/>
              </w:rPr>
            </w:pPr>
          </w:p>
        </w:tc>
        <w:tc>
          <w:tcPr>
            <w:tcW w:w="2126" w:type="dxa"/>
            <w:shd w:val="clear" w:color="auto" w:fill="auto"/>
            <w:noWrap w:val="0"/>
            <w:vAlign w:val="center"/>
          </w:tcPr>
          <w:p w14:paraId="309FC914">
            <w:pPr>
              <w:widowControl/>
              <w:spacing w:line="360" w:lineRule="auto"/>
              <w:jc w:val="center"/>
              <w:rPr>
                <w:color w:val="000000"/>
                <w:position w:val="6"/>
                <w:szCs w:val="21"/>
              </w:rPr>
            </w:pPr>
            <w:r>
              <w:rPr>
                <w:color w:val="000000"/>
                <w:position w:val="6"/>
                <w:szCs w:val="21"/>
              </w:rPr>
              <w:t>职称或资质</w:t>
            </w:r>
          </w:p>
        </w:tc>
        <w:tc>
          <w:tcPr>
            <w:tcW w:w="4757" w:type="dxa"/>
            <w:shd w:val="clear" w:color="auto" w:fill="auto"/>
            <w:noWrap w:val="0"/>
            <w:vAlign w:val="center"/>
          </w:tcPr>
          <w:p w14:paraId="71EE084C">
            <w:pPr>
              <w:widowControl/>
              <w:spacing w:line="360" w:lineRule="auto"/>
              <w:rPr>
                <w:szCs w:val="21"/>
              </w:rPr>
            </w:pPr>
          </w:p>
        </w:tc>
      </w:tr>
      <w:tr w14:paraId="01D0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gridSpan w:val="2"/>
            <w:shd w:val="clear" w:color="auto" w:fill="auto"/>
            <w:noWrap w:val="0"/>
            <w:vAlign w:val="center"/>
          </w:tcPr>
          <w:p w14:paraId="52692F5E">
            <w:pPr>
              <w:widowControl/>
              <w:spacing w:line="360" w:lineRule="auto"/>
              <w:jc w:val="center"/>
              <w:rPr>
                <w:color w:val="000000"/>
                <w:position w:val="6"/>
                <w:szCs w:val="21"/>
              </w:rPr>
            </w:pPr>
            <w:r>
              <w:rPr>
                <w:color w:val="000000"/>
                <w:position w:val="6"/>
                <w:szCs w:val="21"/>
              </w:rPr>
              <w:t>其        他</w:t>
            </w:r>
          </w:p>
        </w:tc>
        <w:tc>
          <w:tcPr>
            <w:tcW w:w="4757" w:type="dxa"/>
            <w:shd w:val="clear" w:color="auto" w:fill="auto"/>
            <w:noWrap w:val="0"/>
            <w:vAlign w:val="center"/>
          </w:tcPr>
          <w:p w14:paraId="5445BB72">
            <w:pPr>
              <w:widowControl/>
              <w:spacing w:line="360" w:lineRule="auto"/>
              <w:rPr>
                <w:szCs w:val="21"/>
              </w:rPr>
            </w:pPr>
          </w:p>
        </w:tc>
      </w:tr>
    </w:tbl>
    <w:p w14:paraId="469DE502">
      <w:pPr>
        <w:spacing w:line="360" w:lineRule="auto"/>
        <w:ind w:left="1091" w:hanging="1091" w:hangingChars="453"/>
        <w:jc w:val="left"/>
        <w:rPr>
          <w:rFonts w:hint="eastAsia"/>
          <w:b/>
        </w:rPr>
      </w:pPr>
    </w:p>
    <w:p w14:paraId="660C21C8">
      <w:pPr>
        <w:spacing w:line="360" w:lineRule="auto"/>
        <w:ind w:left="1091" w:hanging="1091" w:hangingChars="453"/>
        <w:jc w:val="left"/>
      </w:pPr>
      <w:r>
        <w:rPr>
          <w:rFonts w:hint="eastAsia"/>
          <w:b/>
        </w:rPr>
        <w:t>说明：</w:t>
      </w:r>
      <w:r>
        <w:rPr>
          <w:rFonts w:hint="eastAsia"/>
        </w:rPr>
        <w:t>1、</w:t>
      </w:r>
      <w:r>
        <w:rPr>
          <w:rFonts w:hint="eastAsia" w:cs="Courier New"/>
          <w:szCs w:val="21"/>
        </w:rPr>
        <w:t>所有</w:t>
      </w:r>
      <w:r>
        <w:rPr>
          <w:rFonts w:hint="eastAsia"/>
        </w:rPr>
        <w:t>价</w:t>
      </w:r>
      <w:r>
        <w:rPr>
          <w:rFonts w:hint="eastAsia" w:cs="Courier New"/>
          <w:szCs w:val="21"/>
        </w:rPr>
        <w:t>格</w:t>
      </w:r>
      <w:r>
        <w:rPr>
          <w:rFonts w:hint="eastAsia"/>
        </w:rPr>
        <w:t>均用人民币表示，单位为元；报价</w:t>
      </w:r>
      <w:r>
        <w:rPr>
          <w:rFonts w:hint="eastAsia" w:cs="Courier New"/>
          <w:szCs w:val="21"/>
        </w:rPr>
        <w:t>明细表</w:t>
      </w:r>
      <w:r>
        <w:rPr>
          <w:rFonts w:hint="eastAsia"/>
        </w:rPr>
        <w:t>合计应与《磋商一览表》中的磋商总报价一致。</w:t>
      </w:r>
    </w:p>
    <w:p w14:paraId="47B81086">
      <w:pPr>
        <w:spacing w:line="360" w:lineRule="auto"/>
        <w:ind w:left="1240" w:leftChars="360" w:hanging="376" w:hangingChars="157"/>
        <w:jc w:val="left"/>
      </w:pPr>
      <w:r>
        <w:rPr>
          <w:rFonts w:hint="eastAsia"/>
        </w:rPr>
        <w:t>2、制造商名称：货物填写生产该货物的厂家名称、服务填写承接该服务供应商名称、工程填写承建该工程供应商名称。</w:t>
      </w:r>
    </w:p>
    <w:p w14:paraId="16D88F84">
      <w:pPr>
        <w:spacing w:line="360" w:lineRule="auto"/>
        <w:ind w:left="1240" w:leftChars="360" w:hanging="376" w:hangingChars="157"/>
        <w:jc w:val="left"/>
      </w:pPr>
      <w:r>
        <w:rPr>
          <w:rFonts w:hint="eastAsia"/>
        </w:rPr>
        <w:t>3、未提供详细的货物（工程或服务）报价明细</w:t>
      </w:r>
      <w:r>
        <w:rPr>
          <w:rFonts w:hint="eastAsia" w:cs="Corbel"/>
        </w:rPr>
        <w:t>，</w:t>
      </w:r>
      <w:r>
        <w:rPr>
          <w:rFonts w:hint="eastAsia"/>
        </w:rPr>
        <w:t>导致的后果由供应商自行承担。</w:t>
      </w:r>
    </w:p>
    <w:p w14:paraId="3432281B">
      <w:pPr>
        <w:spacing w:line="360" w:lineRule="auto"/>
        <w:ind w:left="1240" w:leftChars="360" w:hanging="376" w:hangingChars="157"/>
        <w:jc w:val="left"/>
      </w:pPr>
    </w:p>
    <w:p w14:paraId="4C33BFA7">
      <w:pPr>
        <w:widowControl/>
        <w:jc w:val="left"/>
        <w:rPr>
          <w:rFonts w:cstheme="majorBidi"/>
          <w:b/>
          <w:bCs/>
          <w:szCs w:val="24"/>
        </w:rPr>
      </w:pPr>
      <w:r>
        <w:rPr>
          <w:szCs w:val="24"/>
        </w:rPr>
        <w:br w:type="page"/>
      </w:r>
    </w:p>
    <w:bookmarkEnd w:id="518"/>
    <w:p w14:paraId="4031A5E3">
      <w:pPr>
        <w:pStyle w:val="4"/>
        <w:numPr>
          <w:ilvl w:val="0"/>
          <w:numId w:val="50"/>
        </w:numPr>
        <w:tabs>
          <w:tab w:val="left" w:pos="567"/>
        </w:tabs>
        <w:spacing w:before="0" w:after="0" w:line="360" w:lineRule="auto"/>
        <w:ind w:left="482" w:hanging="482" w:hangingChars="200"/>
        <w:jc w:val="left"/>
        <w:rPr>
          <w:rFonts w:ascii="宋体" w:hAnsi="宋体" w:eastAsia="宋体"/>
          <w:sz w:val="24"/>
          <w:szCs w:val="24"/>
        </w:rPr>
      </w:pPr>
      <w:bookmarkStart w:id="519" w:name="_Toc117244508"/>
      <w:bookmarkStart w:id="520" w:name="_Toc107561312"/>
      <w:bookmarkStart w:id="521" w:name="_Toc122527562"/>
      <w:bookmarkStart w:id="522" w:name="_Toc117244393"/>
      <w:r>
        <w:rPr>
          <w:rFonts w:hint="eastAsia"/>
          <w:sz w:val="24"/>
          <w:szCs w:val="21"/>
        </w:rPr>
        <w:t>法定</w:t>
      </w:r>
      <w:r>
        <w:rPr>
          <w:rFonts w:hint="eastAsia" w:ascii="宋体" w:hAnsi="宋体" w:eastAsia="宋体"/>
          <w:sz w:val="24"/>
          <w:szCs w:val="24"/>
        </w:rPr>
        <w:t>代表人身份证明</w:t>
      </w:r>
      <w:bookmarkEnd w:id="519"/>
      <w:bookmarkEnd w:id="520"/>
      <w:bookmarkEnd w:id="521"/>
      <w:bookmarkEnd w:id="522"/>
    </w:p>
    <w:p w14:paraId="66907AD6">
      <w:pPr>
        <w:wordWrap w:val="0"/>
        <w:spacing w:line="360" w:lineRule="auto"/>
        <w:ind w:firstLine="360" w:firstLineChars="150"/>
        <w:rPr>
          <w:rFonts w:ascii="楷体" w:hAnsi="楷体" w:eastAsia="楷体"/>
          <w:szCs w:val="24"/>
        </w:rPr>
      </w:pPr>
      <w:r>
        <w:rPr>
          <w:rFonts w:hint="eastAsia" w:ascii="楷体" w:hAnsi="楷体" w:eastAsia="楷体"/>
          <w:szCs w:val="24"/>
        </w:rPr>
        <w:t>（自然人提供身份证明）</w:t>
      </w:r>
    </w:p>
    <w:p w14:paraId="6740B87A">
      <w:pPr>
        <w:pStyle w:val="11"/>
      </w:pPr>
    </w:p>
    <w:p w14:paraId="71ED9543">
      <w:pPr>
        <w:wordWrap w:val="0"/>
        <w:spacing w:line="360" w:lineRule="auto"/>
        <w:ind w:firstLine="480" w:firstLineChars="200"/>
        <w:rPr>
          <w:szCs w:val="24"/>
          <w:u w:val="single"/>
        </w:rPr>
      </w:pPr>
      <w:r>
        <w:rPr>
          <w:rFonts w:hint="eastAsia"/>
          <w:szCs w:val="24"/>
        </w:rPr>
        <w:t>供应商名称：</w:t>
      </w:r>
      <w:r>
        <w:rPr>
          <w:szCs w:val="24"/>
          <w:u w:val="single"/>
        </w:rPr>
        <w:t xml:space="preserve"> </w:t>
      </w:r>
      <w:r>
        <w:rPr>
          <w:szCs w:val="24"/>
          <w:u w:val="single"/>
        </w:rPr>
        <w:tab/>
      </w:r>
      <w:r>
        <w:rPr>
          <w:rFonts w:hint="eastAsia"/>
          <w:szCs w:val="24"/>
          <w:u w:val="single"/>
        </w:rPr>
        <w:t xml:space="preserve">                         </w:t>
      </w:r>
    </w:p>
    <w:p w14:paraId="34A862AF">
      <w:pPr>
        <w:wordWrap w:val="0"/>
        <w:spacing w:line="360" w:lineRule="auto"/>
        <w:ind w:firstLine="480" w:firstLineChars="200"/>
        <w:rPr>
          <w:szCs w:val="24"/>
        </w:rPr>
      </w:pPr>
      <w:r>
        <w:rPr>
          <w:rFonts w:hint="eastAsia"/>
          <w:szCs w:val="24"/>
        </w:rPr>
        <w:t>姓名：</w:t>
      </w:r>
      <w:r>
        <w:rPr>
          <w:szCs w:val="24"/>
          <w:u w:val="single"/>
        </w:rPr>
        <w:t xml:space="preserve"> </w:t>
      </w:r>
      <w:r>
        <w:rPr>
          <w:rFonts w:hint="eastAsia"/>
          <w:szCs w:val="24"/>
          <w:u w:val="single"/>
        </w:rPr>
        <w:t xml:space="preserve">   </w:t>
      </w:r>
      <w:r>
        <w:rPr>
          <w:szCs w:val="24"/>
          <w:u w:val="single"/>
        </w:rPr>
        <w:tab/>
      </w:r>
      <w:r>
        <w:rPr>
          <w:rFonts w:hint="eastAsia"/>
          <w:szCs w:val="24"/>
        </w:rPr>
        <w:t>性别：</w:t>
      </w:r>
      <w:r>
        <w:rPr>
          <w:szCs w:val="24"/>
          <w:u w:val="single"/>
        </w:rPr>
        <w:t xml:space="preserve"> </w:t>
      </w:r>
      <w:r>
        <w:rPr>
          <w:rFonts w:hint="eastAsia"/>
          <w:szCs w:val="24"/>
          <w:u w:val="single"/>
        </w:rPr>
        <w:t xml:space="preserve">    </w:t>
      </w:r>
      <w:r>
        <w:rPr>
          <w:szCs w:val="24"/>
          <w:u w:val="single"/>
        </w:rPr>
        <w:tab/>
      </w:r>
      <w:r>
        <w:rPr>
          <w:rFonts w:hint="eastAsia"/>
          <w:szCs w:val="24"/>
        </w:rPr>
        <w:t>年龄：</w:t>
      </w:r>
      <w:r>
        <w:rPr>
          <w:szCs w:val="24"/>
          <w:u w:val="single"/>
        </w:rPr>
        <w:t xml:space="preserve"> </w:t>
      </w:r>
      <w:r>
        <w:rPr>
          <w:rFonts w:hint="eastAsia"/>
          <w:szCs w:val="24"/>
          <w:u w:val="single"/>
        </w:rPr>
        <w:t xml:space="preserve">    </w:t>
      </w:r>
      <w:r>
        <w:rPr>
          <w:szCs w:val="24"/>
          <w:u w:val="single"/>
        </w:rPr>
        <w:tab/>
      </w:r>
      <w:r>
        <w:rPr>
          <w:rFonts w:hint="eastAsia"/>
          <w:szCs w:val="24"/>
        </w:rPr>
        <w:t>职务：</w:t>
      </w:r>
      <w:r>
        <w:rPr>
          <w:szCs w:val="24"/>
          <w:u w:val="single"/>
        </w:rPr>
        <w:t xml:space="preserve"> </w:t>
      </w:r>
      <w:r>
        <w:rPr>
          <w:rFonts w:hint="eastAsia"/>
          <w:szCs w:val="24"/>
          <w:u w:val="single"/>
        </w:rPr>
        <w:t xml:space="preserve">      </w:t>
      </w:r>
      <w:r>
        <w:rPr>
          <w:szCs w:val="24"/>
          <w:u w:val="single"/>
        </w:rPr>
        <w:tab/>
      </w:r>
      <w:r>
        <w:rPr>
          <w:rFonts w:hint="eastAsia"/>
          <w:szCs w:val="24"/>
        </w:rPr>
        <w:t>，系</w:t>
      </w:r>
      <w:r>
        <w:rPr>
          <w:szCs w:val="24"/>
          <w:u w:val="single"/>
        </w:rPr>
        <w:t xml:space="preserve">  </w:t>
      </w:r>
      <w:r>
        <w:rPr>
          <w:szCs w:val="24"/>
          <w:u w:val="single"/>
        </w:rPr>
        <w:tab/>
      </w:r>
      <w:r>
        <w:rPr>
          <w:rFonts w:hint="eastAsia"/>
          <w:i/>
          <w:szCs w:val="24"/>
          <w:u w:val="single"/>
        </w:rPr>
        <w:t>（供应商名称）</w:t>
      </w:r>
      <w:r>
        <w:rPr>
          <w:rFonts w:hint="eastAsia"/>
          <w:szCs w:val="24"/>
          <w:u w:val="single"/>
        </w:rPr>
        <w:t xml:space="preserve"> </w:t>
      </w:r>
      <w:r>
        <w:rPr>
          <w:szCs w:val="24"/>
          <w:u w:val="single"/>
        </w:rPr>
        <w:t xml:space="preserve"> </w:t>
      </w:r>
      <w:r>
        <w:rPr>
          <w:rFonts w:hint="eastAsia"/>
          <w:szCs w:val="24"/>
        </w:rPr>
        <w:t>的法定代表人。</w:t>
      </w:r>
    </w:p>
    <w:p w14:paraId="43F14070">
      <w:pPr>
        <w:wordWrap w:val="0"/>
        <w:spacing w:line="360" w:lineRule="auto"/>
        <w:ind w:firstLine="480" w:firstLineChars="200"/>
        <w:rPr>
          <w:szCs w:val="24"/>
        </w:rPr>
      </w:pPr>
      <w:r>
        <w:rPr>
          <w:rFonts w:hint="eastAsia"/>
          <w:szCs w:val="24"/>
        </w:rPr>
        <w:t>特此证明。</w:t>
      </w:r>
    </w:p>
    <w:p w14:paraId="564A17BE">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09047079">
      <w:pPr>
        <w:wordWrap w:val="0"/>
        <w:spacing w:line="360" w:lineRule="auto"/>
        <w:ind w:firstLine="3240" w:firstLineChars="1350"/>
      </w:pPr>
      <w:r>
        <w:rPr>
          <w:rFonts w:hint="eastAsia"/>
          <w:szCs w:val="24"/>
        </w:rPr>
        <w:t>日   期：</w:t>
      </w:r>
      <w:r>
        <w:rPr>
          <w:rFonts w:hint="eastAsia"/>
          <w:bCs/>
          <w:u w:val="single"/>
        </w:rPr>
        <w:t xml:space="preserve">                                   </w:t>
      </w:r>
    </w:p>
    <w:p w14:paraId="608A60F2">
      <w:pPr>
        <w:wordWrap w:val="0"/>
        <w:spacing w:line="360" w:lineRule="auto"/>
        <w:rPr>
          <w:szCs w:val="24"/>
        </w:rPr>
      </w:pPr>
    </w:p>
    <w:p w14:paraId="67165B33">
      <w:pPr>
        <w:wordWrap w:val="0"/>
        <w:spacing w:line="360" w:lineRule="auto"/>
        <w:rPr>
          <w:szCs w:val="24"/>
        </w:rPr>
      </w:pPr>
      <w:r>
        <w:rPr>
          <w:rFonts w:hint="eastAsia"/>
          <w:szCs w:val="24"/>
        </w:rPr>
        <w:t>附：</w:t>
      </w:r>
    </w:p>
    <w:p w14:paraId="017B3606">
      <w:pPr>
        <w:wordWrap w:val="0"/>
        <w:spacing w:line="360" w:lineRule="auto"/>
        <w:ind w:firstLine="480" w:firstLineChars="200"/>
        <w:rPr>
          <w:szCs w:val="24"/>
        </w:rPr>
      </w:pPr>
      <w:r>
        <w:rPr>
          <w:rFonts w:hint="eastAsia"/>
          <w:szCs w:val="24"/>
        </w:rPr>
        <w:t>法定代表人姓名：</w:t>
      </w:r>
      <w:r>
        <w:rPr>
          <w:rFonts w:hint="eastAsia"/>
          <w:szCs w:val="24"/>
          <w:u w:val="single"/>
        </w:rPr>
        <w:t xml:space="preserve">                         </w:t>
      </w:r>
    </w:p>
    <w:p w14:paraId="6391026B">
      <w:pPr>
        <w:wordWrap w:val="0"/>
        <w:spacing w:line="360" w:lineRule="auto"/>
        <w:ind w:firstLine="480" w:firstLineChars="200"/>
        <w:rPr>
          <w:szCs w:val="24"/>
        </w:rPr>
      </w:pPr>
      <w:r>
        <w:rPr>
          <w:rFonts w:hint="eastAsia"/>
          <w:szCs w:val="24"/>
        </w:rPr>
        <w:t>性别：</w:t>
      </w:r>
      <w:r>
        <w:rPr>
          <w:rFonts w:hint="eastAsia"/>
          <w:szCs w:val="24"/>
          <w:u w:val="single"/>
        </w:rPr>
        <w:t xml:space="preserve">           </w:t>
      </w:r>
    </w:p>
    <w:p w14:paraId="28988BD1">
      <w:pPr>
        <w:wordWrap w:val="0"/>
        <w:spacing w:line="360" w:lineRule="auto"/>
        <w:ind w:firstLine="480" w:firstLineChars="200"/>
        <w:rPr>
          <w:szCs w:val="24"/>
          <w:u w:val="single"/>
        </w:rPr>
      </w:pPr>
      <w:r>
        <w:rPr>
          <w:rFonts w:hint="eastAsia"/>
          <w:szCs w:val="24"/>
        </w:rPr>
        <w:t>身份证号码：</w:t>
      </w:r>
      <w:r>
        <w:rPr>
          <w:rFonts w:hint="eastAsia"/>
          <w:szCs w:val="24"/>
          <w:u w:val="single"/>
        </w:rPr>
        <w:t xml:space="preserve">                   </w:t>
      </w:r>
    </w:p>
    <w:p w14:paraId="6E734324">
      <w:pPr>
        <w:wordWrap w:val="0"/>
        <w:spacing w:line="360" w:lineRule="auto"/>
        <w:ind w:firstLine="480" w:firstLineChars="200"/>
        <w:rPr>
          <w:szCs w:val="24"/>
        </w:rPr>
      </w:pPr>
      <w:r>
        <w:rPr>
          <w:rFonts w:hint="eastAsia"/>
          <w:szCs w:val="24"/>
        </w:rPr>
        <w:t>电话：</w:t>
      </w:r>
      <w:r>
        <w:rPr>
          <w:rFonts w:hint="eastAsia"/>
          <w:szCs w:val="24"/>
          <w:u w:val="single"/>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14:paraId="4E2C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4400" w:type="dxa"/>
          </w:tcPr>
          <w:p w14:paraId="05ECCA8E">
            <w:pPr>
              <w:wordWrap w:val="0"/>
              <w:spacing w:line="360" w:lineRule="auto"/>
              <w:rPr>
                <w:szCs w:val="24"/>
              </w:rPr>
            </w:pPr>
            <w:r>
              <w:rPr>
                <w:rFonts w:hint="eastAsia"/>
                <w:szCs w:val="24"/>
              </w:rPr>
              <w:t>法定代表人身份证</w:t>
            </w:r>
          </w:p>
          <w:p w14:paraId="7A4EB68A">
            <w:pPr>
              <w:wordWrap w:val="0"/>
              <w:spacing w:line="360" w:lineRule="auto"/>
              <w:rPr>
                <w:szCs w:val="24"/>
              </w:rPr>
            </w:pPr>
            <w:r>
              <w:rPr>
                <w:rFonts w:hint="eastAsia"/>
                <w:szCs w:val="24"/>
              </w:rPr>
              <w:t>（正面清晰彩色影印件）</w:t>
            </w:r>
          </w:p>
        </w:tc>
        <w:tc>
          <w:tcPr>
            <w:tcW w:w="4569" w:type="dxa"/>
          </w:tcPr>
          <w:p w14:paraId="3C7F1E41">
            <w:pPr>
              <w:wordWrap w:val="0"/>
              <w:spacing w:line="360" w:lineRule="auto"/>
              <w:rPr>
                <w:szCs w:val="24"/>
              </w:rPr>
            </w:pPr>
            <w:r>
              <w:rPr>
                <w:rFonts w:hint="eastAsia"/>
                <w:szCs w:val="24"/>
              </w:rPr>
              <w:t>法定代表人身份证</w:t>
            </w:r>
          </w:p>
          <w:p w14:paraId="62B0E35B">
            <w:pPr>
              <w:wordWrap w:val="0"/>
              <w:spacing w:line="360" w:lineRule="auto"/>
              <w:rPr>
                <w:szCs w:val="24"/>
              </w:rPr>
            </w:pPr>
            <w:r>
              <w:rPr>
                <w:rFonts w:hint="eastAsia"/>
                <w:szCs w:val="24"/>
              </w:rPr>
              <w:t>（反面清晰彩色影印件）</w:t>
            </w:r>
          </w:p>
        </w:tc>
      </w:tr>
    </w:tbl>
    <w:p w14:paraId="3723949B">
      <w:pPr>
        <w:widowControl/>
        <w:wordWrap w:val="0"/>
        <w:spacing w:line="360" w:lineRule="auto"/>
        <w:jc w:val="left"/>
        <w:rPr>
          <w:rFonts w:cstheme="majorBidi"/>
          <w:b/>
          <w:bCs/>
          <w:sz w:val="32"/>
          <w:szCs w:val="32"/>
        </w:rPr>
      </w:pPr>
      <w:r>
        <w:br w:type="page"/>
      </w:r>
    </w:p>
    <w:p w14:paraId="194DD1D0">
      <w:pPr>
        <w:pStyle w:val="4"/>
        <w:numPr>
          <w:ilvl w:val="0"/>
          <w:numId w:val="50"/>
        </w:numPr>
        <w:tabs>
          <w:tab w:val="left" w:pos="567"/>
        </w:tabs>
        <w:spacing w:before="0" w:after="0" w:line="360" w:lineRule="auto"/>
        <w:ind w:left="482" w:hanging="482" w:hangingChars="200"/>
        <w:jc w:val="left"/>
        <w:rPr>
          <w:rFonts w:ascii="宋体" w:hAnsi="宋体" w:eastAsia="宋体"/>
          <w:sz w:val="24"/>
          <w:szCs w:val="24"/>
        </w:rPr>
      </w:pPr>
      <w:bookmarkStart w:id="523" w:name="_Toc117244509"/>
      <w:bookmarkStart w:id="524" w:name="_Toc117244394"/>
      <w:bookmarkStart w:id="525" w:name="_Toc107561313"/>
      <w:bookmarkStart w:id="526" w:name="_Toc122527563"/>
      <w:r>
        <w:rPr>
          <w:rFonts w:hint="eastAsia" w:ascii="宋体" w:hAnsi="宋体" w:eastAsia="宋体"/>
          <w:sz w:val="24"/>
          <w:szCs w:val="24"/>
        </w:rPr>
        <w:t>法定代表人授权书</w:t>
      </w:r>
      <w:bookmarkEnd w:id="523"/>
      <w:bookmarkEnd w:id="524"/>
      <w:bookmarkEnd w:id="525"/>
      <w:bookmarkEnd w:id="526"/>
    </w:p>
    <w:p w14:paraId="6FF26078">
      <w:pPr>
        <w:wordWrap w:val="0"/>
        <w:spacing w:line="360" w:lineRule="auto"/>
        <w:ind w:firstLine="360" w:firstLineChars="150"/>
        <w:rPr>
          <w:szCs w:val="24"/>
        </w:rPr>
      </w:pPr>
      <w:r>
        <w:rPr>
          <w:rFonts w:hint="eastAsia"/>
          <w:szCs w:val="24"/>
        </w:rPr>
        <w:t>（</w:t>
      </w:r>
      <w:r>
        <w:rPr>
          <w:rFonts w:hint="eastAsia" w:ascii="楷体" w:hAnsi="楷体" w:eastAsia="楷体"/>
          <w:szCs w:val="24"/>
        </w:rPr>
        <w:t>法定代表人参与磋商活动、处理磋商活动中的一切事宜的，可不用提供</w:t>
      </w:r>
      <w:r>
        <w:rPr>
          <w:rFonts w:hint="eastAsia"/>
          <w:szCs w:val="24"/>
        </w:rPr>
        <w:t>）</w:t>
      </w:r>
    </w:p>
    <w:p w14:paraId="7AF63A25">
      <w:pPr>
        <w:pStyle w:val="11"/>
      </w:pPr>
    </w:p>
    <w:p w14:paraId="4D4C1FE5">
      <w:pPr>
        <w:wordWrap w:val="0"/>
        <w:spacing w:line="360" w:lineRule="auto"/>
        <w:ind w:firstLine="480" w:firstLineChars="200"/>
        <w:rPr>
          <w:szCs w:val="24"/>
        </w:rPr>
      </w:pPr>
      <w:r>
        <w:rPr>
          <w:rFonts w:hint="eastAsia"/>
          <w:szCs w:val="24"/>
        </w:rPr>
        <w:t>兹授权</w:t>
      </w:r>
      <w:r>
        <w:rPr>
          <w:rFonts w:hint="eastAsia"/>
          <w:szCs w:val="24"/>
          <w:u w:val="single"/>
        </w:rPr>
        <w:t xml:space="preserve">      </w:t>
      </w:r>
      <w:r>
        <w:rPr>
          <w:rFonts w:hint="eastAsia"/>
          <w:szCs w:val="24"/>
        </w:rPr>
        <w:t>同志为我单位参加贵方组织的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w:t>
      </w:r>
      <w:r>
        <w:rPr>
          <w:rFonts w:hint="eastAsia"/>
          <w:szCs w:val="24"/>
          <w:u w:val="single"/>
        </w:rPr>
        <w:t xml:space="preserve">项目编号：     </w:t>
      </w:r>
      <w:r>
        <w:rPr>
          <w:rFonts w:hint="eastAsia"/>
          <w:szCs w:val="24"/>
        </w:rPr>
        <w:t>）采购活动的供应商授权代表，全权代表我公司处理在项目采购活动中的一切事宜。代理期限从</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日起至</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 xml:space="preserve">日止。 </w:t>
      </w:r>
    </w:p>
    <w:p w14:paraId="5A205E67">
      <w:pPr>
        <w:wordWrap w:val="0"/>
        <w:spacing w:line="360" w:lineRule="auto"/>
        <w:ind w:firstLine="480" w:firstLineChars="200"/>
        <w:rPr>
          <w:szCs w:val="24"/>
        </w:rPr>
      </w:pPr>
      <w:r>
        <w:rPr>
          <w:rFonts w:hint="eastAsia"/>
          <w:szCs w:val="24"/>
        </w:rPr>
        <w:t>被授权代表无转委托权，在得到授权后方可签署响应文件。</w:t>
      </w:r>
    </w:p>
    <w:p w14:paraId="0584536A">
      <w:pPr>
        <w:wordWrap w:val="0"/>
        <w:spacing w:before="100" w:beforeAutospacing="1" w:after="100" w:afterAutospacing="1" w:line="360" w:lineRule="auto"/>
        <w:ind w:firstLine="3316" w:firstLineChars="1382"/>
        <w:rPr>
          <w:bCs/>
          <w:u w:val="single"/>
        </w:rPr>
      </w:pPr>
      <w:r>
        <w:rPr>
          <w:rFonts w:hint="eastAsia"/>
          <w:bCs/>
        </w:rPr>
        <w:t>授权单位（公章）：</w:t>
      </w:r>
      <w:r>
        <w:rPr>
          <w:rFonts w:hint="eastAsia"/>
          <w:bCs/>
          <w:u w:val="single"/>
        </w:rPr>
        <w:t xml:space="preserve">                               </w:t>
      </w:r>
    </w:p>
    <w:p w14:paraId="576C38DC">
      <w:pPr>
        <w:wordWrap w:val="0"/>
        <w:spacing w:before="100" w:beforeAutospacing="1" w:after="100" w:afterAutospacing="1" w:line="360" w:lineRule="auto"/>
        <w:ind w:firstLine="3330" w:firstLineChars="1382"/>
        <w:rPr>
          <w:b/>
          <w:bCs/>
          <w:u w:val="single"/>
        </w:rPr>
      </w:pPr>
      <w:r>
        <w:rPr>
          <w:rFonts w:hint="eastAsia"/>
          <w:b/>
          <w:bCs/>
          <w:szCs w:val="21"/>
          <w:lang w:val="zh-CN"/>
        </w:rPr>
        <w:t>法定代表人（签字或签章）</w:t>
      </w:r>
      <w:r>
        <w:rPr>
          <w:rFonts w:hint="eastAsia"/>
          <w:b/>
          <w:bCs/>
        </w:rPr>
        <w:t>：</w:t>
      </w:r>
      <w:r>
        <w:rPr>
          <w:rFonts w:hint="eastAsia"/>
          <w:b/>
          <w:bCs/>
          <w:u w:val="single"/>
        </w:rPr>
        <w:t xml:space="preserve">                      </w:t>
      </w:r>
    </w:p>
    <w:p w14:paraId="1BD74CF9">
      <w:pPr>
        <w:wordWrap w:val="0"/>
        <w:spacing w:before="100" w:beforeAutospacing="1" w:after="100" w:afterAutospacing="1" w:line="360" w:lineRule="auto"/>
        <w:ind w:firstLine="3316" w:firstLineChars="1382"/>
        <w:rPr>
          <w:bCs/>
          <w:u w:val="single"/>
        </w:rPr>
      </w:pPr>
      <w:r>
        <w:rPr>
          <w:rFonts w:hint="eastAsia"/>
          <w:szCs w:val="24"/>
        </w:rPr>
        <w:t>日   期：</w:t>
      </w:r>
      <w:r>
        <w:rPr>
          <w:rFonts w:hint="eastAsia"/>
          <w:szCs w:val="21"/>
          <w:u w:val="single"/>
          <w:lang w:val="zh-CN"/>
        </w:rPr>
        <w:t xml:space="preserve">      </w:t>
      </w:r>
      <w:r>
        <w:rPr>
          <w:rFonts w:hint="eastAsia"/>
          <w:szCs w:val="21"/>
          <w:lang w:val="zh-CN"/>
        </w:rPr>
        <w:t>年</w:t>
      </w:r>
      <w:r>
        <w:rPr>
          <w:rFonts w:hint="eastAsia"/>
          <w:szCs w:val="21"/>
          <w:u w:val="single"/>
          <w:lang w:val="zh-CN"/>
        </w:rPr>
        <w:t xml:space="preserve">    </w:t>
      </w:r>
      <w:r>
        <w:rPr>
          <w:rFonts w:hint="eastAsia"/>
          <w:szCs w:val="21"/>
          <w:lang w:val="zh-CN"/>
        </w:rPr>
        <w:t>月</w:t>
      </w:r>
      <w:r>
        <w:rPr>
          <w:rFonts w:hint="eastAsia"/>
          <w:szCs w:val="21"/>
          <w:u w:val="single"/>
          <w:lang w:val="zh-CN"/>
        </w:rPr>
        <w:t xml:space="preserve">    </w:t>
      </w:r>
      <w:r>
        <w:rPr>
          <w:rFonts w:hint="eastAsia"/>
          <w:szCs w:val="21"/>
          <w:lang w:val="zh-CN"/>
        </w:rPr>
        <w:t>日</w:t>
      </w:r>
    </w:p>
    <w:p w14:paraId="53D8A435">
      <w:pPr>
        <w:wordWrap w:val="0"/>
        <w:spacing w:line="360" w:lineRule="auto"/>
        <w:rPr>
          <w:szCs w:val="24"/>
        </w:rPr>
      </w:pPr>
      <w:r>
        <w:rPr>
          <w:rFonts w:hint="eastAsia"/>
          <w:szCs w:val="24"/>
        </w:rPr>
        <w:t>附：</w:t>
      </w:r>
    </w:p>
    <w:p w14:paraId="65C3EEFD">
      <w:pPr>
        <w:wordWrap w:val="0"/>
        <w:spacing w:line="360" w:lineRule="auto"/>
        <w:ind w:firstLine="480" w:firstLineChars="200"/>
        <w:rPr>
          <w:szCs w:val="24"/>
        </w:rPr>
      </w:pPr>
      <w:r>
        <w:rPr>
          <w:rFonts w:hint="eastAsia"/>
          <w:szCs w:val="24"/>
        </w:rPr>
        <w:t>供应商授权代表单位名称：</w:t>
      </w:r>
      <w:r>
        <w:rPr>
          <w:rFonts w:hint="eastAsia"/>
          <w:szCs w:val="24"/>
          <w:u w:val="single"/>
        </w:rPr>
        <w:t xml:space="preserve">                         </w:t>
      </w:r>
    </w:p>
    <w:p w14:paraId="00BB8C22">
      <w:pPr>
        <w:wordWrap w:val="0"/>
        <w:spacing w:line="360" w:lineRule="auto"/>
        <w:ind w:firstLine="480" w:firstLineChars="200"/>
        <w:rPr>
          <w:szCs w:val="24"/>
        </w:rPr>
      </w:pPr>
      <w:r>
        <w:rPr>
          <w:rFonts w:hint="eastAsia"/>
          <w:szCs w:val="24"/>
        </w:rPr>
        <w:t>职务：</w:t>
      </w:r>
      <w:r>
        <w:rPr>
          <w:rFonts w:hint="eastAsia"/>
          <w:szCs w:val="24"/>
          <w:u w:val="single"/>
        </w:rPr>
        <w:t xml:space="preserve">                         </w:t>
      </w:r>
      <w:r>
        <w:rPr>
          <w:rFonts w:hint="eastAsia"/>
          <w:szCs w:val="24"/>
        </w:rPr>
        <w:t xml:space="preserve"> 性别：</w:t>
      </w:r>
      <w:r>
        <w:rPr>
          <w:rFonts w:hint="eastAsia"/>
          <w:szCs w:val="24"/>
          <w:u w:val="single"/>
        </w:rPr>
        <w:t xml:space="preserve">           </w:t>
      </w:r>
    </w:p>
    <w:p w14:paraId="6470F3D2">
      <w:pPr>
        <w:wordWrap w:val="0"/>
        <w:spacing w:line="360" w:lineRule="auto"/>
        <w:ind w:firstLine="480" w:firstLineChars="200"/>
        <w:rPr>
          <w:szCs w:val="24"/>
          <w:u w:val="single"/>
        </w:rPr>
      </w:pPr>
      <w:r>
        <w:rPr>
          <w:rFonts w:hint="eastAsia"/>
          <w:szCs w:val="24"/>
        </w:rPr>
        <w:t>身份证号码：</w:t>
      </w:r>
      <w:r>
        <w:rPr>
          <w:rFonts w:hint="eastAsia"/>
          <w:szCs w:val="24"/>
          <w:u w:val="single"/>
        </w:rPr>
        <w:t xml:space="preserve">                   </w:t>
      </w:r>
    </w:p>
    <w:p w14:paraId="2B0CA458">
      <w:pPr>
        <w:wordWrap w:val="0"/>
        <w:spacing w:line="360" w:lineRule="auto"/>
        <w:ind w:firstLine="480" w:firstLineChars="200"/>
        <w:rPr>
          <w:szCs w:val="24"/>
        </w:rPr>
      </w:pPr>
      <w:r>
        <w:rPr>
          <w:rFonts w:hint="eastAsia"/>
          <w:szCs w:val="24"/>
        </w:rPr>
        <w:t>电话：</w:t>
      </w:r>
      <w:r>
        <w:rPr>
          <w:rFonts w:hint="eastAsia"/>
          <w:szCs w:val="24"/>
          <w:u w:val="single"/>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14:paraId="040D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4400" w:type="dxa"/>
          </w:tcPr>
          <w:p w14:paraId="62BE524E">
            <w:pPr>
              <w:wordWrap w:val="0"/>
              <w:spacing w:line="360" w:lineRule="auto"/>
              <w:rPr>
                <w:szCs w:val="24"/>
              </w:rPr>
            </w:pPr>
            <w:r>
              <w:rPr>
                <w:rFonts w:hint="eastAsia"/>
                <w:szCs w:val="24"/>
              </w:rPr>
              <w:t>被授权人身份证</w:t>
            </w:r>
          </w:p>
          <w:p w14:paraId="1F4A58A9">
            <w:pPr>
              <w:wordWrap w:val="0"/>
              <w:spacing w:line="360" w:lineRule="auto"/>
              <w:rPr>
                <w:szCs w:val="24"/>
              </w:rPr>
            </w:pPr>
            <w:r>
              <w:rPr>
                <w:rFonts w:hint="eastAsia"/>
                <w:szCs w:val="24"/>
              </w:rPr>
              <w:t>（正南清晰彩色影印件）</w:t>
            </w:r>
          </w:p>
        </w:tc>
        <w:tc>
          <w:tcPr>
            <w:tcW w:w="4569" w:type="dxa"/>
          </w:tcPr>
          <w:p w14:paraId="1984721F">
            <w:pPr>
              <w:wordWrap w:val="0"/>
              <w:spacing w:line="360" w:lineRule="auto"/>
              <w:rPr>
                <w:szCs w:val="24"/>
              </w:rPr>
            </w:pPr>
            <w:r>
              <w:rPr>
                <w:rFonts w:hint="eastAsia"/>
                <w:szCs w:val="24"/>
              </w:rPr>
              <w:t>被授权人身份证</w:t>
            </w:r>
          </w:p>
          <w:p w14:paraId="4A4CAF08">
            <w:pPr>
              <w:wordWrap w:val="0"/>
              <w:spacing w:line="360" w:lineRule="auto"/>
              <w:rPr>
                <w:szCs w:val="24"/>
              </w:rPr>
            </w:pPr>
            <w:r>
              <w:rPr>
                <w:rFonts w:hint="eastAsia"/>
                <w:szCs w:val="24"/>
              </w:rPr>
              <w:t>（反面清晰彩色影印件）</w:t>
            </w:r>
          </w:p>
        </w:tc>
      </w:tr>
    </w:tbl>
    <w:p w14:paraId="54E358B5">
      <w:pPr>
        <w:wordWrap w:val="0"/>
        <w:spacing w:line="360" w:lineRule="auto"/>
        <w:rPr>
          <w:bCs/>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14:paraId="7DACE6DB">
      <w:pPr>
        <w:pStyle w:val="4"/>
        <w:numPr>
          <w:ilvl w:val="0"/>
          <w:numId w:val="50"/>
        </w:numPr>
        <w:tabs>
          <w:tab w:val="left" w:pos="567"/>
        </w:tabs>
        <w:spacing w:before="0" w:after="0" w:line="360" w:lineRule="auto"/>
        <w:ind w:left="482" w:hanging="482" w:hangingChars="200"/>
        <w:jc w:val="left"/>
        <w:rPr>
          <w:rFonts w:ascii="宋体" w:hAnsi="宋体" w:eastAsia="宋体"/>
          <w:sz w:val="24"/>
          <w:szCs w:val="24"/>
        </w:rPr>
      </w:pPr>
      <w:bookmarkStart w:id="527" w:name="_Toc117244510"/>
      <w:bookmarkStart w:id="528" w:name="_Toc122527564"/>
      <w:bookmarkStart w:id="529" w:name="_Toc107561314"/>
      <w:bookmarkStart w:id="530" w:name="_Toc117244395"/>
      <w:r>
        <w:rPr>
          <w:rFonts w:hint="eastAsia" w:ascii="宋体" w:hAnsi="宋体" w:eastAsia="宋体"/>
          <w:sz w:val="24"/>
          <w:szCs w:val="24"/>
        </w:rPr>
        <w:t>项目负责人、技术负责人简历表</w:t>
      </w:r>
      <w:bookmarkEnd w:id="527"/>
      <w:bookmarkEnd w:id="528"/>
      <w:bookmarkEnd w:id="529"/>
      <w:bookmarkEnd w:id="530"/>
    </w:p>
    <w:p w14:paraId="7C40AFAA">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14:paraId="3526CC93">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0"/>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200"/>
        <w:gridCol w:w="1330"/>
        <w:gridCol w:w="195"/>
        <w:gridCol w:w="1335"/>
        <w:gridCol w:w="190"/>
        <w:gridCol w:w="1340"/>
        <w:gridCol w:w="185"/>
        <w:gridCol w:w="1345"/>
        <w:gridCol w:w="193"/>
        <w:gridCol w:w="1337"/>
      </w:tblGrid>
      <w:tr w14:paraId="755B23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002A2E05">
            <w:pPr>
              <w:wordWrap w:val="0"/>
              <w:autoSpaceDE w:val="0"/>
              <w:autoSpaceDN w:val="0"/>
              <w:adjustRightInd w:val="0"/>
              <w:spacing w:line="360" w:lineRule="auto"/>
              <w:jc w:val="center"/>
              <w:rPr>
                <w:szCs w:val="28"/>
              </w:rPr>
            </w:pPr>
            <w:r>
              <w:rPr>
                <w:rFonts w:hint="eastAsia"/>
                <w:szCs w:val="28"/>
              </w:rPr>
              <w:t>姓    名</w:t>
            </w:r>
          </w:p>
        </w:tc>
        <w:tc>
          <w:tcPr>
            <w:tcW w:w="1530" w:type="dxa"/>
            <w:gridSpan w:val="2"/>
            <w:vAlign w:val="center"/>
          </w:tcPr>
          <w:p w14:paraId="73A28918">
            <w:pPr>
              <w:wordWrap w:val="0"/>
              <w:autoSpaceDE w:val="0"/>
              <w:autoSpaceDN w:val="0"/>
              <w:adjustRightInd w:val="0"/>
              <w:spacing w:line="360" w:lineRule="auto"/>
              <w:ind w:right="326" w:rightChars="136"/>
              <w:jc w:val="center"/>
              <w:rPr>
                <w:szCs w:val="28"/>
              </w:rPr>
            </w:pPr>
          </w:p>
        </w:tc>
        <w:tc>
          <w:tcPr>
            <w:tcW w:w="1530" w:type="dxa"/>
            <w:gridSpan w:val="2"/>
            <w:vAlign w:val="center"/>
          </w:tcPr>
          <w:p w14:paraId="2EA55030">
            <w:pPr>
              <w:wordWrap w:val="0"/>
              <w:autoSpaceDE w:val="0"/>
              <w:autoSpaceDN w:val="0"/>
              <w:adjustRightInd w:val="0"/>
              <w:spacing w:line="360" w:lineRule="auto"/>
              <w:ind w:right="-146" w:rightChars="-61"/>
              <w:jc w:val="center"/>
              <w:rPr>
                <w:szCs w:val="28"/>
              </w:rPr>
            </w:pPr>
            <w:r>
              <w:rPr>
                <w:rFonts w:hint="eastAsia"/>
                <w:szCs w:val="28"/>
              </w:rPr>
              <w:t>性    别</w:t>
            </w:r>
          </w:p>
        </w:tc>
        <w:tc>
          <w:tcPr>
            <w:tcW w:w="1530" w:type="dxa"/>
            <w:gridSpan w:val="2"/>
            <w:vAlign w:val="center"/>
          </w:tcPr>
          <w:p w14:paraId="0765A6B8">
            <w:pPr>
              <w:wordWrap w:val="0"/>
              <w:autoSpaceDE w:val="0"/>
              <w:autoSpaceDN w:val="0"/>
              <w:adjustRightInd w:val="0"/>
              <w:spacing w:line="360" w:lineRule="auto"/>
              <w:ind w:right="326" w:rightChars="136"/>
              <w:jc w:val="center"/>
              <w:rPr>
                <w:szCs w:val="28"/>
              </w:rPr>
            </w:pPr>
          </w:p>
        </w:tc>
        <w:tc>
          <w:tcPr>
            <w:tcW w:w="1530" w:type="dxa"/>
            <w:gridSpan w:val="2"/>
            <w:vAlign w:val="center"/>
          </w:tcPr>
          <w:p w14:paraId="6405B7F7">
            <w:pPr>
              <w:wordWrap w:val="0"/>
              <w:autoSpaceDE w:val="0"/>
              <w:autoSpaceDN w:val="0"/>
              <w:adjustRightInd w:val="0"/>
              <w:spacing w:line="360" w:lineRule="auto"/>
              <w:ind w:right="2" w:rightChars="1"/>
              <w:jc w:val="center"/>
              <w:rPr>
                <w:szCs w:val="28"/>
              </w:rPr>
            </w:pPr>
            <w:r>
              <w:rPr>
                <w:rFonts w:hint="eastAsia"/>
                <w:szCs w:val="28"/>
              </w:rPr>
              <w:t>年    龄</w:t>
            </w:r>
          </w:p>
        </w:tc>
        <w:tc>
          <w:tcPr>
            <w:tcW w:w="1530" w:type="dxa"/>
            <w:gridSpan w:val="2"/>
            <w:vAlign w:val="center"/>
          </w:tcPr>
          <w:p w14:paraId="6B5FE6CB">
            <w:pPr>
              <w:wordWrap w:val="0"/>
              <w:autoSpaceDE w:val="0"/>
              <w:autoSpaceDN w:val="0"/>
              <w:adjustRightInd w:val="0"/>
              <w:spacing w:line="360" w:lineRule="auto"/>
              <w:ind w:right="326" w:rightChars="136"/>
              <w:jc w:val="center"/>
              <w:rPr>
                <w:szCs w:val="28"/>
              </w:rPr>
            </w:pPr>
          </w:p>
        </w:tc>
      </w:tr>
      <w:tr w14:paraId="597F1C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66166351">
            <w:pPr>
              <w:wordWrap w:val="0"/>
              <w:autoSpaceDE w:val="0"/>
              <w:autoSpaceDN w:val="0"/>
              <w:adjustRightInd w:val="0"/>
              <w:spacing w:line="360" w:lineRule="auto"/>
              <w:jc w:val="center"/>
              <w:rPr>
                <w:szCs w:val="28"/>
              </w:rPr>
            </w:pPr>
            <w:r>
              <w:rPr>
                <w:rFonts w:hint="eastAsia"/>
                <w:szCs w:val="28"/>
              </w:rPr>
              <w:t>职    务</w:t>
            </w:r>
          </w:p>
        </w:tc>
        <w:tc>
          <w:tcPr>
            <w:tcW w:w="1530" w:type="dxa"/>
            <w:gridSpan w:val="2"/>
            <w:vAlign w:val="center"/>
          </w:tcPr>
          <w:p w14:paraId="5B4E33A0">
            <w:pPr>
              <w:wordWrap w:val="0"/>
              <w:autoSpaceDE w:val="0"/>
              <w:autoSpaceDN w:val="0"/>
              <w:adjustRightInd w:val="0"/>
              <w:spacing w:line="360" w:lineRule="auto"/>
              <w:ind w:right="326" w:rightChars="136"/>
              <w:jc w:val="center"/>
              <w:rPr>
                <w:szCs w:val="28"/>
              </w:rPr>
            </w:pPr>
          </w:p>
        </w:tc>
        <w:tc>
          <w:tcPr>
            <w:tcW w:w="1530" w:type="dxa"/>
            <w:gridSpan w:val="2"/>
            <w:vAlign w:val="center"/>
          </w:tcPr>
          <w:p w14:paraId="1F2FCE40">
            <w:pPr>
              <w:wordWrap w:val="0"/>
              <w:autoSpaceDE w:val="0"/>
              <w:autoSpaceDN w:val="0"/>
              <w:adjustRightInd w:val="0"/>
              <w:spacing w:line="360" w:lineRule="auto"/>
              <w:ind w:right="-96" w:rightChars="-40"/>
              <w:jc w:val="center"/>
              <w:rPr>
                <w:szCs w:val="28"/>
              </w:rPr>
            </w:pPr>
            <w:r>
              <w:rPr>
                <w:rFonts w:hint="eastAsia"/>
                <w:szCs w:val="28"/>
              </w:rPr>
              <w:t>职    称</w:t>
            </w:r>
          </w:p>
        </w:tc>
        <w:tc>
          <w:tcPr>
            <w:tcW w:w="1530" w:type="dxa"/>
            <w:gridSpan w:val="2"/>
            <w:vAlign w:val="center"/>
          </w:tcPr>
          <w:p w14:paraId="6E9F7F75">
            <w:pPr>
              <w:wordWrap w:val="0"/>
              <w:autoSpaceDE w:val="0"/>
              <w:autoSpaceDN w:val="0"/>
              <w:adjustRightInd w:val="0"/>
              <w:spacing w:line="360" w:lineRule="auto"/>
              <w:ind w:right="326" w:rightChars="136"/>
              <w:jc w:val="center"/>
              <w:rPr>
                <w:szCs w:val="28"/>
              </w:rPr>
            </w:pPr>
          </w:p>
        </w:tc>
        <w:tc>
          <w:tcPr>
            <w:tcW w:w="1530" w:type="dxa"/>
            <w:gridSpan w:val="2"/>
            <w:vAlign w:val="center"/>
          </w:tcPr>
          <w:p w14:paraId="243F6A16">
            <w:pPr>
              <w:wordWrap w:val="0"/>
              <w:autoSpaceDE w:val="0"/>
              <w:autoSpaceDN w:val="0"/>
              <w:adjustRightInd w:val="0"/>
              <w:spacing w:line="360" w:lineRule="auto"/>
              <w:ind w:right="2" w:rightChars="1"/>
              <w:jc w:val="center"/>
              <w:rPr>
                <w:szCs w:val="28"/>
              </w:rPr>
            </w:pPr>
            <w:r>
              <w:rPr>
                <w:rFonts w:hint="eastAsia"/>
                <w:szCs w:val="28"/>
              </w:rPr>
              <w:t>学    历</w:t>
            </w:r>
          </w:p>
        </w:tc>
        <w:tc>
          <w:tcPr>
            <w:tcW w:w="1530" w:type="dxa"/>
            <w:gridSpan w:val="2"/>
            <w:vAlign w:val="center"/>
          </w:tcPr>
          <w:p w14:paraId="6D5645A8">
            <w:pPr>
              <w:wordWrap w:val="0"/>
              <w:autoSpaceDE w:val="0"/>
              <w:autoSpaceDN w:val="0"/>
              <w:adjustRightInd w:val="0"/>
              <w:spacing w:line="360" w:lineRule="auto"/>
              <w:ind w:right="2" w:rightChars="1"/>
              <w:jc w:val="center"/>
              <w:rPr>
                <w:szCs w:val="28"/>
              </w:rPr>
            </w:pPr>
          </w:p>
        </w:tc>
      </w:tr>
      <w:tr w14:paraId="558865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vAlign w:val="center"/>
          </w:tcPr>
          <w:p w14:paraId="286903A7">
            <w:pPr>
              <w:wordWrap w:val="0"/>
              <w:autoSpaceDE w:val="0"/>
              <w:autoSpaceDN w:val="0"/>
              <w:adjustRightInd w:val="0"/>
              <w:spacing w:line="360" w:lineRule="auto"/>
              <w:jc w:val="center"/>
              <w:rPr>
                <w:szCs w:val="28"/>
              </w:rPr>
            </w:pPr>
            <w:r>
              <w:rPr>
                <w:rFonts w:hint="eastAsia"/>
                <w:szCs w:val="28"/>
              </w:rPr>
              <w:t>参加工作</w:t>
            </w:r>
          </w:p>
          <w:p w14:paraId="266C322E">
            <w:pPr>
              <w:wordWrap w:val="0"/>
              <w:autoSpaceDE w:val="0"/>
              <w:autoSpaceDN w:val="0"/>
              <w:adjustRightInd w:val="0"/>
              <w:spacing w:line="360" w:lineRule="auto"/>
              <w:jc w:val="center"/>
              <w:rPr>
                <w:szCs w:val="28"/>
              </w:rPr>
            </w:pPr>
            <w:r>
              <w:rPr>
                <w:rFonts w:hint="eastAsia"/>
                <w:szCs w:val="28"/>
              </w:rPr>
              <w:t>时间</w:t>
            </w:r>
          </w:p>
        </w:tc>
        <w:tc>
          <w:tcPr>
            <w:tcW w:w="1530" w:type="dxa"/>
            <w:gridSpan w:val="2"/>
            <w:vAlign w:val="center"/>
          </w:tcPr>
          <w:p w14:paraId="5993DBE1">
            <w:pPr>
              <w:wordWrap w:val="0"/>
              <w:autoSpaceDE w:val="0"/>
              <w:autoSpaceDN w:val="0"/>
              <w:adjustRightInd w:val="0"/>
              <w:spacing w:line="360" w:lineRule="auto"/>
              <w:jc w:val="center"/>
              <w:rPr>
                <w:szCs w:val="28"/>
              </w:rPr>
            </w:pPr>
          </w:p>
        </w:tc>
        <w:tc>
          <w:tcPr>
            <w:tcW w:w="1530" w:type="dxa"/>
            <w:gridSpan w:val="2"/>
            <w:vAlign w:val="center"/>
          </w:tcPr>
          <w:p w14:paraId="353B0061">
            <w:pPr>
              <w:wordWrap w:val="0"/>
              <w:autoSpaceDE w:val="0"/>
              <w:autoSpaceDN w:val="0"/>
              <w:adjustRightInd w:val="0"/>
              <w:spacing w:line="360" w:lineRule="auto"/>
              <w:jc w:val="center"/>
              <w:rPr>
                <w:szCs w:val="28"/>
              </w:rPr>
            </w:pPr>
            <w:r>
              <w:rPr>
                <w:rFonts w:hint="eastAsia"/>
                <w:szCs w:val="28"/>
              </w:rPr>
              <w:t>从事本行业工作年限</w:t>
            </w:r>
          </w:p>
        </w:tc>
        <w:tc>
          <w:tcPr>
            <w:tcW w:w="1530" w:type="dxa"/>
            <w:gridSpan w:val="2"/>
            <w:vAlign w:val="center"/>
          </w:tcPr>
          <w:p w14:paraId="345EBAEA">
            <w:pPr>
              <w:wordWrap w:val="0"/>
              <w:autoSpaceDE w:val="0"/>
              <w:autoSpaceDN w:val="0"/>
              <w:adjustRightInd w:val="0"/>
              <w:spacing w:line="360" w:lineRule="auto"/>
              <w:jc w:val="center"/>
              <w:rPr>
                <w:szCs w:val="28"/>
              </w:rPr>
            </w:pPr>
          </w:p>
        </w:tc>
        <w:tc>
          <w:tcPr>
            <w:tcW w:w="1530" w:type="dxa"/>
            <w:gridSpan w:val="2"/>
            <w:vAlign w:val="center"/>
          </w:tcPr>
          <w:p w14:paraId="47663DC1">
            <w:pPr>
              <w:wordWrap w:val="0"/>
              <w:autoSpaceDE w:val="0"/>
              <w:autoSpaceDN w:val="0"/>
              <w:adjustRightInd w:val="0"/>
              <w:spacing w:line="360" w:lineRule="auto"/>
              <w:jc w:val="center"/>
              <w:rPr>
                <w:szCs w:val="28"/>
              </w:rPr>
            </w:pPr>
            <w:r>
              <w:rPr>
                <w:rFonts w:hint="eastAsia"/>
                <w:szCs w:val="28"/>
              </w:rPr>
              <w:t>个人专业资质及证书</w:t>
            </w:r>
          </w:p>
        </w:tc>
        <w:tc>
          <w:tcPr>
            <w:tcW w:w="1530" w:type="dxa"/>
            <w:gridSpan w:val="2"/>
            <w:vAlign w:val="center"/>
          </w:tcPr>
          <w:p w14:paraId="1771411C">
            <w:pPr>
              <w:wordWrap w:val="0"/>
              <w:autoSpaceDE w:val="0"/>
              <w:autoSpaceDN w:val="0"/>
              <w:adjustRightInd w:val="0"/>
              <w:spacing w:line="360" w:lineRule="auto"/>
              <w:jc w:val="center"/>
              <w:rPr>
                <w:szCs w:val="28"/>
              </w:rPr>
            </w:pPr>
          </w:p>
        </w:tc>
      </w:tr>
      <w:tr w14:paraId="07834F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1"/>
            <w:vAlign w:val="center"/>
          </w:tcPr>
          <w:p w14:paraId="0C1B7C45">
            <w:pPr>
              <w:wordWrap w:val="0"/>
              <w:autoSpaceDE w:val="0"/>
              <w:autoSpaceDN w:val="0"/>
              <w:adjustRightInd w:val="0"/>
              <w:spacing w:line="360" w:lineRule="auto"/>
              <w:ind w:right="326" w:rightChars="136"/>
              <w:jc w:val="center"/>
              <w:rPr>
                <w:szCs w:val="28"/>
              </w:rPr>
            </w:pPr>
            <w:r>
              <w:rPr>
                <w:rFonts w:hint="eastAsia"/>
                <w:szCs w:val="28"/>
              </w:rPr>
              <w:t>个人简介</w:t>
            </w:r>
          </w:p>
        </w:tc>
      </w:tr>
      <w:tr w14:paraId="55C818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1"/>
            <w:vAlign w:val="center"/>
          </w:tcPr>
          <w:p w14:paraId="0A23E66E">
            <w:pPr>
              <w:wordWrap w:val="0"/>
              <w:autoSpaceDE w:val="0"/>
              <w:autoSpaceDN w:val="0"/>
              <w:adjustRightInd w:val="0"/>
              <w:spacing w:line="360" w:lineRule="auto"/>
              <w:ind w:right="326" w:rightChars="136"/>
              <w:jc w:val="center"/>
              <w:rPr>
                <w:szCs w:val="28"/>
              </w:rPr>
            </w:pPr>
          </w:p>
        </w:tc>
      </w:tr>
      <w:tr w14:paraId="546BD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1"/>
            <w:vAlign w:val="center"/>
          </w:tcPr>
          <w:p w14:paraId="155DBEEA">
            <w:pPr>
              <w:wordWrap w:val="0"/>
              <w:autoSpaceDE w:val="0"/>
              <w:autoSpaceDN w:val="0"/>
              <w:adjustRightInd w:val="0"/>
              <w:spacing w:line="360" w:lineRule="auto"/>
              <w:ind w:right="326" w:rightChars="136"/>
              <w:jc w:val="center"/>
              <w:rPr>
                <w:b/>
                <w:szCs w:val="28"/>
              </w:rPr>
            </w:pPr>
            <w:r>
              <w:rPr>
                <w:rFonts w:hint="eastAsia"/>
                <w:b/>
                <w:szCs w:val="28"/>
              </w:rPr>
              <w:t>类似项目经验</w:t>
            </w:r>
          </w:p>
        </w:tc>
      </w:tr>
      <w:tr w14:paraId="5B5FF3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350054C4">
            <w:pPr>
              <w:wordWrap w:val="0"/>
              <w:autoSpaceDE w:val="0"/>
              <w:autoSpaceDN w:val="0"/>
              <w:adjustRightInd w:val="0"/>
              <w:spacing w:line="360" w:lineRule="auto"/>
              <w:ind w:right="-91" w:rightChars="-38"/>
              <w:jc w:val="center"/>
              <w:rPr>
                <w:szCs w:val="28"/>
              </w:rPr>
            </w:pPr>
            <w:r>
              <w:rPr>
                <w:rFonts w:hint="eastAsia"/>
                <w:szCs w:val="28"/>
              </w:rPr>
              <w:t>项目单位</w:t>
            </w:r>
          </w:p>
        </w:tc>
        <w:tc>
          <w:tcPr>
            <w:tcW w:w="1525" w:type="dxa"/>
            <w:gridSpan w:val="2"/>
            <w:vAlign w:val="center"/>
          </w:tcPr>
          <w:p w14:paraId="6F6C03DC">
            <w:pPr>
              <w:wordWrap w:val="0"/>
              <w:autoSpaceDE w:val="0"/>
              <w:autoSpaceDN w:val="0"/>
              <w:adjustRightInd w:val="0"/>
              <w:spacing w:line="360" w:lineRule="auto"/>
              <w:ind w:right="-91" w:rightChars="-38"/>
              <w:jc w:val="center"/>
              <w:rPr>
                <w:szCs w:val="28"/>
              </w:rPr>
            </w:pPr>
            <w:r>
              <w:rPr>
                <w:rFonts w:hint="eastAsia"/>
                <w:szCs w:val="28"/>
              </w:rPr>
              <w:t>项目名称</w:t>
            </w:r>
          </w:p>
        </w:tc>
        <w:tc>
          <w:tcPr>
            <w:tcW w:w="1525" w:type="dxa"/>
            <w:gridSpan w:val="2"/>
            <w:tcBorders>
              <w:right w:val="single" w:color="auto" w:sz="4" w:space="0"/>
            </w:tcBorders>
            <w:vAlign w:val="center"/>
          </w:tcPr>
          <w:p w14:paraId="0D687822">
            <w:pPr>
              <w:wordWrap w:val="0"/>
              <w:autoSpaceDE w:val="0"/>
              <w:autoSpaceDN w:val="0"/>
              <w:adjustRightInd w:val="0"/>
              <w:spacing w:line="360" w:lineRule="auto"/>
              <w:ind w:right="-91" w:rightChars="-38"/>
              <w:jc w:val="center"/>
              <w:rPr>
                <w:szCs w:val="28"/>
              </w:rPr>
            </w:pPr>
            <w:r>
              <w:rPr>
                <w:rFonts w:hint="eastAsia"/>
                <w:szCs w:val="28"/>
              </w:rPr>
              <w:t>项目内容</w:t>
            </w:r>
          </w:p>
        </w:tc>
        <w:tc>
          <w:tcPr>
            <w:tcW w:w="1525" w:type="dxa"/>
            <w:gridSpan w:val="2"/>
            <w:tcBorders>
              <w:left w:val="single" w:color="auto" w:sz="4" w:space="0"/>
            </w:tcBorders>
            <w:vAlign w:val="center"/>
          </w:tcPr>
          <w:p w14:paraId="1BD3295A">
            <w:pPr>
              <w:wordWrap w:val="0"/>
              <w:autoSpaceDE w:val="0"/>
              <w:autoSpaceDN w:val="0"/>
              <w:adjustRightInd w:val="0"/>
              <w:spacing w:line="360" w:lineRule="auto"/>
              <w:ind w:right="-91" w:rightChars="-38"/>
              <w:jc w:val="center"/>
              <w:rPr>
                <w:szCs w:val="28"/>
              </w:rPr>
            </w:pPr>
            <w:r>
              <w:rPr>
                <w:rFonts w:hint="eastAsia"/>
                <w:szCs w:val="24"/>
              </w:rPr>
              <w:t>承担的工作</w:t>
            </w:r>
          </w:p>
        </w:tc>
        <w:tc>
          <w:tcPr>
            <w:tcW w:w="1538" w:type="dxa"/>
            <w:gridSpan w:val="2"/>
            <w:vAlign w:val="center"/>
          </w:tcPr>
          <w:p w14:paraId="184A055D">
            <w:pPr>
              <w:wordWrap w:val="0"/>
              <w:autoSpaceDE w:val="0"/>
              <w:autoSpaceDN w:val="0"/>
              <w:adjustRightInd w:val="0"/>
              <w:spacing w:line="360" w:lineRule="auto"/>
              <w:ind w:right="-91" w:rightChars="-38"/>
              <w:jc w:val="center"/>
              <w:rPr>
                <w:szCs w:val="28"/>
              </w:rPr>
            </w:pPr>
            <w:r>
              <w:rPr>
                <w:rFonts w:hint="eastAsia"/>
                <w:szCs w:val="28"/>
              </w:rPr>
              <w:t>项目金额</w:t>
            </w:r>
          </w:p>
        </w:tc>
        <w:tc>
          <w:tcPr>
            <w:tcW w:w="1337" w:type="dxa"/>
            <w:vAlign w:val="center"/>
          </w:tcPr>
          <w:p w14:paraId="045036EA">
            <w:pPr>
              <w:wordWrap w:val="0"/>
              <w:autoSpaceDE w:val="0"/>
              <w:autoSpaceDN w:val="0"/>
              <w:adjustRightInd w:val="0"/>
              <w:spacing w:line="360" w:lineRule="auto"/>
              <w:ind w:right="-91" w:rightChars="-38"/>
              <w:jc w:val="center"/>
              <w:rPr>
                <w:szCs w:val="28"/>
              </w:rPr>
            </w:pPr>
            <w:r>
              <w:rPr>
                <w:rFonts w:hint="eastAsia"/>
                <w:szCs w:val="28"/>
              </w:rPr>
              <w:t>项目时间</w:t>
            </w:r>
          </w:p>
        </w:tc>
      </w:tr>
      <w:tr w14:paraId="70E3B7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30ACED66">
            <w:pPr>
              <w:wordWrap w:val="0"/>
              <w:autoSpaceDE w:val="0"/>
              <w:autoSpaceDN w:val="0"/>
              <w:adjustRightInd w:val="0"/>
              <w:spacing w:line="360" w:lineRule="auto"/>
              <w:ind w:right="-91" w:rightChars="-38"/>
              <w:jc w:val="center"/>
              <w:rPr>
                <w:szCs w:val="28"/>
              </w:rPr>
            </w:pPr>
          </w:p>
        </w:tc>
        <w:tc>
          <w:tcPr>
            <w:tcW w:w="1525" w:type="dxa"/>
            <w:gridSpan w:val="2"/>
            <w:vAlign w:val="center"/>
          </w:tcPr>
          <w:p w14:paraId="4B6A31AD">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07D5C5F6">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65665E4E">
            <w:pPr>
              <w:wordWrap w:val="0"/>
              <w:autoSpaceDE w:val="0"/>
              <w:autoSpaceDN w:val="0"/>
              <w:adjustRightInd w:val="0"/>
              <w:spacing w:line="360" w:lineRule="auto"/>
              <w:ind w:right="-91" w:rightChars="-38"/>
              <w:jc w:val="center"/>
              <w:rPr>
                <w:szCs w:val="28"/>
              </w:rPr>
            </w:pPr>
          </w:p>
        </w:tc>
        <w:tc>
          <w:tcPr>
            <w:tcW w:w="1538" w:type="dxa"/>
            <w:gridSpan w:val="2"/>
            <w:vAlign w:val="center"/>
          </w:tcPr>
          <w:p w14:paraId="488C59D6">
            <w:pPr>
              <w:wordWrap w:val="0"/>
              <w:autoSpaceDE w:val="0"/>
              <w:autoSpaceDN w:val="0"/>
              <w:adjustRightInd w:val="0"/>
              <w:spacing w:line="360" w:lineRule="auto"/>
              <w:ind w:right="-91" w:rightChars="-38"/>
              <w:jc w:val="center"/>
              <w:rPr>
                <w:szCs w:val="28"/>
              </w:rPr>
            </w:pPr>
          </w:p>
        </w:tc>
        <w:tc>
          <w:tcPr>
            <w:tcW w:w="1337" w:type="dxa"/>
            <w:vAlign w:val="center"/>
          </w:tcPr>
          <w:p w14:paraId="42F4D39A">
            <w:pPr>
              <w:wordWrap w:val="0"/>
              <w:autoSpaceDE w:val="0"/>
              <w:autoSpaceDN w:val="0"/>
              <w:adjustRightInd w:val="0"/>
              <w:spacing w:line="360" w:lineRule="auto"/>
              <w:ind w:right="-91" w:rightChars="-38"/>
              <w:jc w:val="center"/>
              <w:rPr>
                <w:szCs w:val="28"/>
              </w:rPr>
            </w:pPr>
          </w:p>
        </w:tc>
      </w:tr>
      <w:tr w14:paraId="5FD4DE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6BAAFD79">
            <w:pPr>
              <w:wordWrap w:val="0"/>
              <w:autoSpaceDE w:val="0"/>
              <w:autoSpaceDN w:val="0"/>
              <w:adjustRightInd w:val="0"/>
              <w:spacing w:line="360" w:lineRule="auto"/>
              <w:ind w:right="-91" w:rightChars="-38"/>
              <w:jc w:val="center"/>
              <w:rPr>
                <w:szCs w:val="28"/>
              </w:rPr>
            </w:pPr>
          </w:p>
        </w:tc>
        <w:tc>
          <w:tcPr>
            <w:tcW w:w="1525" w:type="dxa"/>
            <w:gridSpan w:val="2"/>
            <w:vAlign w:val="center"/>
          </w:tcPr>
          <w:p w14:paraId="0E506ACE">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075D0265">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7F97C4FE">
            <w:pPr>
              <w:wordWrap w:val="0"/>
              <w:autoSpaceDE w:val="0"/>
              <w:autoSpaceDN w:val="0"/>
              <w:adjustRightInd w:val="0"/>
              <w:spacing w:line="360" w:lineRule="auto"/>
              <w:ind w:right="-91" w:rightChars="-38"/>
              <w:jc w:val="center"/>
              <w:rPr>
                <w:szCs w:val="28"/>
              </w:rPr>
            </w:pPr>
          </w:p>
        </w:tc>
        <w:tc>
          <w:tcPr>
            <w:tcW w:w="1538" w:type="dxa"/>
            <w:gridSpan w:val="2"/>
            <w:vAlign w:val="center"/>
          </w:tcPr>
          <w:p w14:paraId="1311906C">
            <w:pPr>
              <w:wordWrap w:val="0"/>
              <w:autoSpaceDE w:val="0"/>
              <w:autoSpaceDN w:val="0"/>
              <w:adjustRightInd w:val="0"/>
              <w:spacing w:line="360" w:lineRule="auto"/>
              <w:ind w:right="-91" w:rightChars="-38"/>
              <w:jc w:val="center"/>
              <w:rPr>
                <w:szCs w:val="28"/>
              </w:rPr>
            </w:pPr>
          </w:p>
        </w:tc>
        <w:tc>
          <w:tcPr>
            <w:tcW w:w="1337" w:type="dxa"/>
            <w:vAlign w:val="center"/>
          </w:tcPr>
          <w:p w14:paraId="5E82B8F7">
            <w:pPr>
              <w:wordWrap w:val="0"/>
              <w:autoSpaceDE w:val="0"/>
              <w:autoSpaceDN w:val="0"/>
              <w:adjustRightInd w:val="0"/>
              <w:spacing w:line="360" w:lineRule="auto"/>
              <w:ind w:right="-91" w:rightChars="-38"/>
              <w:jc w:val="center"/>
              <w:rPr>
                <w:szCs w:val="28"/>
              </w:rPr>
            </w:pPr>
          </w:p>
        </w:tc>
      </w:tr>
      <w:tr w14:paraId="05BD23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3CBDB185">
            <w:pPr>
              <w:wordWrap w:val="0"/>
              <w:autoSpaceDE w:val="0"/>
              <w:autoSpaceDN w:val="0"/>
              <w:adjustRightInd w:val="0"/>
              <w:spacing w:line="360" w:lineRule="auto"/>
              <w:ind w:right="-91" w:rightChars="-38"/>
              <w:jc w:val="center"/>
              <w:rPr>
                <w:szCs w:val="28"/>
              </w:rPr>
            </w:pPr>
          </w:p>
        </w:tc>
        <w:tc>
          <w:tcPr>
            <w:tcW w:w="1525" w:type="dxa"/>
            <w:gridSpan w:val="2"/>
            <w:vAlign w:val="center"/>
          </w:tcPr>
          <w:p w14:paraId="32D9846E">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629F4EA6">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6A2B2433">
            <w:pPr>
              <w:wordWrap w:val="0"/>
              <w:autoSpaceDE w:val="0"/>
              <w:autoSpaceDN w:val="0"/>
              <w:adjustRightInd w:val="0"/>
              <w:spacing w:line="360" w:lineRule="auto"/>
              <w:ind w:right="-91" w:rightChars="-38"/>
              <w:jc w:val="center"/>
              <w:rPr>
                <w:szCs w:val="28"/>
              </w:rPr>
            </w:pPr>
          </w:p>
        </w:tc>
        <w:tc>
          <w:tcPr>
            <w:tcW w:w="1538" w:type="dxa"/>
            <w:gridSpan w:val="2"/>
            <w:vAlign w:val="center"/>
          </w:tcPr>
          <w:p w14:paraId="4C0D5F2F">
            <w:pPr>
              <w:wordWrap w:val="0"/>
              <w:autoSpaceDE w:val="0"/>
              <w:autoSpaceDN w:val="0"/>
              <w:adjustRightInd w:val="0"/>
              <w:spacing w:line="360" w:lineRule="auto"/>
              <w:ind w:right="-91" w:rightChars="-38"/>
              <w:jc w:val="center"/>
              <w:rPr>
                <w:szCs w:val="28"/>
              </w:rPr>
            </w:pPr>
          </w:p>
        </w:tc>
        <w:tc>
          <w:tcPr>
            <w:tcW w:w="1337" w:type="dxa"/>
            <w:vAlign w:val="center"/>
          </w:tcPr>
          <w:p w14:paraId="4A23FB40">
            <w:pPr>
              <w:wordWrap w:val="0"/>
              <w:autoSpaceDE w:val="0"/>
              <w:autoSpaceDN w:val="0"/>
              <w:adjustRightInd w:val="0"/>
              <w:spacing w:line="360" w:lineRule="auto"/>
              <w:ind w:right="-91" w:rightChars="-38"/>
              <w:jc w:val="center"/>
              <w:rPr>
                <w:szCs w:val="28"/>
              </w:rPr>
            </w:pPr>
          </w:p>
        </w:tc>
      </w:tr>
      <w:tr w14:paraId="71A927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77FD985A">
            <w:pPr>
              <w:wordWrap w:val="0"/>
              <w:autoSpaceDE w:val="0"/>
              <w:autoSpaceDN w:val="0"/>
              <w:adjustRightInd w:val="0"/>
              <w:spacing w:line="360" w:lineRule="auto"/>
              <w:ind w:right="-91" w:rightChars="-38"/>
              <w:jc w:val="center"/>
              <w:rPr>
                <w:szCs w:val="28"/>
              </w:rPr>
            </w:pPr>
          </w:p>
        </w:tc>
        <w:tc>
          <w:tcPr>
            <w:tcW w:w="1525" w:type="dxa"/>
            <w:gridSpan w:val="2"/>
            <w:vAlign w:val="center"/>
          </w:tcPr>
          <w:p w14:paraId="5A0F4B0F">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028FA2F9">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016B4C08">
            <w:pPr>
              <w:wordWrap w:val="0"/>
              <w:autoSpaceDE w:val="0"/>
              <w:autoSpaceDN w:val="0"/>
              <w:adjustRightInd w:val="0"/>
              <w:spacing w:line="360" w:lineRule="auto"/>
              <w:ind w:right="-91" w:rightChars="-38"/>
              <w:jc w:val="center"/>
              <w:rPr>
                <w:szCs w:val="28"/>
              </w:rPr>
            </w:pPr>
          </w:p>
        </w:tc>
        <w:tc>
          <w:tcPr>
            <w:tcW w:w="1538" w:type="dxa"/>
            <w:gridSpan w:val="2"/>
            <w:vAlign w:val="center"/>
          </w:tcPr>
          <w:p w14:paraId="6E513B0A">
            <w:pPr>
              <w:wordWrap w:val="0"/>
              <w:autoSpaceDE w:val="0"/>
              <w:autoSpaceDN w:val="0"/>
              <w:adjustRightInd w:val="0"/>
              <w:spacing w:line="360" w:lineRule="auto"/>
              <w:ind w:right="-91" w:rightChars="-38"/>
              <w:jc w:val="center"/>
              <w:rPr>
                <w:szCs w:val="28"/>
              </w:rPr>
            </w:pPr>
          </w:p>
        </w:tc>
        <w:tc>
          <w:tcPr>
            <w:tcW w:w="1337" w:type="dxa"/>
            <w:vAlign w:val="center"/>
          </w:tcPr>
          <w:p w14:paraId="56718A8F">
            <w:pPr>
              <w:wordWrap w:val="0"/>
              <w:autoSpaceDE w:val="0"/>
              <w:autoSpaceDN w:val="0"/>
              <w:adjustRightInd w:val="0"/>
              <w:spacing w:line="360" w:lineRule="auto"/>
              <w:ind w:right="-91" w:rightChars="-38"/>
              <w:jc w:val="center"/>
              <w:rPr>
                <w:szCs w:val="28"/>
              </w:rPr>
            </w:pPr>
          </w:p>
        </w:tc>
      </w:tr>
      <w:tr w14:paraId="2A5419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124D8A50">
            <w:pPr>
              <w:wordWrap w:val="0"/>
              <w:autoSpaceDE w:val="0"/>
              <w:autoSpaceDN w:val="0"/>
              <w:adjustRightInd w:val="0"/>
              <w:spacing w:line="360" w:lineRule="auto"/>
              <w:ind w:right="-91" w:rightChars="-38"/>
              <w:jc w:val="center"/>
              <w:rPr>
                <w:szCs w:val="28"/>
              </w:rPr>
            </w:pPr>
          </w:p>
        </w:tc>
        <w:tc>
          <w:tcPr>
            <w:tcW w:w="1525" w:type="dxa"/>
            <w:gridSpan w:val="2"/>
            <w:vAlign w:val="center"/>
          </w:tcPr>
          <w:p w14:paraId="185E219A">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5971CDAD">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75F2F7AA">
            <w:pPr>
              <w:wordWrap w:val="0"/>
              <w:autoSpaceDE w:val="0"/>
              <w:autoSpaceDN w:val="0"/>
              <w:adjustRightInd w:val="0"/>
              <w:spacing w:line="360" w:lineRule="auto"/>
              <w:ind w:right="-91" w:rightChars="-38"/>
              <w:jc w:val="center"/>
              <w:rPr>
                <w:szCs w:val="28"/>
              </w:rPr>
            </w:pPr>
          </w:p>
        </w:tc>
        <w:tc>
          <w:tcPr>
            <w:tcW w:w="1538" w:type="dxa"/>
            <w:gridSpan w:val="2"/>
            <w:vAlign w:val="center"/>
          </w:tcPr>
          <w:p w14:paraId="1F0911B7">
            <w:pPr>
              <w:wordWrap w:val="0"/>
              <w:autoSpaceDE w:val="0"/>
              <w:autoSpaceDN w:val="0"/>
              <w:adjustRightInd w:val="0"/>
              <w:spacing w:line="360" w:lineRule="auto"/>
              <w:ind w:right="-91" w:rightChars="-38"/>
              <w:jc w:val="center"/>
              <w:rPr>
                <w:szCs w:val="28"/>
              </w:rPr>
            </w:pPr>
          </w:p>
        </w:tc>
        <w:tc>
          <w:tcPr>
            <w:tcW w:w="1337" w:type="dxa"/>
            <w:vAlign w:val="center"/>
          </w:tcPr>
          <w:p w14:paraId="20A5D1CE">
            <w:pPr>
              <w:wordWrap w:val="0"/>
              <w:autoSpaceDE w:val="0"/>
              <w:autoSpaceDN w:val="0"/>
              <w:adjustRightInd w:val="0"/>
              <w:spacing w:line="360" w:lineRule="auto"/>
              <w:ind w:right="-91" w:rightChars="-38"/>
              <w:jc w:val="center"/>
              <w:rPr>
                <w:szCs w:val="28"/>
              </w:rPr>
            </w:pPr>
          </w:p>
        </w:tc>
      </w:tr>
    </w:tbl>
    <w:p w14:paraId="37889E80">
      <w:pPr>
        <w:wordWrap w:val="0"/>
        <w:spacing w:line="360" w:lineRule="auto"/>
        <w:ind w:left="723" w:hanging="723" w:hangingChars="300"/>
        <w:jc w:val="left"/>
        <w:rPr>
          <w:szCs w:val="24"/>
          <w:lang w:val="zh-CN"/>
        </w:rPr>
      </w:pPr>
      <w:r>
        <w:rPr>
          <w:rFonts w:hint="eastAsia"/>
          <w:b/>
          <w:szCs w:val="24"/>
          <w:lang w:val="zh-CN"/>
        </w:rPr>
        <w:t>说明：</w:t>
      </w:r>
      <w:r>
        <w:rPr>
          <w:rFonts w:hint="eastAsia"/>
          <w:szCs w:val="24"/>
          <w:lang w:val="zh-CN"/>
        </w:rPr>
        <w:t>应附完整的相关证明材料清晰影印件，未按照要求详细完整填写此表，导致的后果由供应商自行承担。</w:t>
      </w:r>
    </w:p>
    <w:p w14:paraId="2FB16FEC">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17835011">
      <w:pPr>
        <w:wordWrap w:val="0"/>
        <w:spacing w:before="100" w:beforeAutospacing="1" w:after="100" w:afterAutospacing="1" w:line="360" w:lineRule="auto"/>
        <w:ind w:firstLine="3316" w:firstLineChars="1382"/>
      </w:pPr>
      <w:r>
        <w:rPr>
          <w:rFonts w:hint="eastAsia"/>
          <w:szCs w:val="24"/>
        </w:rPr>
        <w:t>日   期：</w:t>
      </w:r>
      <w:r>
        <w:rPr>
          <w:rFonts w:hint="eastAsia"/>
          <w:bCs/>
          <w:u w:val="single"/>
        </w:rPr>
        <w:t xml:space="preserve">                               </w:t>
      </w:r>
    </w:p>
    <w:p w14:paraId="7E6A0AEA">
      <w:pPr>
        <w:pStyle w:val="4"/>
        <w:numPr>
          <w:ilvl w:val="0"/>
          <w:numId w:val="60"/>
        </w:numPr>
        <w:wordWrap w:val="0"/>
        <w:spacing w:before="40" w:after="40" w:line="360" w:lineRule="auto"/>
        <w:ind w:left="1285" w:hanging="1285" w:hangingChars="400"/>
        <w:jc w:val="left"/>
        <w:rPr>
          <w:rFonts w:ascii="宋体" w:hAnsi="宋体" w:eastAsia="宋体" w:cs="Times New Roman"/>
          <w:bCs w:val="0"/>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14:paraId="78D62DBE">
      <w:pPr>
        <w:pStyle w:val="4"/>
        <w:numPr>
          <w:ilvl w:val="0"/>
          <w:numId w:val="50"/>
        </w:numPr>
        <w:tabs>
          <w:tab w:val="left" w:pos="567"/>
        </w:tabs>
        <w:spacing w:before="0" w:after="0" w:line="360" w:lineRule="auto"/>
        <w:ind w:left="482" w:hanging="480" w:hangingChars="200"/>
        <w:jc w:val="left"/>
        <w:rPr>
          <w:rFonts w:ascii="宋体" w:hAnsi="宋体" w:eastAsia="宋体"/>
          <w:sz w:val="24"/>
          <w:szCs w:val="24"/>
        </w:rPr>
      </w:pPr>
      <w:bookmarkStart w:id="531" w:name="_Toc117244511"/>
      <w:bookmarkStart w:id="532" w:name="_Toc107561315"/>
      <w:bookmarkStart w:id="533" w:name="_Toc117244396"/>
      <w:bookmarkStart w:id="534" w:name="_Toc122527565"/>
      <w:r>
        <w:rPr>
          <w:rFonts w:hint="eastAsia" w:ascii="宋体" w:hAnsi="宋体" w:eastAsia="宋体"/>
          <w:sz w:val="24"/>
          <w:szCs w:val="24"/>
        </w:rPr>
        <w:t>项目班子成员情况表</w:t>
      </w:r>
      <w:bookmarkEnd w:id="531"/>
      <w:bookmarkEnd w:id="532"/>
      <w:bookmarkEnd w:id="533"/>
      <w:bookmarkEnd w:id="534"/>
    </w:p>
    <w:p w14:paraId="595A3CC0">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14:paraId="642A49FC">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0"/>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14:paraId="21D2F5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9" w:hRule="atLeast"/>
          <w:jc w:val="center"/>
        </w:trPr>
        <w:tc>
          <w:tcPr>
            <w:tcW w:w="588" w:type="dxa"/>
            <w:shd w:val="pct10" w:color="C3BD96" w:themeColor="background2" w:themeShade="BF" w:fill="DDD9C4" w:themeFill="background2" w:themeFillShade="E6"/>
            <w:vAlign w:val="center"/>
          </w:tcPr>
          <w:p w14:paraId="14FCE8C2">
            <w:pPr>
              <w:wordWrap w:val="0"/>
              <w:spacing w:before="100" w:beforeAutospacing="1" w:after="100" w:afterAutospacing="1" w:line="360" w:lineRule="auto"/>
              <w:ind w:left="-120" w:leftChars="-50" w:right="-120" w:rightChars="-50"/>
              <w:jc w:val="center"/>
              <w:rPr>
                <w:b/>
                <w:szCs w:val="24"/>
              </w:rPr>
            </w:pPr>
            <w:r>
              <w:rPr>
                <w:rFonts w:hint="eastAsia" w:cs="仿宋_GB2312"/>
                <w:b/>
                <w:szCs w:val="24"/>
              </w:rPr>
              <w:t>序号</w:t>
            </w:r>
          </w:p>
        </w:tc>
        <w:tc>
          <w:tcPr>
            <w:tcW w:w="1113" w:type="dxa"/>
            <w:shd w:val="pct10" w:color="C3BD96" w:themeColor="background2" w:themeShade="BF" w:fill="DDD9C4" w:themeFill="background2" w:themeFillShade="E6"/>
            <w:vAlign w:val="center"/>
          </w:tcPr>
          <w:p w14:paraId="315ACA2A">
            <w:pPr>
              <w:wordWrap w:val="0"/>
              <w:spacing w:before="100" w:beforeAutospacing="1" w:after="100" w:afterAutospacing="1" w:line="360" w:lineRule="auto"/>
              <w:jc w:val="center"/>
              <w:rPr>
                <w:b/>
                <w:szCs w:val="24"/>
              </w:rPr>
            </w:pPr>
            <w:r>
              <w:rPr>
                <w:rFonts w:hint="eastAsia"/>
                <w:b/>
                <w:szCs w:val="24"/>
              </w:rPr>
              <w:t>姓 名</w:t>
            </w:r>
          </w:p>
        </w:tc>
        <w:tc>
          <w:tcPr>
            <w:tcW w:w="1533" w:type="dxa"/>
            <w:shd w:val="pct10" w:color="C3BD96" w:themeColor="background2" w:themeShade="BF" w:fill="DDD9C4" w:themeFill="background2" w:themeFillShade="E6"/>
            <w:vAlign w:val="center"/>
          </w:tcPr>
          <w:p w14:paraId="63C2F348">
            <w:pPr>
              <w:wordWrap w:val="0"/>
              <w:spacing w:before="100" w:beforeAutospacing="1" w:after="100" w:afterAutospacing="1" w:line="360" w:lineRule="auto"/>
              <w:jc w:val="center"/>
              <w:rPr>
                <w:b/>
                <w:szCs w:val="24"/>
              </w:rPr>
            </w:pPr>
            <w:r>
              <w:rPr>
                <w:rFonts w:hint="eastAsia"/>
                <w:b/>
                <w:szCs w:val="24"/>
              </w:rPr>
              <w:t>专 业</w:t>
            </w:r>
          </w:p>
        </w:tc>
        <w:tc>
          <w:tcPr>
            <w:tcW w:w="1134" w:type="dxa"/>
            <w:shd w:val="pct10" w:color="C3BD96" w:themeColor="background2" w:themeShade="BF" w:fill="DDD9C4" w:themeFill="background2" w:themeFillShade="E6"/>
            <w:vAlign w:val="center"/>
          </w:tcPr>
          <w:p w14:paraId="24EBE2EC">
            <w:pPr>
              <w:wordWrap w:val="0"/>
              <w:spacing w:before="100" w:beforeAutospacing="1" w:after="100" w:afterAutospacing="1" w:line="360" w:lineRule="auto"/>
              <w:jc w:val="center"/>
              <w:rPr>
                <w:b/>
                <w:szCs w:val="24"/>
              </w:rPr>
            </w:pPr>
            <w:r>
              <w:rPr>
                <w:rFonts w:hint="eastAsia"/>
                <w:b/>
                <w:szCs w:val="24"/>
              </w:rPr>
              <w:t>年 龄</w:t>
            </w:r>
          </w:p>
        </w:tc>
        <w:tc>
          <w:tcPr>
            <w:tcW w:w="1491" w:type="dxa"/>
            <w:shd w:val="pct10" w:color="C3BD96" w:themeColor="background2" w:themeShade="BF" w:fill="DDD9C4" w:themeFill="background2" w:themeFillShade="E6"/>
            <w:vAlign w:val="center"/>
          </w:tcPr>
          <w:p w14:paraId="74211A57">
            <w:pPr>
              <w:wordWrap w:val="0"/>
              <w:spacing w:before="100" w:beforeAutospacing="1" w:after="100" w:afterAutospacing="1" w:line="360" w:lineRule="auto"/>
              <w:jc w:val="center"/>
              <w:rPr>
                <w:b/>
                <w:szCs w:val="24"/>
              </w:rPr>
            </w:pPr>
            <w:r>
              <w:rPr>
                <w:rFonts w:hint="eastAsia"/>
                <w:b/>
                <w:szCs w:val="28"/>
              </w:rPr>
              <w:t>从事本行业工作年限</w:t>
            </w:r>
          </w:p>
        </w:tc>
        <w:tc>
          <w:tcPr>
            <w:tcW w:w="1843" w:type="dxa"/>
            <w:shd w:val="pct10" w:color="C3BD96" w:themeColor="background2" w:themeShade="BF" w:fill="DDD9C4" w:themeFill="background2" w:themeFillShade="E6"/>
            <w:vAlign w:val="center"/>
          </w:tcPr>
          <w:p w14:paraId="4F1038FC">
            <w:pPr>
              <w:wordWrap w:val="0"/>
              <w:spacing w:before="100" w:beforeAutospacing="1" w:after="100" w:afterAutospacing="1" w:line="360" w:lineRule="auto"/>
              <w:jc w:val="center"/>
              <w:rPr>
                <w:b/>
                <w:szCs w:val="24"/>
              </w:rPr>
            </w:pPr>
            <w:r>
              <w:rPr>
                <w:rFonts w:hint="eastAsia"/>
                <w:b/>
                <w:szCs w:val="24"/>
              </w:rPr>
              <w:t>在本项目中承担的工作</w:t>
            </w:r>
          </w:p>
        </w:tc>
        <w:tc>
          <w:tcPr>
            <w:tcW w:w="1842" w:type="dxa"/>
            <w:shd w:val="pct10" w:color="C3BD96" w:themeColor="background2" w:themeShade="BF" w:fill="DDD9C4" w:themeFill="background2" w:themeFillShade="E6"/>
            <w:vAlign w:val="center"/>
          </w:tcPr>
          <w:p w14:paraId="6258EE59">
            <w:pPr>
              <w:wordWrap w:val="0"/>
              <w:spacing w:before="100" w:beforeAutospacing="1" w:after="100" w:afterAutospacing="1" w:line="360" w:lineRule="auto"/>
              <w:jc w:val="center"/>
              <w:rPr>
                <w:b/>
                <w:szCs w:val="24"/>
              </w:rPr>
            </w:pPr>
            <w:r>
              <w:rPr>
                <w:rFonts w:hint="eastAsia"/>
                <w:b/>
                <w:szCs w:val="28"/>
              </w:rPr>
              <w:t>个人专业资质及证书</w:t>
            </w:r>
          </w:p>
        </w:tc>
      </w:tr>
      <w:tr w14:paraId="479A9E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6DB42B0F">
            <w:pPr>
              <w:numPr>
                <w:ilvl w:val="0"/>
                <w:numId w:val="67"/>
              </w:numPr>
              <w:tabs>
                <w:tab w:val="left" w:pos="61"/>
              </w:tabs>
              <w:wordWrap w:val="0"/>
              <w:adjustRightInd w:val="0"/>
              <w:snapToGrid w:val="0"/>
              <w:spacing w:line="360" w:lineRule="auto"/>
              <w:ind w:left="-72" w:leftChars="-30" w:firstLine="0"/>
              <w:jc w:val="center"/>
            </w:pPr>
          </w:p>
        </w:tc>
        <w:tc>
          <w:tcPr>
            <w:tcW w:w="1113" w:type="dxa"/>
            <w:vAlign w:val="center"/>
          </w:tcPr>
          <w:p w14:paraId="74B5CAF3">
            <w:pPr>
              <w:wordWrap w:val="0"/>
              <w:spacing w:line="360" w:lineRule="auto"/>
              <w:jc w:val="center"/>
              <w:rPr>
                <w:szCs w:val="24"/>
              </w:rPr>
            </w:pPr>
          </w:p>
        </w:tc>
        <w:tc>
          <w:tcPr>
            <w:tcW w:w="1533" w:type="dxa"/>
            <w:vAlign w:val="center"/>
          </w:tcPr>
          <w:p w14:paraId="133CBF03">
            <w:pPr>
              <w:wordWrap w:val="0"/>
              <w:spacing w:line="360" w:lineRule="auto"/>
              <w:jc w:val="center"/>
              <w:rPr>
                <w:szCs w:val="24"/>
              </w:rPr>
            </w:pPr>
          </w:p>
        </w:tc>
        <w:tc>
          <w:tcPr>
            <w:tcW w:w="1134" w:type="dxa"/>
            <w:vAlign w:val="center"/>
          </w:tcPr>
          <w:p w14:paraId="14DD046C">
            <w:pPr>
              <w:wordWrap w:val="0"/>
              <w:spacing w:line="360" w:lineRule="auto"/>
              <w:jc w:val="center"/>
              <w:rPr>
                <w:szCs w:val="24"/>
              </w:rPr>
            </w:pPr>
          </w:p>
        </w:tc>
        <w:tc>
          <w:tcPr>
            <w:tcW w:w="1491" w:type="dxa"/>
            <w:vAlign w:val="center"/>
          </w:tcPr>
          <w:p w14:paraId="0C039E3D">
            <w:pPr>
              <w:wordWrap w:val="0"/>
              <w:spacing w:line="360" w:lineRule="auto"/>
              <w:jc w:val="center"/>
              <w:rPr>
                <w:szCs w:val="24"/>
              </w:rPr>
            </w:pPr>
          </w:p>
        </w:tc>
        <w:tc>
          <w:tcPr>
            <w:tcW w:w="1843" w:type="dxa"/>
            <w:vAlign w:val="center"/>
          </w:tcPr>
          <w:p w14:paraId="47EF696D">
            <w:pPr>
              <w:wordWrap w:val="0"/>
              <w:spacing w:line="360" w:lineRule="auto"/>
              <w:jc w:val="center"/>
              <w:rPr>
                <w:szCs w:val="24"/>
              </w:rPr>
            </w:pPr>
          </w:p>
        </w:tc>
        <w:tc>
          <w:tcPr>
            <w:tcW w:w="1842" w:type="dxa"/>
            <w:vAlign w:val="center"/>
          </w:tcPr>
          <w:p w14:paraId="3D9C2E95">
            <w:pPr>
              <w:wordWrap w:val="0"/>
              <w:spacing w:line="360" w:lineRule="auto"/>
              <w:jc w:val="center"/>
              <w:rPr>
                <w:szCs w:val="24"/>
              </w:rPr>
            </w:pPr>
          </w:p>
        </w:tc>
      </w:tr>
      <w:tr w14:paraId="7BDD21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3C790BCC">
            <w:pPr>
              <w:numPr>
                <w:ilvl w:val="0"/>
                <w:numId w:val="67"/>
              </w:numPr>
              <w:tabs>
                <w:tab w:val="left" w:pos="61"/>
              </w:tabs>
              <w:wordWrap w:val="0"/>
              <w:adjustRightInd w:val="0"/>
              <w:snapToGrid w:val="0"/>
              <w:spacing w:line="360" w:lineRule="auto"/>
              <w:ind w:left="-72" w:leftChars="-30" w:firstLine="0"/>
              <w:jc w:val="center"/>
            </w:pPr>
          </w:p>
        </w:tc>
        <w:tc>
          <w:tcPr>
            <w:tcW w:w="1113" w:type="dxa"/>
            <w:vAlign w:val="center"/>
          </w:tcPr>
          <w:p w14:paraId="46909689">
            <w:pPr>
              <w:wordWrap w:val="0"/>
              <w:spacing w:line="360" w:lineRule="auto"/>
              <w:jc w:val="center"/>
              <w:rPr>
                <w:szCs w:val="24"/>
              </w:rPr>
            </w:pPr>
          </w:p>
        </w:tc>
        <w:tc>
          <w:tcPr>
            <w:tcW w:w="1533" w:type="dxa"/>
            <w:vAlign w:val="center"/>
          </w:tcPr>
          <w:p w14:paraId="6E77BFDB">
            <w:pPr>
              <w:wordWrap w:val="0"/>
              <w:spacing w:line="360" w:lineRule="auto"/>
              <w:jc w:val="center"/>
              <w:rPr>
                <w:szCs w:val="24"/>
              </w:rPr>
            </w:pPr>
          </w:p>
        </w:tc>
        <w:tc>
          <w:tcPr>
            <w:tcW w:w="1134" w:type="dxa"/>
            <w:vAlign w:val="center"/>
          </w:tcPr>
          <w:p w14:paraId="2E36AE73">
            <w:pPr>
              <w:wordWrap w:val="0"/>
              <w:spacing w:line="360" w:lineRule="auto"/>
              <w:jc w:val="center"/>
              <w:rPr>
                <w:szCs w:val="24"/>
              </w:rPr>
            </w:pPr>
          </w:p>
        </w:tc>
        <w:tc>
          <w:tcPr>
            <w:tcW w:w="1491" w:type="dxa"/>
            <w:vAlign w:val="center"/>
          </w:tcPr>
          <w:p w14:paraId="59F74435">
            <w:pPr>
              <w:wordWrap w:val="0"/>
              <w:spacing w:line="360" w:lineRule="auto"/>
              <w:jc w:val="center"/>
              <w:rPr>
                <w:szCs w:val="24"/>
              </w:rPr>
            </w:pPr>
          </w:p>
        </w:tc>
        <w:tc>
          <w:tcPr>
            <w:tcW w:w="1843" w:type="dxa"/>
            <w:vAlign w:val="center"/>
          </w:tcPr>
          <w:p w14:paraId="6217D9FA">
            <w:pPr>
              <w:wordWrap w:val="0"/>
              <w:spacing w:line="360" w:lineRule="auto"/>
              <w:jc w:val="center"/>
              <w:rPr>
                <w:szCs w:val="24"/>
              </w:rPr>
            </w:pPr>
          </w:p>
        </w:tc>
        <w:tc>
          <w:tcPr>
            <w:tcW w:w="1842" w:type="dxa"/>
            <w:vAlign w:val="center"/>
          </w:tcPr>
          <w:p w14:paraId="599EF9A4">
            <w:pPr>
              <w:wordWrap w:val="0"/>
              <w:spacing w:line="360" w:lineRule="auto"/>
              <w:jc w:val="center"/>
              <w:rPr>
                <w:szCs w:val="24"/>
              </w:rPr>
            </w:pPr>
          </w:p>
        </w:tc>
      </w:tr>
      <w:tr w14:paraId="600E0E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1CF5E80B">
            <w:pPr>
              <w:numPr>
                <w:ilvl w:val="0"/>
                <w:numId w:val="67"/>
              </w:numPr>
              <w:tabs>
                <w:tab w:val="left" w:pos="61"/>
              </w:tabs>
              <w:wordWrap w:val="0"/>
              <w:adjustRightInd w:val="0"/>
              <w:snapToGrid w:val="0"/>
              <w:spacing w:line="360" w:lineRule="auto"/>
              <w:ind w:left="-72" w:leftChars="-30" w:firstLine="0"/>
              <w:jc w:val="center"/>
            </w:pPr>
          </w:p>
        </w:tc>
        <w:tc>
          <w:tcPr>
            <w:tcW w:w="1113" w:type="dxa"/>
            <w:vAlign w:val="center"/>
          </w:tcPr>
          <w:p w14:paraId="0BF7D77F">
            <w:pPr>
              <w:wordWrap w:val="0"/>
              <w:spacing w:line="360" w:lineRule="auto"/>
              <w:jc w:val="center"/>
              <w:rPr>
                <w:szCs w:val="24"/>
              </w:rPr>
            </w:pPr>
          </w:p>
        </w:tc>
        <w:tc>
          <w:tcPr>
            <w:tcW w:w="1533" w:type="dxa"/>
            <w:vAlign w:val="center"/>
          </w:tcPr>
          <w:p w14:paraId="41917A18">
            <w:pPr>
              <w:wordWrap w:val="0"/>
              <w:spacing w:line="360" w:lineRule="auto"/>
              <w:jc w:val="center"/>
              <w:rPr>
                <w:szCs w:val="24"/>
              </w:rPr>
            </w:pPr>
          </w:p>
        </w:tc>
        <w:tc>
          <w:tcPr>
            <w:tcW w:w="1134" w:type="dxa"/>
            <w:vAlign w:val="center"/>
          </w:tcPr>
          <w:p w14:paraId="40E3F13D">
            <w:pPr>
              <w:wordWrap w:val="0"/>
              <w:spacing w:line="360" w:lineRule="auto"/>
              <w:jc w:val="center"/>
              <w:rPr>
                <w:szCs w:val="24"/>
              </w:rPr>
            </w:pPr>
          </w:p>
        </w:tc>
        <w:tc>
          <w:tcPr>
            <w:tcW w:w="1491" w:type="dxa"/>
            <w:vAlign w:val="center"/>
          </w:tcPr>
          <w:p w14:paraId="2ECCDA11">
            <w:pPr>
              <w:wordWrap w:val="0"/>
              <w:spacing w:line="360" w:lineRule="auto"/>
              <w:jc w:val="center"/>
              <w:rPr>
                <w:szCs w:val="24"/>
              </w:rPr>
            </w:pPr>
          </w:p>
        </w:tc>
        <w:tc>
          <w:tcPr>
            <w:tcW w:w="1843" w:type="dxa"/>
            <w:vAlign w:val="center"/>
          </w:tcPr>
          <w:p w14:paraId="36BFCD08">
            <w:pPr>
              <w:wordWrap w:val="0"/>
              <w:spacing w:line="360" w:lineRule="auto"/>
              <w:jc w:val="center"/>
              <w:rPr>
                <w:szCs w:val="24"/>
              </w:rPr>
            </w:pPr>
          </w:p>
        </w:tc>
        <w:tc>
          <w:tcPr>
            <w:tcW w:w="1842" w:type="dxa"/>
            <w:vAlign w:val="center"/>
          </w:tcPr>
          <w:p w14:paraId="43382FCD">
            <w:pPr>
              <w:wordWrap w:val="0"/>
              <w:spacing w:line="360" w:lineRule="auto"/>
              <w:jc w:val="center"/>
              <w:rPr>
                <w:szCs w:val="24"/>
              </w:rPr>
            </w:pPr>
          </w:p>
        </w:tc>
      </w:tr>
      <w:tr w14:paraId="5A830D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0E00F692">
            <w:pPr>
              <w:numPr>
                <w:ilvl w:val="0"/>
                <w:numId w:val="67"/>
              </w:numPr>
              <w:tabs>
                <w:tab w:val="left" w:pos="61"/>
              </w:tabs>
              <w:wordWrap w:val="0"/>
              <w:adjustRightInd w:val="0"/>
              <w:snapToGrid w:val="0"/>
              <w:spacing w:line="360" w:lineRule="auto"/>
              <w:ind w:left="-72" w:leftChars="-30" w:firstLine="0"/>
              <w:jc w:val="center"/>
            </w:pPr>
          </w:p>
        </w:tc>
        <w:tc>
          <w:tcPr>
            <w:tcW w:w="1113" w:type="dxa"/>
            <w:vAlign w:val="center"/>
          </w:tcPr>
          <w:p w14:paraId="60E40EB8">
            <w:pPr>
              <w:wordWrap w:val="0"/>
              <w:spacing w:line="360" w:lineRule="auto"/>
              <w:jc w:val="center"/>
              <w:rPr>
                <w:szCs w:val="24"/>
              </w:rPr>
            </w:pPr>
          </w:p>
        </w:tc>
        <w:tc>
          <w:tcPr>
            <w:tcW w:w="1533" w:type="dxa"/>
            <w:vAlign w:val="center"/>
          </w:tcPr>
          <w:p w14:paraId="57625958">
            <w:pPr>
              <w:wordWrap w:val="0"/>
              <w:spacing w:line="360" w:lineRule="auto"/>
              <w:jc w:val="center"/>
              <w:rPr>
                <w:szCs w:val="24"/>
              </w:rPr>
            </w:pPr>
          </w:p>
        </w:tc>
        <w:tc>
          <w:tcPr>
            <w:tcW w:w="1134" w:type="dxa"/>
            <w:vAlign w:val="center"/>
          </w:tcPr>
          <w:p w14:paraId="27984DBB">
            <w:pPr>
              <w:wordWrap w:val="0"/>
              <w:spacing w:line="360" w:lineRule="auto"/>
              <w:jc w:val="center"/>
              <w:rPr>
                <w:szCs w:val="24"/>
              </w:rPr>
            </w:pPr>
          </w:p>
        </w:tc>
        <w:tc>
          <w:tcPr>
            <w:tcW w:w="1491" w:type="dxa"/>
            <w:vAlign w:val="center"/>
          </w:tcPr>
          <w:p w14:paraId="4A11AF64">
            <w:pPr>
              <w:wordWrap w:val="0"/>
              <w:spacing w:line="360" w:lineRule="auto"/>
              <w:jc w:val="center"/>
              <w:rPr>
                <w:szCs w:val="24"/>
              </w:rPr>
            </w:pPr>
          </w:p>
        </w:tc>
        <w:tc>
          <w:tcPr>
            <w:tcW w:w="1843" w:type="dxa"/>
            <w:vAlign w:val="center"/>
          </w:tcPr>
          <w:p w14:paraId="5ADC19F6">
            <w:pPr>
              <w:wordWrap w:val="0"/>
              <w:spacing w:line="360" w:lineRule="auto"/>
              <w:jc w:val="center"/>
              <w:rPr>
                <w:szCs w:val="24"/>
              </w:rPr>
            </w:pPr>
          </w:p>
        </w:tc>
        <w:tc>
          <w:tcPr>
            <w:tcW w:w="1842" w:type="dxa"/>
            <w:vAlign w:val="center"/>
          </w:tcPr>
          <w:p w14:paraId="724200DF">
            <w:pPr>
              <w:wordWrap w:val="0"/>
              <w:spacing w:line="360" w:lineRule="auto"/>
              <w:jc w:val="center"/>
              <w:rPr>
                <w:szCs w:val="24"/>
              </w:rPr>
            </w:pPr>
          </w:p>
        </w:tc>
      </w:tr>
      <w:tr w14:paraId="4F7E7C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0B9D71C7">
            <w:pPr>
              <w:numPr>
                <w:ilvl w:val="0"/>
                <w:numId w:val="67"/>
              </w:numPr>
              <w:tabs>
                <w:tab w:val="left" w:pos="61"/>
              </w:tabs>
              <w:wordWrap w:val="0"/>
              <w:adjustRightInd w:val="0"/>
              <w:snapToGrid w:val="0"/>
              <w:spacing w:line="360" w:lineRule="auto"/>
              <w:ind w:left="-72" w:leftChars="-30" w:firstLine="0"/>
              <w:jc w:val="center"/>
            </w:pPr>
          </w:p>
        </w:tc>
        <w:tc>
          <w:tcPr>
            <w:tcW w:w="1113" w:type="dxa"/>
            <w:vAlign w:val="center"/>
          </w:tcPr>
          <w:p w14:paraId="3CBB7220">
            <w:pPr>
              <w:wordWrap w:val="0"/>
              <w:spacing w:line="360" w:lineRule="auto"/>
              <w:jc w:val="center"/>
              <w:rPr>
                <w:szCs w:val="24"/>
              </w:rPr>
            </w:pPr>
          </w:p>
        </w:tc>
        <w:tc>
          <w:tcPr>
            <w:tcW w:w="1533" w:type="dxa"/>
            <w:vAlign w:val="center"/>
          </w:tcPr>
          <w:p w14:paraId="2F247796">
            <w:pPr>
              <w:wordWrap w:val="0"/>
              <w:spacing w:line="360" w:lineRule="auto"/>
              <w:jc w:val="center"/>
              <w:rPr>
                <w:szCs w:val="24"/>
              </w:rPr>
            </w:pPr>
          </w:p>
        </w:tc>
        <w:tc>
          <w:tcPr>
            <w:tcW w:w="1134" w:type="dxa"/>
            <w:vAlign w:val="center"/>
          </w:tcPr>
          <w:p w14:paraId="24E51029">
            <w:pPr>
              <w:wordWrap w:val="0"/>
              <w:spacing w:line="360" w:lineRule="auto"/>
              <w:jc w:val="center"/>
              <w:rPr>
                <w:szCs w:val="24"/>
              </w:rPr>
            </w:pPr>
          </w:p>
        </w:tc>
        <w:tc>
          <w:tcPr>
            <w:tcW w:w="1491" w:type="dxa"/>
            <w:vAlign w:val="center"/>
          </w:tcPr>
          <w:p w14:paraId="1EEB0643">
            <w:pPr>
              <w:wordWrap w:val="0"/>
              <w:spacing w:line="360" w:lineRule="auto"/>
              <w:jc w:val="center"/>
              <w:rPr>
                <w:szCs w:val="24"/>
              </w:rPr>
            </w:pPr>
          </w:p>
        </w:tc>
        <w:tc>
          <w:tcPr>
            <w:tcW w:w="1843" w:type="dxa"/>
            <w:vAlign w:val="center"/>
          </w:tcPr>
          <w:p w14:paraId="5528FAB9">
            <w:pPr>
              <w:wordWrap w:val="0"/>
              <w:spacing w:line="360" w:lineRule="auto"/>
              <w:jc w:val="center"/>
              <w:rPr>
                <w:szCs w:val="24"/>
              </w:rPr>
            </w:pPr>
          </w:p>
        </w:tc>
        <w:tc>
          <w:tcPr>
            <w:tcW w:w="1842" w:type="dxa"/>
            <w:vAlign w:val="center"/>
          </w:tcPr>
          <w:p w14:paraId="124DE26C">
            <w:pPr>
              <w:wordWrap w:val="0"/>
              <w:spacing w:line="360" w:lineRule="auto"/>
              <w:jc w:val="center"/>
              <w:rPr>
                <w:szCs w:val="24"/>
              </w:rPr>
            </w:pPr>
          </w:p>
        </w:tc>
      </w:tr>
      <w:tr w14:paraId="1EF36D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27E6004E">
            <w:pPr>
              <w:numPr>
                <w:ilvl w:val="0"/>
                <w:numId w:val="67"/>
              </w:numPr>
              <w:tabs>
                <w:tab w:val="left" w:pos="61"/>
              </w:tabs>
              <w:wordWrap w:val="0"/>
              <w:adjustRightInd w:val="0"/>
              <w:snapToGrid w:val="0"/>
              <w:spacing w:line="360" w:lineRule="auto"/>
              <w:ind w:left="-72" w:leftChars="-30" w:firstLine="0"/>
              <w:jc w:val="center"/>
            </w:pPr>
          </w:p>
        </w:tc>
        <w:tc>
          <w:tcPr>
            <w:tcW w:w="1113" w:type="dxa"/>
            <w:vAlign w:val="center"/>
          </w:tcPr>
          <w:p w14:paraId="548E7D34">
            <w:pPr>
              <w:wordWrap w:val="0"/>
              <w:spacing w:line="360" w:lineRule="auto"/>
              <w:jc w:val="center"/>
              <w:rPr>
                <w:szCs w:val="24"/>
              </w:rPr>
            </w:pPr>
          </w:p>
        </w:tc>
        <w:tc>
          <w:tcPr>
            <w:tcW w:w="1533" w:type="dxa"/>
            <w:vAlign w:val="center"/>
          </w:tcPr>
          <w:p w14:paraId="4004AE9D">
            <w:pPr>
              <w:wordWrap w:val="0"/>
              <w:spacing w:line="360" w:lineRule="auto"/>
              <w:jc w:val="center"/>
              <w:rPr>
                <w:szCs w:val="24"/>
              </w:rPr>
            </w:pPr>
          </w:p>
        </w:tc>
        <w:tc>
          <w:tcPr>
            <w:tcW w:w="1134" w:type="dxa"/>
            <w:vAlign w:val="center"/>
          </w:tcPr>
          <w:p w14:paraId="1EF3009D">
            <w:pPr>
              <w:wordWrap w:val="0"/>
              <w:spacing w:line="360" w:lineRule="auto"/>
              <w:jc w:val="center"/>
              <w:rPr>
                <w:szCs w:val="24"/>
              </w:rPr>
            </w:pPr>
          </w:p>
        </w:tc>
        <w:tc>
          <w:tcPr>
            <w:tcW w:w="1491" w:type="dxa"/>
            <w:vAlign w:val="center"/>
          </w:tcPr>
          <w:p w14:paraId="591136A9">
            <w:pPr>
              <w:wordWrap w:val="0"/>
              <w:spacing w:line="360" w:lineRule="auto"/>
              <w:jc w:val="center"/>
              <w:rPr>
                <w:szCs w:val="24"/>
              </w:rPr>
            </w:pPr>
          </w:p>
        </w:tc>
        <w:tc>
          <w:tcPr>
            <w:tcW w:w="1843" w:type="dxa"/>
            <w:vAlign w:val="center"/>
          </w:tcPr>
          <w:p w14:paraId="3C0F6A96">
            <w:pPr>
              <w:wordWrap w:val="0"/>
              <w:spacing w:line="360" w:lineRule="auto"/>
              <w:jc w:val="center"/>
              <w:rPr>
                <w:szCs w:val="24"/>
              </w:rPr>
            </w:pPr>
          </w:p>
        </w:tc>
        <w:tc>
          <w:tcPr>
            <w:tcW w:w="1842" w:type="dxa"/>
            <w:vAlign w:val="center"/>
          </w:tcPr>
          <w:p w14:paraId="5470F2E1">
            <w:pPr>
              <w:wordWrap w:val="0"/>
              <w:spacing w:line="360" w:lineRule="auto"/>
              <w:jc w:val="center"/>
              <w:rPr>
                <w:szCs w:val="24"/>
              </w:rPr>
            </w:pPr>
          </w:p>
        </w:tc>
      </w:tr>
      <w:tr w14:paraId="3F580F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034F073A">
            <w:pPr>
              <w:numPr>
                <w:ilvl w:val="0"/>
                <w:numId w:val="67"/>
              </w:numPr>
              <w:tabs>
                <w:tab w:val="left" w:pos="61"/>
              </w:tabs>
              <w:wordWrap w:val="0"/>
              <w:adjustRightInd w:val="0"/>
              <w:snapToGrid w:val="0"/>
              <w:spacing w:line="360" w:lineRule="auto"/>
              <w:ind w:left="-72" w:leftChars="-30" w:firstLine="0"/>
              <w:jc w:val="center"/>
            </w:pPr>
          </w:p>
        </w:tc>
        <w:tc>
          <w:tcPr>
            <w:tcW w:w="1113" w:type="dxa"/>
            <w:vAlign w:val="center"/>
          </w:tcPr>
          <w:p w14:paraId="2C92D8C9">
            <w:pPr>
              <w:wordWrap w:val="0"/>
              <w:spacing w:line="360" w:lineRule="auto"/>
              <w:jc w:val="center"/>
              <w:rPr>
                <w:szCs w:val="24"/>
              </w:rPr>
            </w:pPr>
          </w:p>
        </w:tc>
        <w:tc>
          <w:tcPr>
            <w:tcW w:w="1533" w:type="dxa"/>
            <w:vAlign w:val="center"/>
          </w:tcPr>
          <w:p w14:paraId="13A6F106">
            <w:pPr>
              <w:wordWrap w:val="0"/>
              <w:spacing w:line="360" w:lineRule="auto"/>
              <w:jc w:val="center"/>
              <w:rPr>
                <w:szCs w:val="24"/>
              </w:rPr>
            </w:pPr>
          </w:p>
        </w:tc>
        <w:tc>
          <w:tcPr>
            <w:tcW w:w="1134" w:type="dxa"/>
            <w:vAlign w:val="center"/>
          </w:tcPr>
          <w:p w14:paraId="20A0B4C6">
            <w:pPr>
              <w:wordWrap w:val="0"/>
              <w:spacing w:line="360" w:lineRule="auto"/>
              <w:jc w:val="center"/>
              <w:rPr>
                <w:szCs w:val="24"/>
              </w:rPr>
            </w:pPr>
          </w:p>
        </w:tc>
        <w:tc>
          <w:tcPr>
            <w:tcW w:w="1491" w:type="dxa"/>
            <w:vAlign w:val="center"/>
          </w:tcPr>
          <w:p w14:paraId="3F14A834">
            <w:pPr>
              <w:wordWrap w:val="0"/>
              <w:spacing w:line="360" w:lineRule="auto"/>
              <w:jc w:val="center"/>
              <w:rPr>
                <w:szCs w:val="24"/>
              </w:rPr>
            </w:pPr>
          </w:p>
        </w:tc>
        <w:tc>
          <w:tcPr>
            <w:tcW w:w="1843" w:type="dxa"/>
            <w:vAlign w:val="center"/>
          </w:tcPr>
          <w:p w14:paraId="6CBDAE27">
            <w:pPr>
              <w:wordWrap w:val="0"/>
              <w:spacing w:line="360" w:lineRule="auto"/>
              <w:jc w:val="center"/>
              <w:rPr>
                <w:szCs w:val="24"/>
              </w:rPr>
            </w:pPr>
          </w:p>
        </w:tc>
        <w:tc>
          <w:tcPr>
            <w:tcW w:w="1842" w:type="dxa"/>
            <w:vAlign w:val="center"/>
          </w:tcPr>
          <w:p w14:paraId="43401A93">
            <w:pPr>
              <w:wordWrap w:val="0"/>
              <w:spacing w:line="360" w:lineRule="auto"/>
              <w:jc w:val="center"/>
              <w:rPr>
                <w:szCs w:val="24"/>
              </w:rPr>
            </w:pPr>
          </w:p>
        </w:tc>
      </w:tr>
      <w:tr w14:paraId="5F5EC4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7A6A610D">
            <w:pPr>
              <w:numPr>
                <w:ilvl w:val="0"/>
                <w:numId w:val="67"/>
              </w:numPr>
              <w:tabs>
                <w:tab w:val="left" w:pos="61"/>
              </w:tabs>
              <w:wordWrap w:val="0"/>
              <w:adjustRightInd w:val="0"/>
              <w:snapToGrid w:val="0"/>
              <w:spacing w:line="360" w:lineRule="auto"/>
              <w:ind w:left="-72" w:leftChars="-30" w:firstLine="0"/>
              <w:jc w:val="center"/>
            </w:pPr>
          </w:p>
        </w:tc>
        <w:tc>
          <w:tcPr>
            <w:tcW w:w="1113" w:type="dxa"/>
            <w:vAlign w:val="center"/>
          </w:tcPr>
          <w:p w14:paraId="54547C33">
            <w:pPr>
              <w:wordWrap w:val="0"/>
              <w:spacing w:line="360" w:lineRule="auto"/>
              <w:jc w:val="center"/>
              <w:rPr>
                <w:szCs w:val="24"/>
              </w:rPr>
            </w:pPr>
          </w:p>
        </w:tc>
        <w:tc>
          <w:tcPr>
            <w:tcW w:w="1533" w:type="dxa"/>
            <w:vAlign w:val="center"/>
          </w:tcPr>
          <w:p w14:paraId="1323CEEE">
            <w:pPr>
              <w:wordWrap w:val="0"/>
              <w:spacing w:line="360" w:lineRule="auto"/>
              <w:jc w:val="center"/>
              <w:rPr>
                <w:szCs w:val="24"/>
              </w:rPr>
            </w:pPr>
          </w:p>
        </w:tc>
        <w:tc>
          <w:tcPr>
            <w:tcW w:w="1134" w:type="dxa"/>
            <w:vAlign w:val="center"/>
          </w:tcPr>
          <w:p w14:paraId="3C992A30">
            <w:pPr>
              <w:wordWrap w:val="0"/>
              <w:spacing w:line="360" w:lineRule="auto"/>
              <w:jc w:val="center"/>
              <w:rPr>
                <w:szCs w:val="24"/>
              </w:rPr>
            </w:pPr>
          </w:p>
        </w:tc>
        <w:tc>
          <w:tcPr>
            <w:tcW w:w="1491" w:type="dxa"/>
            <w:vAlign w:val="center"/>
          </w:tcPr>
          <w:p w14:paraId="51F52445">
            <w:pPr>
              <w:wordWrap w:val="0"/>
              <w:spacing w:line="360" w:lineRule="auto"/>
              <w:jc w:val="center"/>
              <w:rPr>
                <w:szCs w:val="24"/>
              </w:rPr>
            </w:pPr>
          </w:p>
        </w:tc>
        <w:tc>
          <w:tcPr>
            <w:tcW w:w="1843" w:type="dxa"/>
            <w:vAlign w:val="center"/>
          </w:tcPr>
          <w:p w14:paraId="003C068B">
            <w:pPr>
              <w:wordWrap w:val="0"/>
              <w:spacing w:line="360" w:lineRule="auto"/>
              <w:jc w:val="center"/>
              <w:rPr>
                <w:szCs w:val="24"/>
              </w:rPr>
            </w:pPr>
          </w:p>
        </w:tc>
        <w:tc>
          <w:tcPr>
            <w:tcW w:w="1842" w:type="dxa"/>
            <w:vAlign w:val="center"/>
          </w:tcPr>
          <w:p w14:paraId="097451BF">
            <w:pPr>
              <w:wordWrap w:val="0"/>
              <w:spacing w:line="360" w:lineRule="auto"/>
              <w:jc w:val="center"/>
              <w:rPr>
                <w:szCs w:val="24"/>
              </w:rPr>
            </w:pPr>
          </w:p>
        </w:tc>
      </w:tr>
      <w:tr w14:paraId="5E8D1E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3486C872">
            <w:pPr>
              <w:numPr>
                <w:ilvl w:val="0"/>
                <w:numId w:val="67"/>
              </w:numPr>
              <w:tabs>
                <w:tab w:val="left" w:pos="61"/>
              </w:tabs>
              <w:wordWrap w:val="0"/>
              <w:adjustRightInd w:val="0"/>
              <w:snapToGrid w:val="0"/>
              <w:spacing w:line="360" w:lineRule="auto"/>
              <w:ind w:left="-72" w:leftChars="-30" w:firstLine="0"/>
              <w:jc w:val="center"/>
            </w:pPr>
          </w:p>
        </w:tc>
        <w:tc>
          <w:tcPr>
            <w:tcW w:w="1113" w:type="dxa"/>
            <w:vAlign w:val="center"/>
          </w:tcPr>
          <w:p w14:paraId="6B007E56">
            <w:pPr>
              <w:wordWrap w:val="0"/>
              <w:spacing w:line="360" w:lineRule="auto"/>
              <w:jc w:val="center"/>
              <w:rPr>
                <w:szCs w:val="24"/>
              </w:rPr>
            </w:pPr>
          </w:p>
        </w:tc>
        <w:tc>
          <w:tcPr>
            <w:tcW w:w="1533" w:type="dxa"/>
            <w:vAlign w:val="center"/>
          </w:tcPr>
          <w:p w14:paraId="1F497628">
            <w:pPr>
              <w:wordWrap w:val="0"/>
              <w:spacing w:line="360" w:lineRule="auto"/>
              <w:jc w:val="center"/>
              <w:rPr>
                <w:szCs w:val="24"/>
              </w:rPr>
            </w:pPr>
          </w:p>
        </w:tc>
        <w:tc>
          <w:tcPr>
            <w:tcW w:w="1134" w:type="dxa"/>
            <w:vAlign w:val="center"/>
          </w:tcPr>
          <w:p w14:paraId="3CD9662D">
            <w:pPr>
              <w:wordWrap w:val="0"/>
              <w:spacing w:line="360" w:lineRule="auto"/>
              <w:jc w:val="center"/>
              <w:rPr>
                <w:szCs w:val="24"/>
              </w:rPr>
            </w:pPr>
          </w:p>
        </w:tc>
        <w:tc>
          <w:tcPr>
            <w:tcW w:w="1491" w:type="dxa"/>
            <w:vAlign w:val="center"/>
          </w:tcPr>
          <w:p w14:paraId="63CC03D6">
            <w:pPr>
              <w:wordWrap w:val="0"/>
              <w:spacing w:line="360" w:lineRule="auto"/>
              <w:jc w:val="center"/>
              <w:rPr>
                <w:szCs w:val="24"/>
              </w:rPr>
            </w:pPr>
          </w:p>
        </w:tc>
        <w:tc>
          <w:tcPr>
            <w:tcW w:w="1843" w:type="dxa"/>
            <w:vAlign w:val="center"/>
          </w:tcPr>
          <w:p w14:paraId="36773769">
            <w:pPr>
              <w:wordWrap w:val="0"/>
              <w:spacing w:line="360" w:lineRule="auto"/>
              <w:jc w:val="center"/>
              <w:rPr>
                <w:szCs w:val="24"/>
              </w:rPr>
            </w:pPr>
          </w:p>
        </w:tc>
        <w:tc>
          <w:tcPr>
            <w:tcW w:w="1842" w:type="dxa"/>
            <w:vAlign w:val="center"/>
          </w:tcPr>
          <w:p w14:paraId="13869F0E">
            <w:pPr>
              <w:wordWrap w:val="0"/>
              <w:spacing w:line="360" w:lineRule="auto"/>
              <w:jc w:val="center"/>
              <w:rPr>
                <w:szCs w:val="24"/>
              </w:rPr>
            </w:pPr>
          </w:p>
        </w:tc>
      </w:tr>
      <w:tr w14:paraId="3E0B47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5BDA2FB5">
            <w:pPr>
              <w:wordWrap w:val="0"/>
              <w:spacing w:line="360" w:lineRule="auto"/>
              <w:jc w:val="center"/>
              <w:rPr>
                <w:szCs w:val="24"/>
              </w:rPr>
            </w:pPr>
            <w:r>
              <w:rPr>
                <w:szCs w:val="24"/>
              </w:rPr>
              <w:t>…</w:t>
            </w:r>
          </w:p>
        </w:tc>
        <w:tc>
          <w:tcPr>
            <w:tcW w:w="1113" w:type="dxa"/>
            <w:vAlign w:val="center"/>
          </w:tcPr>
          <w:p w14:paraId="6AA427A3">
            <w:pPr>
              <w:wordWrap w:val="0"/>
              <w:spacing w:line="360" w:lineRule="auto"/>
              <w:jc w:val="center"/>
              <w:rPr>
                <w:szCs w:val="24"/>
              </w:rPr>
            </w:pPr>
          </w:p>
        </w:tc>
        <w:tc>
          <w:tcPr>
            <w:tcW w:w="1533" w:type="dxa"/>
            <w:vAlign w:val="center"/>
          </w:tcPr>
          <w:p w14:paraId="7CB45FF2">
            <w:pPr>
              <w:wordWrap w:val="0"/>
              <w:spacing w:line="360" w:lineRule="auto"/>
              <w:jc w:val="center"/>
              <w:rPr>
                <w:szCs w:val="24"/>
              </w:rPr>
            </w:pPr>
          </w:p>
        </w:tc>
        <w:tc>
          <w:tcPr>
            <w:tcW w:w="1134" w:type="dxa"/>
            <w:vAlign w:val="center"/>
          </w:tcPr>
          <w:p w14:paraId="4858A896">
            <w:pPr>
              <w:wordWrap w:val="0"/>
              <w:spacing w:line="360" w:lineRule="auto"/>
              <w:jc w:val="center"/>
              <w:rPr>
                <w:szCs w:val="24"/>
              </w:rPr>
            </w:pPr>
          </w:p>
        </w:tc>
        <w:tc>
          <w:tcPr>
            <w:tcW w:w="1491" w:type="dxa"/>
            <w:vAlign w:val="center"/>
          </w:tcPr>
          <w:p w14:paraId="670A360F">
            <w:pPr>
              <w:wordWrap w:val="0"/>
              <w:spacing w:line="360" w:lineRule="auto"/>
              <w:jc w:val="center"/>
              <w:rPr>
                <w:szCs w:val="24"/>
              </w:rPr>
            </w:pPr>
          </w:p>
        </w:tc>
        <w:tc>
          <w:tcPr>
            <w:tcW w:w="1843" w:type="dxa"/>
            <w:vAlign w:val="center"/>
          </w:tcPr>
          <w:p w14:paraId="04C24F99">
            <w:pPr>
              <w:wordWrap w:val="0"/>
              <w:spacing w:line="360" w:lineRule="auto"/>
              <w:jc w:val="center"/>
              <w:rPr>
                <w:szCs w:val="24"/>
              </w:rPr>
            </w:pPr>
          </w:p>
        </w:tc>
        <w:tc>
          <w:tcPr>
            <w:tcW w:w="1842" w:type="dxa"/>
            <w:vAlign w:val="center"/>
          </w:tcPr>
          <w:p w14:paraId="4F9B96B7">
            <w:pPr>
              <w:wordWrap w:val="0"/>
              <w:spacing w:line="360" w:lineRule="auto"/>
              <w:jc w:val="center"/>
              <w:rPr>
                <w:szCs w:val="24"/>
              </w:rPr>
            </w:pPr>
          </w:p>
        </w:tc>
      </w:tr>
    </w:tbl>
    <w:p w14:paraId="3A8EDE10">
      <w:pPr>
        <w:wordWrap w:val="0"/>
        <w:spacing w:line="360" w:lineRule="auto"/>
        <w:ind w:left="754" w:hanging="751" w:hangingChars="313"/>
        <w:jc w:val="left"/>
        <w:rPr>
          <w:szCs w:val="24"/>
          <w:lang w:val="zh-CN"/>
        </w:rPr>
      </w:pPr>
      <w:r>
        <w:rPr>
          <w:rFonts w:hint="eastAsia"/>
          <w:b/>
          <w:szCs w:val="24"/>
          <w:lang w:val="zh-CN"/>
        </w:rPr>
        <w:t>说明：</w:t>
      </w:r>
      <w:r>
        <w:rPr>
          <w:rFonts w:hint="eastAsia"/>
        </w:rPr>
        <w:t>应附完整的相关证明材料清晰影印件</w:t>
      </w:r>
      <w:r>
        <w:rPr>
          <w:rFonts w:hint="eastAsia"/>
          <w:szCs w:val="24"/>
          <w:lang w:val="zh-CN"/>
        </w:rPr>
        <w:t>，</w:t>
      </w:r>
      <w:r>
        <w:rPr>
          <w:rFonts w:hint="eastAsia" w:cs="Corbel"/>
          <w:szCs w:val="21"/>
          <w:lang w:val="zh-CN"/>
        </w:rPr>
        <w:t>未按照要求详细完整填写此表，</w:t>
      </w:r>
      <w:r>
        <w:rPr>
          <w:rFonts w:hint="eastAsia"/>
          <w:szCs w:val="21"/>
          <w:lang w:val="zh-CN"/>
        </w:rPr>
        <w:t>导致的后果由供应商自行承担。</w:t>
      </w:r>
    </w:p>
    <w:p w14:paraId="5038B142">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445AB41C">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0058532A">
      <w:pPr>
        <w:pStyle w:val="4"/>
        <w:numPr>
          <w:ilvl w:val="0"/>
          <w:numId w:val="60"/>
        </w:numPr>
        <w:wordWrap w:val="0"/>
        <w:spacing w:before="40" w:after="40" w:line="360" w:lineRule="auto"/>
        <w:ind w:left="1285" w:hanging="1280" w:hangingChars="400"/>
        <w:jc w:val="left"/>
        <w:rPr>
          <w:rFonts w:ascii="宋体" w:hAnsi="宋体" w:eastAsia="宋体" w:cs="Times New Roman"/>
          <w:bCs w:val="0"/>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p>
    <w:p w14:paraId="786780B0">
      <w:pPr>
        <w:pStyle w:val="4"/>
        <w:numPr>
          <w:ilvl w:val="0"/>
          <w:numId w:val="50"/>
        </w:numPr>
        <w:tabs>
          <w:tab w:val="left" w:pos="567"/>
        </w:tabs>
        <w:spacing w:before="0" w:after="0" w:line="360" w:lineRule="auto"/>
        <w:ind w:left="482" w:hanging="480" w:hangingChars="200"/>
        <w:jc w:val="left"/>
        <w:rPr>
          <w:rFonts w:ascii="宋体" w:hAnsi="宋体" w:eastAsia="宋体"/>
          <w:sz w:val="24"/>
          <w:szCs w:val="24"/>
        </w:rPr>
      </w:pPr>
      <w:bookmarkStart w:id="535" w:name="_Toc117244512"/>
      <w:bookmarkStart w:id="536" w:name="_Toc117244397"/>
      <w:bookmarkStart w:id="537" w:name="_Toc107561316"/>
      <w:bookmarkStart w:id="538" w:name="_Toc122527566"/>
      <w:r>
        <w:rPr>
          <w:rFonts w:hint="eastAsia" w:ascii="宋体" w:hAnsi="宋体" w:eastAsia="宋体"/>
          <w:sz w:val="24"/>
          <w:szCs w:val="24"/>
        </w:rPr>
        <w:t>供应商类似项目业绩表</w:t>
      </w:r>
      <w:bookmarkEnd w:id="535"/>
      <w:bookmarkEnd w:id="536"/>
      <w:bookmarkEnd w:id="537"/>
      <w:r>
        <w:rPr>
          <w:rFonts w:hint="eastAsia" w:ascii="宋体" w:hAnsi="宋体" w:eastAsia="宋体"/>
          <w:sz w:val="24"/>
          <w:szCs w:val="24"/>
        </w:rPr>
        <w:t>（此表非必填项，可选择填写）</w:t>
      </w:r>
      <w:bookmarkEnd w:id="538"/>
    </w:p>
    <w:p w14:paraId="7840DC0A">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14:paraId="67B8415C">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0"/>
        <w:tblW w:w="94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20"/>
        <w:gridCol w:w="7200"/>
      </w:tblGrid>
      <w:tr w14:paraId="67AED6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20" w:type="dxa"/>
            <w:shd w:val="clear" w:color="auto" w:fill="auto"/>
            <w:vAlign w:val="center"/>
          </w:tcPr>
          <w:p w14:paraId="282D5F8C">
            <w:pPr>
              <w:wordWrap w:val="0"/>
              <w:spacing w:line="360" w:lineRule="auto"/>
              <w:jc w:val="center"/>
              <w:rPr>
                <w:rFonts w:cs="Courier New"/>
                <w:szCs w:val="24"/>
              </w:rPr>
            </w:pPr>
            <w:r>
              <w:rPr>
                <w:rFonts w:hint="eastAsia" w:cs="Courier New"/>
                <w:szCs w:val="24"/>
              </w:rPr>
              <w:t>项目单位名称</w:t>
            </w:r>
          </w:p>
        </w:tc>
        <w:tc>
          <w:tcPr>
            <w:tcW w:w="7200" w:type="dxa"/>
            <w:shd w:val="clear" w:color="auto" w:fill="auto"/>
            <w:vAlign w:val="center"/>
          </w:tcPr>
          <w:p w14:paraId="246FAB3F">
            <w:pPr>
              <w:wordWrap w:val="0"/>
              <w:spacing w:line="360" w:lineRule="auto"/>
              <w:rPr>
                <w:rFonts w:cs="Courier New"/>
                <w:szCs w:val="24"/>
              </w:rPr>
            </w:pPr>
          </w:p>
        </w:tc>
      </w:tr>
      <w:tr w14:paraId="3014DB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2220" w:type="dxa"/>
            <w:shd w:val="clear" w:color="auto" w:fill="auto"/>
            <w:vAlign w:val="center"/>
          </w:tcPr>
          <w:p w14:paraId="2C2E567F">
            <w:pPr>
              <w:wordWrap w:val="0"/>
              <w:spacing w:line="360" w:lineRule="auto"/>
              <w:jc w:val="center"/>
              <w:rPr>
                <w:rFonts w:cs="Courier New"/>
                <w:szCs w:val="24"/>
              </w:rPr>
            </w:pPr>
            <w:r>
              <w:rPr>
                <w:rFonts w:hint="eastAsia" w:cs="Courier New"/>
                <w:szCs w:val="24"/>
              </w:rPr>
              <w:t>项目名称</w:t>
            </w:r>
          </w:p>
        </w:tc>
        <w:tc>
          <w:tcPr>
            <w:tcW w:w="7200" w:type="dxa"/>
            <w:shd w:val="clear" w:color="auto" w:fill="auto"/>
            <w:vAlign w:val="center"/>
          </w:tcPr>
          <w:p w14:paraId="0AC95D81">
            <w:pPr>
              <w:wordWrap w:val="0"/>
              <w:spacing w:line="360" w:lineRule="auto"/>
              <w:rPr>
                <w:rFonts w:cs="Courier New"/>
                <w:szCs w:val="24"/>
              </w:rPr>
            </w:pPr>
          </w:p>
        </w:tc>
      </w:tr>
      <w:tr w14:paraId="09AC6C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14:paraId="1BD1387F">
            <w:pPr>
              <w:wordWrap w:val="0"/>
              <w:spacing w:line="360" w:lineRule="auto"/>
              <w:jc w:val="center"/>
              <w:rPr>
                <w:rFonts w:cs="Courier New"/>
                <w:szCs w:val="24"/>
              </w:rPr>
            </w:pPr>
            <w:r>
              <w:rPr>
                <w:rFonts w:hint="eastAsia" w:cs="Courier New"/>
                <w:szCs w:val="24"/>
              </w:rPr>
              <w:t>项目单位联系人姓名及联系方式</w:t>
            </w:r>
          </w:p>
        </w:tc>
        <w:tc>
          <w:tcPr>
            <w:tcW w:w="7200" w:type="dxa"/>
            <w:shd w:val="clear" w:color="auto" w:fill="auto"/>
            <w:vAlign w:val="center"/>
          </w:tcPr>
          <w:p w14:paraId="08393E42">
            <w:pPr>
              <w:wordWrap w:val="0"/>
              <w:spacing w:line="360" w:lineRule="auto"/>
              <w:rPr>
                <w:rFonts w:cs="Courier New"/>
                <w:szCs w:val="24"/>
              </w:rPr>
            </w:pPr>
          </w:p>
        </w:tc>
      </w:tr>
      <w:tr w14:paraId="26BB3A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14:paraId="40B3B79F">
            <w:pPr>
              <w:wordWrap w:val="0"/>
              <w:spacing w:line="360" w:lineRule="auto"/>
              <w:jc w:val="center"/>
              <w:rPr>
                <w:rFonts w:cs="Courier New"/>
                <w:szCs w:val="24"/>
              </w:rPr>
            </w:pPr>
            <w:r>
              <w:rPr>
                <w:rFonts w:hint="eastAsia" w:cs="Courier New"/>
                <w:szCs w:val="24"/>
              </w:rPr>
              <w:t>项目金额</w:t>
            </w:r>
          </w:p>
        </w:tc>
        <w:tc>
          <w:tcPr>
            <w:tcW w:w="7200" w:type="dxa"/>
            <w:shd w:val="clear" w:color="auto" w:fill="auto"/>
            <w:vAlign w:val="center"/>
          </w:tcPr>
          <w:p w14:paraId="1CF7498B">
            <w:pPr>
              <w:wordWrap w:val="0"/>
              <w:spacing w:line="360" w:lineRule="auto"/>
              <w:rPr>
                <w:rFonts w:cs="Courier New"/>
                <w:szCs w:val="24"/>
              </w:rPr>
            </w:pPr>
          </w:p>
        </w:tc>
      </w:tr>
      <w:tr w14:paraId="2C15BC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14:paraId="6435A91C">
            <w:pPr>
              <w:wordWrap w:val="0"/>
              <w:spacing w:line="360" w:lineRule="auto"/>
              <w:jc w:val="center"/>
              <w:rPr>
                <w:rFonts w:cs="Courier New"/>
                <w:szCs w:val="24"/>
              </w:rPr>
            </w:pPr>
            <w:r>
              <w:rPr>
                <w:rFonts w:hint="eastAsia" w:cs="Courier New"/>
                <w:szCs w:val="24"/>
              </w:rPr>
              <w:t>项目负责人姓名</w:t>
            </w:r>
          </w:p>
        </w:tc>
        <w:tc>
          <w:tcPr>
            <w:tcW w:w="7200" w:type="dxa"/>
            <w:shd w:val="clear" w:color="auto" w:fill="auto"/>
            <w:vAlign w:val="center"/>
          </w:tcPr>
          <w:p w14:paraId="75E35183">
            <w:pPr>
              <w:wordWrap w:val="0"/>
              <w:spacing w:line="360" w:lineRule="auto"/>
              <w:rPr>
                <w:rFonts w:cs="Courier New"/>
                <w:szCs w:val="24"/>
              </w:rPr>
            </w:pPr>
          </w:p>
        </w:tc>
      </w:tr>
      <w:tr w14:paraId="7698AC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jc w:val="center"/>
        </w:trPr>
        <w:tc>
          <w:tcPr>
            <w:tcW w:w="2220" w:type="dxa"/>
            <w:shd w:val="clear" w:color="auto" w:fill="auto"/>
            <w:vAlign w:val="center"/>
          </w:tcPr>
          <w:p w14:paraId="759F7EC3">
            <w:pPr>
              <w:wordWrap w:val="0"/>
              <w:spacing w:line="360" w:lineRule="auto"/>
              <w:jc w:val="center"/>
              <w:rPr>
                <w:rFonts w:cs="Courier New"/>
                <w:szCs w:val="24"/>
              </w:rPr>
            </w:pPr>
            <w:r>
              <w:rPr>
                <w:rFonts w:hint="eastAsia" w:cs="Courier New"/>
                <w:szCs w:val="24"/>
              </w:rPr>
              <w:t>项目时间</w:t>
            </w:r>
          </w:p>
        </w:tc>
        <w:tc>
          <w:tcPr>
            <w:tcW w:w="7200" w:type="dxa"/>
            <w:shd w:val="clear" w:color="auto" w:fill="auto"/>
            <w:vAlign w:val="center"/>
          </w:tcPr>
          <w:p w14:paraId="54816362">
            <w:pPr>
              <w:wordWrap w:val="0"/>
              <w:spacing w:line="360" w:lineRule="auto"/>
              <w:rPr>
                <w:rFonts w:cs="Courier New"/>
                <w:szCs w:val="24"/>
              </w:rPr>
            </w:pPr>
          </w:p>
        </w:tc>
      </w:tr>
      <w:tr w14:paraId="382D66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14:paraId="02D0A1CB">
            <w:pPr>
              <w:wordWrap w:val="0"/>
              <w:spacing w:line="360" w:lineRule="auto"/>
              <w:jc w:val="center"/>
              <w:rPr>
                <w:rFonts w:cs="Courier New"/>
                <w:szCs w:val="24"/>
              </w:rPr>
            </w:pPr>
            <w:r>
              <w:rPr>
                <w:rFonts w:hint="eastAsia" w:cs="Courier New"/>
                <w:szCs w:val="24"/>
              </w:rPr>
              <w:t>项目内容</w:t>
            </w:r>
          </w:p>
        </w:tc>
        <w:tc>
          <w:tcPr>
            <w:tcW w:w="7200" w:type="dxa"/>
            <w:shd w:val="clear" w:color="auto" w:fill="auto"/>
          </w:tcPr>
          <w:p w14:paraId="27A71093">
            <w:pPr>
              <w:wordWrap w:val="0"/>
              <w:spacing w:line="360" w:lineRule="auto"/>
              <w:rPr>
                <w:rFonts w:cs="Courier New"/>
                <w:szCs w:val="24"/>
              </w:rPr>
            </w:pPr>
          </w:p>
        </w:tc>
      </w:tr>
    </w:tbl>
    <w:p w14:paraId="2DDC7A4D">
      <w:pPr>
        <w:wordWrap w:val="0"/>
        <w:spacing w:line="360" w:lineRule="auto"/>
        <w:ind w:left="1132" w:hanging="1128" w:hangingChars="470"/>
        <w:jc w:val="left"/>
        <w:rPr>
          <w:szCs w:val="24"/>
        </w:rPr>
      </w:pPr>
      <w:r>
        <w:rPr>
          <w:rFonts w:hint="eastAsia"/>
          <w:b/>
          <w:szCs w:val="24"/>
        </w:rPr>
        <w:t>说明：</w:t>
      </w:r>
      <w:r>
        <w:rPr>
          <w:rFonts w:hint="eastAsia"/>
          <w:szCs w:val="24"/>
        </w:rPr>
        <w:t>1、每个合同应单独附表，并附上相关证明材料，</w:t>
      </w:r>
      <w:r>
        <w:rPr>
          <w:rFonts w:hint="eastAsia" w:cs="Corbel"/>
          <w:szCs w:val="24"/>
        </w:rPr>
        <w:t>未按照要求详细完整填写此表，</w:t>
      </w:r>
      <w:r>
        <w:rPr>
          <w:rFonts w:hint="eastAsia"/>
          <w:szCs w:val="24"/>
        </w:rPr>
        <w:t>导致的后果由供应商自行承担。</w:t>
      </w:r>
    </w:p>
    <w:p w14:paraId="629EB44A">
      <w:pPr>
        <w:wordWrap w:val="0"/>
        <w:spacing w:line="360" w:lineRule="auto"/>
        <w:ind w:left="1228" w:leftChars="366" w:hanging="350" w:hangingChars="146"/>
        <w:jc w:val="left"/>
        <w:rPr>
          <w:szCs w:val="24"/>
        </w:rPr>
      </w:pPr>
      <w:r>
        <w:rPr>
          <w:rFonts w:hint="eastAsia"/>
          <w:szCs w:val="24"/>
        </w:rPr>
        <w:t>2、项目内容请详细说明所承担的具体工作内容等。</w:t>
      </w:r>
    </w:p>
    <w:p w14:paraId="77AC3DA5">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2B0A946E">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7690B148">
      <w:pPr>
        <w:spacing w:line="360" w:lineRule="auto"/>
        <w:rPr>
          <w:szCs w:val="32"/>
        </w:rPr>
      </w:pPr>
    </w:p>
    <w:p w14:paraId="2900CA2B">
      <w:pPr>
        <w:spacing w:line="360" w:lineRule="auto"/>
      </w:pPr>
      <w:bookmarkStart w:id="539" w:name="_Toc107561317"/>
    </w:p>
    <w:bookmarkEnd w:id="539"/>
    <w:p w14:paraId="73CF97C2">
      <w:pPr>
        <w:pStyle w:val="4"/>
        <w:numPr>
          <w:ilvl w:val="0"/>
          <w:numId w:val="60"/>
        </w:numPr>
        <w:wordWrap w:val="0"/>
        <w:spacing w:before="40" w:after="40" w:line="360" w:lineRule="auto"/>
        <w:ind w:left="1285" w:hanging="1280" w:hangingChars="400"/>
        <w:jc w:val="left"/>
        <w:rPr>
          <w:rFonts w:ascii="宋体" w:hAnsi="宋体" w:eastAsia="宋体" w:cs="Times New Roman"/>
          <w:bCs w:val="0"/>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p>
    <w:bookmarkEnd w:id="442"/>
    <w:bookmarkEnd w:id="443"/>
    <w:bookmarkEnd w:id="444"/>
    <w:bookmarkEnd w:id="445"/>
    <w:bookmarkEnd w:id="446"/>
    <w:bookmarkEnd w:id="447"/>
    <w:bookmarkEnd w:id="448"/>
    <w:bookmarkEnd w:id="449"/>
    <w:bookmarkEnd w:id="450"/>
    <w:bookmarkEnd w:id="451"/>
    <w:bookmarkEnd w:id="452"/>
    <w:bookmarkEnd w:id="453"/>
    <w:bookmarkEnd w:id="454"/>
    <w:p w14:paraId="50137D57">
      <w:pPr>
        <w:pStyle w:val="4"/>
        <w:numPr>
          <w:ilvl w:val="0"/>
          <w:numId w:val="50"/>
        </w:numPr>
        <w:tabs>
          <w:tab w:val="left" w:pos="567"/>
        </w:tabs>
        <w:spacing w:before="0" w:after="0" w:line="360" w:lineRule="auto"/>
        <w:ind w:left="482" w:hanging="482" w:hangingChars="200"/>
        <w:jc w:val="left"/>
        <w:rPr>
          <w:b w:val="0"/>
          <w:sz w:val="24"/>
          <w:szCs w:val="24"/>
        </w:rPr>
      </w:pPr>
      <w:bookmarkStart w:id="540" w:name="_Toc122527567"/>
      <w:bookmarkStart w:id="541" w:name="_Toc120806131"/>
      <w:bookmarkStart w:id="542" w:name="_Toc117244398"/>
      <w:bookmarkStart w:id="543" w:name="_Toc117244513"/>
      <w:r>
        <w:rPr>
          <w:rFonts w:hint="eastAsia"/>
          <w:sz w:val="24"/>
          <w:szCs w:val="24"/>
        </w:rPr>
        <w:t>节能</w:t>
      </w:r>
      <w:r>
        <w:rPr>
          <w:sz w:val="24"/>
          <w:szCs w:val="24"/>
        </w:rPr>
        <w:t>、环保、创新产品</w:t>
      </w:r>
      <w:r>
        <w:rPr>
          <w:rFonts w:hint="eastAsia"/>
          <w:sz w:val="24"/>
          <w:szCs w:val="24"/>
        </w:rPr>
        <w:t>明细</w:t>
      </w:r>
      <w:r>
        <w:rPr>
          <w:sz w:val="24"/>
          <w:szCs w:val="24"/>
        </w:rPr>
        <w:t>清单及证明</w:t>
      </w:r>
      <w:r>
        <w:rPr>
          <w:rFonts w:hint="eastAsia"/>
          <w:sz w:val="24"/>
          <w:szCs w:val="24"/>
        </w:rPr>
        <w:t>材料</w:t>
      </w:r>
      <w:bookmarkEnd w:id="540"/>
      <w:bookmarkEnd w:id="541"/>
    </w:p>
    <w:p w14:paraId="3A0EA353">
      <w:pPr>
        <w:spacing w:line="360" w:lineRule="auto"/>
        <w:ind w:firstLine="1200" w:firstLineChars="500"/>
        <w:rPr>
          <w:rFonts w:ascii="楷体" w:hAnsi="楷体" w:eastAsia="楷体"/>
          <w:szCs w:val="24"/>
        </w:rPr>
      </w:pPr>
      <w:r>
        <w:rPr>
          <w:rFonts w:hint="eastAsia" w:ascii="楷体" w:hAnsi="楷体" w:eastAsia="楷体"/>
          <w:szCs w:val="24"/>
        </w:rPr>
        <w:t>（</w:t>
      </w:r>
      <w:r>
        <w:rPr>
          <w:rFonts w:ascii="楷体" w:hAnsi="楷体" w:eastAsia="楷体"/>
          <w:szCs w:val="24"/>
        </w:rPr>
        <w:t>不含强制</w:t>
      </w:r>
      <w:r>
        <w:rPr>
          <w:rFonts w:hint="eastAsia" w:ascii="楷体" w:hAnsi="楷体" w:eastAsia="楷体"/>
          <w:szCs w:val="24"/>
        </w:rPr>
        <w:t>采购</w:t>
      </w:r>
      <w:r>
        <w:rPr>
          <w:rFonts w:ascii="楷体" w:hAnsi="楷体" w:eastAsia="楷体"/>
          <w:szCs w:val="24"/>
        </w:rPr>
        <w:t>的节能</w:t>
      </w:r>
      <w:r>
        <w:rPr>
          <w:rFonts w:hint="eastAsia" w:ascii="楷体" w:hAnsi="楷体" w:eastAsia="楷体"/>
          <w:szCs w:val="24"/>
        </w:rPr>
        <w:t>产品</w:t>
      </w:r>
      <w:r>
        <w:rPr>
          <w:rFonts w:ascii="楷体" w:hAnsi="楷体" w:eastAsia="楷体"/>
          <w:szCs w:val="24"/>
        </w:rPr>
        <w:t>）</w:t>
      </w:r>
    </w:p>
    <w:p w14:paraId="48718930">
      <w:pPr>
        <w:wordWrap w:val="0"/>
        <w:spacing w:line="360" w:lineRule="auto"/>
        <w:jc w:val="left"/>
        <w:rPr>
          <w:b/>
        </w:rPr>
      </w:pPr>
      <w:r>
        <w:rPr>
          <w:rFonts w:hint="eastAsia"/>
          <w:b/>
        </w:rPr>
        <w:t>投 标 人：</w:t>
      </w:r>
      <w:r>
        <w:rPr>
          <w:rFonts w:hint="eastAsia"/>
          <w:b/>
          <w:szCs w:val="21"/>
          <w:u w:val="single"/>
          <w:lang w:val="zh-CN"/>
        </w:rPr>
        <w:t xml:space="preserve">                     </w:t>
      </w:r>
      <w:r>
        <w:rPr>
          <w:rFonts w:hint="eastAsia"/>
          <w:b/>
          <w:szCs w:val="21"/>
          <w:lang w:val="zh-CN"/>
        </w:rPr>
        <w:t xml:space="preserve"> </w:t>
      </w:r>
    </w:p>
    <w:p w14:paraId="01E7B162">
      <w:pPr>
        <w:pStyle w:val="11"/>
        <w:spacing w:line="360" w:lineRule="auto"/>
        <w:rPr>
          <w:b/>
          <w:bCs/>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30"/>
        <w:tblW w:w="95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72"/>
        <w:gridCol w:w="1655"/>
        <w:gridCol w:w="1111"/>
        <w:gridCol w:w="699"/>
        <w:gridCol w:w="699"/>
        <w:gridCol w:w="913"/>
        <w:gridCol w:w="1207"/>
        <w:gridCol w:w="1394"/>
        <w:gridCol w:w="1268"/>
      </w:tblGrid>
      <w:tr w14:paraId="68F072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572" w:type="dxa"/>
            <w:shd w:val="pct10" w:color="C3BD96" w:themeColor="background2" w:themeShade="BF" w:fill="DDD9C4" w:themeFill="background2" w:themeFillShade="E6"/>
            <w:vAlign w:val="center"/>
          </w:tcPr>
          <w:p w14:paraId="4376FDEF">
            <w:pPr>
              <w:spacing w:line="360" w:lineRule="auto"/>
              <w:ind w:left="-120" w:leftChars="-50" w:right="-120" w:rightChars="-50"/>
              <w:jc w:val="center"/>
              <w:rPr>
                <w:rFonts w:cs="宋体"/>
                <w:b/>
              </w:rPr>
            </w:pPr>
            <w:r>
              <w:rPr>
                <w:rFonts w:hint="eastAsia" w:cs="仿宋_GB2312"/>
                <w:b/>
                <w:szCs w:val="24"/>
              </w:rPr>
              <w:t>序号</w:t>
            </w:r>
          </w:p>
        </w:tc>
        <w:tc>
          <w:tcPr>
            <w:tcW w:w="1655" w:type="dxa"/>
            <w:shd w:val="pct10" w:color="C3BD96" w:themeColor="background2" w:themeShade="BF" w:fill="DDD9C4" w:themeFill="background2" w:themeFillShade="E6"/>
            <w:vAlign w:val="center"/>
          </w:tcPr>
          <w:p w14:paraId="587A0BD5">
            <w:pPr>
              <w:wordWrap w:val="0"/>
              <w:spacing w:line="360" w:lineRule="auto"/>
              <w:ind w:left="-55" w:leftChars="-23" w:right="-74" w:rightChars="-31"/>
              <w:jc w:val="center"/>
              <w:rPr>
                <w:rFonts w:cs="宋体"/>
                <w:b/>
              </w:rPr>
            </w:pPr>
            <w:r>
              <w:rPr>
                <w:rFonts w:hint="eastAsia" w:cs="宋体"/>
                <w:b/>
              </w:rPr>
              <w:t>名称</w:t>
            </w:r>
          </w:p>
        </w:tc>
        <w:tc>
          <w:tcPr>
            <w:tcW w:w="1111" w:type="dxa"/>
            <w:shd w:val="pct10" w:color="C3BD96" w:themeColor="background2" w:themeShade="BF" w:fill="DDD9C4" w:themeFill="background2" w:themeFillShade="E6"/>
            <w:vAlign w:val="center"/>
          </w:tcPr>
          <w:p w14:paraId="41D6CD14">
            <w:pPr>
              <w:wordWrap w:val="0"/>
              <w:spacing w:line="360" w:lineRule="auto"/>
              <w:ind w:left="-55" w:leftChars="-23" w:right="-74" w:rightChars="-31"/>
              <w:jc w:val="center"/>
              <w:rPr>
                <w:rFonts w:cs="宋体"/>
                <w:b/>
              </w:rPr>
            </w:pPr>
            <w:r>
              <w:rPr>
                <w:rFonts w:hint="eastAsia"/>
                <w:b/>
              </w:rPr>
              <w:t>品牌规格型号</w:t>
            </w:r>
          </w:p>
        </w:tc>
        <w:tc>
          <w:tcPr>
            <w:tcW w:w="699" w:type="dxa"/>
            <w:tcBorders>
              <w:right w:val="single" w:color="auto" w:sz="4" w:space="0"/>
            </w:tcBorders>
            <w:shd w:val="pct10" w:color="C3BD96" w:themeColor="background2" w:themeShade="BF" w:fill="DDD9C4" w:themeFill="background2" w:themeFillShade="E6"/>
            <w:vAlign w:val="center"/>
          </w:tcPr>
          <w:p w14:paraId="0FC50756">
            <w:pPr>
              <w:wordWrap w:val="0"/>
              <w:spacing w:line="360" w:lineRule="auto"/>
              <w:ind w:left="-55" w:leftChars="-23" w:right="-74" w:rightChars="-31"/>
              <w:jc w:val="center"/>
              <w:rPr>
                <w:rFonts w:cs="宋体"/>
                <w:b/>
              </w:rPr>
            </w:pPr>
            <w:r>
              <w:rPr>
                <w:rFonts w:hint="eastAsia" w:cs="宋体"/>
                <w:b/>
              </w:rPr>
              <w:t>数量</w:t>
            </w:r>
          </w:p>
        </w:tc>
        <w:tc>
          <w:tcPr>
            <w:tcW w:w="699" w:type="dxa"/>
            <w:tcBorders>
              <w:left w:val="single" w:color="auto" w:sz="4" w:space="0"/>
            </w:tcBorders>
            <w:shd w:val="pct10" w:color="C3BD96" w:themeColor="background2" w:themeShade="BF" w:fill="DDD9C4" w:themeFill="background2" w:themeFillShade="E6"/>
            <w:vAlign w:val="center"/>
          </w:tcPr>
          <w:p w14:paraId="3766C715">
            <w:pPr>
              <w:wordWrap w:val="0"/>
              <w:spacing w:line="360" w:lineRule="auto"/>
              <w:ind w:left="-55" w:leftChars="-23" w:right="-74" w:rightChars="-31"/>
              <w:jc w:val="center"/>
              <w:rPr>
                <w:rFonts w:cs="宋体"/>
                <w:b/>
              </w:rPr>
            </w:pPr>
            <w:r>
              <w:rPr>
                <w:rFonts w:hint="eastAsia" w:cs="宋体"/>
                <w:b/>
              </w:rPr>
              <w:t>单位</w:t>
            </w:r>
          </w:p>
        </w:tc>
        <w:tc>
          <w:tcPr>
            <w:tcW w:w="913" w:type="dxa"/>
            <w:shd w:val="pct10" w:color="C3BD96" w:themeColor="background2" w:themeShade="BF" w:fill="DDD9C4" w:themeFill="background2" w:themeFillShade="E6"/>
            <w:vAlign w:val="center"/>
          </w:tcPr>
          <w:p w14:paraId="1EE40947">
            <w:pPr>
              <w:wordWrap w:val="0"/>
              <w:spacing w:line="360" w:lineRule="auto"/>
              <w:ind w:left="-26" w:leftChars="-11" w:right="-74" w:rightChars="-31"/>
              <w:jc w:val="center"/>
              <w:rPr>
                <w:rFonts w:cs="宋体"/>
                <w:b/>
              </w:rPr>
            </w:pPr>
            <w:r>
              <w:rPr>
                <w:rFonts w:hint="eastAsia" w:cs="宋体"/>
                <w:b/>
              </w:rPr>
              <w:t>单价（</w:t>
            </w:r>
            <w:r>
              <w:rPr>
                <w:rFonts w:cs="宋体"/>
                <w:b/>
              </w:rPr>
              <w:t>元）</w:t>
            </w:r>
          </w:p>
        </w:tc>
        <w:tc>
          <w:tcPr>
            <w:tcW w:w="1207" w:type="dxa"/>
            <w:shd w:val="pct10" w:color="C3BD96" w:themeColor="background2" w:themeShade="BF" w:fill="DDD9C4" w:themeFill="background2" w:themeFillShade="E6"/>
            <w:vAlign w:val="center"/>
          </w:tcPr>
          <w:p w14:paraId="092D2BDC">
            <w:pPr>
              <w:spacing w:line="360" w:lineRule="auto"/>
              <w:ind w:left="-120" w:leftChars="-50" w:right="-120" w:rightChars="-50"/>
              <w:jc w:val="center"/>
              <w:rPr>
                <w:rFonts w:cs="宋体"/>
                <w:b/>
              </w:rPr>
            </w:pPr>
            <w:r>
              <w:rPr>
                <w:rFonts w:hint="eastAsia" w:cs="宋体"/>
                <w:b/>
              </w:rPr>
              <w:t>分项</w:t>
            </w:r>
            <w:r>
              <w:rPr>
                <w:rFonts w:hint="eastAsia" w:cs="仿宋_GB2312"/>
                <w:b/>
                <w:szCs w:val="24"/>
              </w:rPr>
              <w:t>合计</w:t>
            </w:r>
            <w:r>
              <w:rPr>
                <w:rFonts w:hint="eastAsia" w:cs="宋体"/>
                <w:b/>
              </w:rPr>
              <w:t>（</w:t>
            </w:r>
            <w:r>
              <w:rPr>
                <w:rFonts w:cs="宋体"/>
                <w:b/>
              </w:rPr>
              <w:t>元</w:t>
            </w:r>
            <w:r>
              <w:rPr>
                <w:rFonts w:hint="eastAsia" w:cs="宋体"/>
                <w:b/>
              </w:rPr>
              <w:t>）</w:t>
            </w:r>
          </w:p>
        </w:tc>
        <w:tc>
          <w:tcPr>
            <w:tcW w:w="1394" w:type="dxa"/>
            <w:shd w:val="pct10" w:color="C3BD96" w:themeColor="background2" w:themeShade="BF" w:fill="DDD9C4" w:themeFill="background2" w:themeFillShade="E6"/>
            <w:vAlign w:val="center"/>
          </w:tcPr>
          <w:p w14:paraId="03988806">
            <w:pPr>
              <w:spacing w:line="360" w:lineRule="auto"/>
              <w:ind w:left="-120" w:leftChars="-50" w:right="-120" w:rightChars="-50"/>
              <w:jc w:val="center"/>
              <w:rPr>
                <w:rFonts w:cs="宋体"/>
                <w:b/>
              </w:rPr>
            </w:pPr>
            <w:r>
              <w:rPr>
                <w:rFonts w:hint="eastAsia" w:cs="宋体"/>
                <w:b/>
              </w:rPr>
              <w:t>节能/</w:t>
            </w:r>
            <w:r>
              <w:rPr>
                <w:rFonts w:cs="宋体"/>
                <w:b/>
              </w:rPr>
              <w:t>环保</w:t>
            </w:r>
            <w:r>
              <w:rPr>
                <w:rFonts w:hint="eastAsia" w:cs="宋体"/>
                <w:b/>
              </w:rPr>
              <w:t>/</w:t>
            </w:r>
            <w:r>
              <w:rPr>
                <w:rFonts w:cs="宋体"/>
                <w:b/>
              </w:rPr>
              <w:t>创新</w:t>
            </w:r>
            <w:r>
              <w:rPr>
                <w:rFonts w:hint="eastAsia" w:cs="仿宋_GB2312"/>
                <w:b/>
                <w:szCs w:val="24"/>
              </w:rPr>
              <w:t>产品</w:t>
            </w:r>
          </w:p>
        </w:tc>
        <w:tc>
          <w:tcPr>
            <w:tcW w:w="1268" w:type="dxa"/>
            <w:shd w:val="pct10" w:color="C3BD96" w:themeColor="background2" w:themeShade="BF" w:fill="DDD9C4" w:themeFill="background2" w:themeFillShade="E6"/>
          </w:tcPr>
          <w:p w14:paraId="2E77FB39">
            <w:pPr>
              <w:spacing w:line="360" w:lineRule="auto"/>
              <w:ind w:left="-120" w:leftChars="-50" w:right="-120" w:rightChars="-50"/>
              <w:jc w:val="center"/>
              <w:rPr>
                <w:rFonts w:cs="宋体"/>
                <w:b/>
              </w:rPr>
            </w:pPr>
            <w:r>
              <w:rPr>
                <w:rFonts w:hint="eastAsia" w:cs="宋体"/>
                <w:b/>
              </w:rPr>
              <w:t>制造厂家（</w:t>
            </w:r>
            <w:r>
              <w:rPr>
                <w:rFonts w:hint="eastAsia" w:cs="仿宋_GB2312"/>
                <w:b/>
                <w:szCs w:val="24"/>
              </w:rPr>
              <w:t>全称</w:t>
            </w:r>
            <w:r>
              <w:rPr>
                <w:rFonts w:hint="eastAsia" w:cs="宋体"/>
                <w:b/>
              </w:rPr>
              <w:t>）</w:t>
            </w:r>
          </w:p>
        </w:tc>
      </w:tr>
      <w:tr w14:paraId="7548CC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572" w:type="dxa"/>
            <w:shd w:val="clear" w:color="auto" w:fill="auto"/>
            <w:vAlign w:val="center"/>
          </w:tcPr>
          <w:p w14:paraId="5DBB8C98">
            <w:pPr>
              <w:wordWrap w:val="0"/>
              <w:spacing w:line="360" w:lineRule="auto"/>
              <w:ind w:left="-55" w:leftChars="-23" w:right="-74" w:rightChars="-31"/>
              <w:jc w:val="center"/>
            </w:pPr>
            <w:r>
              <w:rPr>
                <w:rFonts w:hint="eastAsia"/>
              </w:rPr>
              <w:t>1</w:t>
            </w:r>
          </w:p>
        </w:tc>
        <w:tc>
          <w:tcPr>
            <w:tcW w:w="1655" w:type="dxa"/>
            <w:shd w:val="clear" w:color="auto" w:fill="auto"/>
            <w:vAlign w:val="center"/>
          </w:tcPr>
          <w:p w14:paraId="396EA60A">
            <w:pPr>
              <w:wordWrap w:val="0"/>
              <w:spacing w:line="360" w:lineRule="auto"/>
              <w:ind w:left="-55" w:leftChars="-23" w:right="-74" w:rightChars="-31"/>
              <w:jc w:val="center"/>
            </w:pPr>
          </w:p>
        </w:tc>
        <w:tc>
          <w:tcPr>
            <w:tcW w:w="1111" w:type="dxa"/>
            <w:shd w:val="clear" w:color="auto" w:fill="auto"/>
            <w:vAlign w:val="center"/>
          </w:tcPr>
          <w:p w14:paraId="73DAB2A6">
            <w:pPr>
              <w:wordWrap w:val="0"/>
              <w:spacing w:line="360" w:lineRule="auto"/>
              <w:ind w:left="-55" w:leftChars="-23" w:right="-74" w:rightChars="-31"/>
              <w:jc w:val="left"/>
              <w:rPr>
                <w:rFonts w:cs="宋体"/>
                <w:szCs w:val="24"/>
              </w:rPr>
            </w:pPr>
          </w:p>
        </w:tc>
        <w:tc>
          <w:tcPr>
            <w:tcW w:w="699" w:type="dxa"/>
            <w:tcBorders>
              <w:right w:val="single" w:color="auto" w:sz="4" w:space="0"/>
            </w:tcBorders>
            <w:shd w:val="clear" w:color="auto" w:fill="auto"/>
            <w:vAlign w:val="center"/>
          </w:tcPr>
          <w:p w14:paraId="09E7438E">
            <w:pPr>
              <w:wordWrap w:val="0"/>
              <w:spacing w:line="360" w:lineRule="auto"/>
              <w:ind w:left="-55" w:leftChars="-23" w:right="-430" w:rightChars="-179"/>
              <w:jc w:val="center"/>
              <w:rPr>
                <w:rFonts w:cs="宋体"/>
                <w:szCs w:val="24"/>
              </w:rPr>
            </w:pPr>
          </w:p>
        </w:tc>
        <w:tc>
          <w:tcPr>
            <w:tcW w:w="699" w:type="dxa"/>
            <w:tcBorders>
              <w:left w:val="single" w:color="auto" w:sz="4" w:space="0"/>
            </w:tcBorders>
            <w:shd w:val="clear" w:color="auto" w:fill="auto"/>
            <w:vAlign w:val="center"/>
          </w:tcPr>
          <w:p w14:paraId="0DC42E9B">
            <w:pPr>
              <w:wordWrap w:val="0"/>
              <w:spacing w:line="360" w:lineRule="auto"/>
              <w:ind w:left="-55" w:leftChars="-23" w:right="-430" w:rightChars="-179"/>
              <w:jc w:val="center"/>
              <w:rPr>
                <w:rFonts w:cs="宋体"/>
                <w:szCs w:val="24"/>
              </w:rPr>
            </w:pPr>
          </w:p>
        </w:tc>
        <w:tc>
          <w:tcPr>
            <w:tcW w:w="913" w:type="dxa"/>
            <w:shd w:val="clear" w:color="auto" w:fill="auto"/>
            <w:vAlign w:val="center"/>
          </w:tcPr>
          <w:p w14:paraId="2846F963">
            <w:pPr>
              <w:wordWrap w:val="0"/>
              <w:spacing w:line="360" w:lineRule="auto"/>
              <w:ind w:left="-55" w:leftChars="-23" w:right="-74" w:rightChars="-31"/>
              <w:jc w:val="center"/>
              <w:rPr>
                <w:rFonts w:cs="宋体"/>
                <w:szCs w:val="24"/>
              </w:rPr>
            </w:pPr>
          </w:p>
        </w:tc>
        <w:tc>
          <w:tcPr>
            <w:tcW w:w="1207" w:type="dxa"/>
            <w:shd w:val="clear" w:color="auto" w:fill="auto"/>
            <w:vAlign w:val="center"/>
          </w:tcPr>
          <w:p w14:paraId="79F80307">
            <w:pPr>
              <w:wordWrap w:val="0"/>
              <w:spacing w:line="360" w:lineRule="auto"/>
              <w:ind w:left="-55" w:leftChars="-23" w:right="-74" w:rightChars="-31"/>
              <w:jc w:val="left"/>
              <w:rPr>
                <w:rFonts w:cs="宋体"/>
                <w:szCs w:val="24"/>
              </w:rPr>
            </w:pPr>
          </w:p>
        </w:tc>
        <w:tc>
          <w:tcPr>
            <w:tcW w:w="1394" w:type="dxa"/>
            <w:shd w:val="clear" w:color="auto" w:fill="auto"/>
            <w:vAlign w:val="center"/>
          </w:tcPr>
          <w:p w14:paraId="63E32202">
            <w:pPr>
              <w:wordWrap w:val="0"/>
              <w:spacing w:line="360" w:lineRule="auto"/>
              <w:ind w:left="-55" w:leftChars="-23" w:right="-74" w:rightChars="-31"/>
              <w:jc w:val="center"/>
              <w:rPr>
                <w:rFonts w:cs="宋体"/>
                <w:szCs w:val="24"/>
              </w:rPr>
            </w:pPr>
          </w:p>
        </w:tc>
        <w:tc>
          <w:tcPr>
            <w:tcW w:w="1268" w:type="dxa"/>
          </w:tcPr>
          <w:p w14:paraId="499C07E5">
            <w:pPr>
              <w:wordWrap w:val="0"/>
              <w:spacing w:line="360" w:lineRule="auto"/>
              <w:ind w:left="-55" w:leftChars="-23" w:right="-74" w:rightChars="-31"/>
              <w:jc w:val="center"/>
              <w:rPr>
                <w:rFonts w:cs="宋体"/>
                <w:szCs w:val="24"/>
              </w:rPr>
            </w:pPr>
          </w:p>
        </w:tc>
      </w:tr>
      <w:tr w14:paraId="44142F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572" w:type="dxa"/>
            <w:shd w:val="clear" w:color="auto" w:fill="auto"/>
            <w:vAlign w:val="center"/>
          </w:tcPr>
          <w:p w14:paraId="41144190">
            <w:pPr>
              <w:wordWrap w:val="0"/>
              <w:spacing w:line="360" w:lineRule="auto"/>
              <w:ind w:left="-55" w:leftChars="-23" w:right="-74" w:rightChars="-31"/>
              <w:jc w:val="center"/>
            </w:pPr>
            <w:r>
              <w:rPr>
                <w:rFonts w:hint="eastAsia"/>
              </w:rPr>
              <w:t>2</w:t>
            </w:r>
          </w:p>
        </w:tc>
        <w:tc>
          <w:tcPr>
            <w:tcW w:w="1655" w:type="dxa"/>
            <w:shd w:val="clear" w:color="auto" w:fill="auto"/>
            <w:vAlign w:val="center"/>
          </w:tcPr>
          <w:p w14:paraId="65F603A5">
            <w:pPr>
              <w:wordWrap w:val="0"/>
              <w:spacing w:line="360" w:lineRule="auto"/>
              <w:ind w:left="-55" w:leftChars="-23" w:right="-74" w:rightChars="-31"/>
              <w:jc w:val="center"/>
            </w:pPr>
          </w:p>
        </w:tc>
        <w:tc>
          <w:tcPr>
            <w:tcW w:w="1111" w:type="dxa"/>
            <w:shd w:val="clear" w:color="auto" w:fill="auto"/>
            <w:vAlign w:val="center"/>
          </w:tcPr>
          <w:p w14:paraId="0D62CE45">
            <w:pPr>
              <w:wordWrap w:val="0"/>
              <w:spacing w:line="360" w:lineRule="auto"/>
              <w:ind w:left="-55" w:leftChars="-23" w:right="-74" w:rightChars="-31"/>
              <w:jc w:val="left"/>
              <w:rPr>
                <w:rFonts w:cs="宋体"/>
                <w:szCs w:val="24"/>
              </w:rPr>
            </w:pPr>
          </w:p>
        </w:tc>
        <w:tc>
          <w:tcPr>
            <w:tcW w:w="699" w:type="dxa"/>
            <w:tcBorders>
              <w:right w:val="single" w:color="auto" w:sz="4" w:space="0"/>
            </w:tcBorders>
            <w:shd w:val="clear" w:color="auto" w:fill="auto"/>
            <w:vAlign w:val="center"/>
          </w:tcPr>
          <w:p w14:paraId="0D17842E">
            <w:pPr>
              <w:wordWrap w:val="0"/>
              <w:spacing w:line="360" w:lineRule="auto"/>
              <w:ind w:left="-55" w:leftChars="-23" w:right="-74" w:rightChars="-31"/>
              <w:jc w:val="center"/>
              <w:rPr>
                <w:rFonts w:cs="宋体"/>
                <w:szCs w:val="24"/>
              </w:rPr>
            </w:pPr>
          </w:p>
        </w:tc>
        <w:tc>
          <w:tcPr>
            <w:tcW w:w="699" w:type="dxa"/>
            <w:tcBorders>
              <w:left w:val="single" w:color="auto" w:sz="4" w:space="0"/>
            </w:tcBorders>
            <w:shd w:val="clear" w:color="auto" w:fill="auto"/>
            <w:vAlign w:val="center"/>
          </w:tcPr>
          <w:p w14:paraId="39E2BA15">
            <w:pPr>
              <w:wordWrap w:val="0"/>
              <w:spacing w:line="360" w:lineRule="auto"/>
              <w:ind w:left="-55" w:leftChars="-23" w:right="-74" w:rightChars="-31"/>
              <w:jc w:val="center"/>
              <w:rPr>
                <w:rFonts w:cs="宋体"/>
                <w:szCs w:val="24"/>
              </w:rPr>
            </w:pPr>
          </w:p>
        </w:tc>
        <w:tc>
          <w:tcPr>
            <w:tcW w:w="913" w:type="dxa"/>
            <w:shd w:val="clear" w:color="auto" w:fill="auto"/>
            <w:vAlign w:val="center"/>
          </w:tcPr>
          <w:p w14:paraId="64894F6A">
            <w:pPr>
              <w:wordWrap w:val="0"/>
              <w:spacing w:line="360" w:lineRule="auto"/>
              <w:ind w:left="-55" w:leftChars="-23" w:right="-74" w:rightChars="-31"/>
              <w:jc w:val="center"/>
              <w:rPr>
                <w:rFonts w:cs="宋体"/>
                <w:szCs w:val="24"/>
              </w:rPr>
            </w:pPr>
          </w:p>
        </w:tc>
        <w:tc>
          <w:tcPr>
            <w:tcW w:w="1207" w:type="dxa"/>
            <w:shd w:val="clear" w:color="auto" w:fill="auto"/>
            <w:vAlign w:val="center"/>
          </w:tcPr>
          <w:p w14:paraId="58DF8395">
            <w:pPr>
              <w:wordWrap w:val="0"/>
              <w:spacing w:line="360" w:lineRule="auto"/>
              <w:ind w:left="-55" w:leftChars="-23" w:right="-74" w:rightChars="-31"/>
              <w:jc w:val="left"/>
              <w:rPr>
                <w:rFonts w:cs="宋体"/>
                <w:szCs w:val="24"/>
              </w:rPr>
            </w:pPr>
          </w:p>
        </w:tc>
        <w:tc>
          <w:tcPr>
            <w:tcW w:w="1394" w:type="dxa"/>
            <w:shd w:val="clear" w:color="auto" w:fill="auto"/>
            <w:vAlign w:val="center"/>
          </w:tcPr>
          <w:p w14:paraId="0FA85185">
            <w:pPr>
              <w:wordWrap w:val="0"/>
              <w:spacing w:line="360" w:lineRule="auto"/>
              <w:ind w:left="-55" w:leftChars="-23" w:right="-74" w:rightChars="-31"/>
              <w:jc w:val="center"/>
              <w:rPr>
                <w:rFonts w:cs="宋体"/>
                <w:szCs w:val="24"/>
              </w:rPr>
            </w:pPr>
          </w:p>
        </w:tc>
        <w:tc>
          <w:tcPr>
            <w:tcW w:w="1268" w:type="dxa"/>
          </w:tcPr>
          <w:p w14:paraId="101E9CFA">
            <w:pPr>
              <w:wordWrap w:val="0"/>
              <w:spacing w:line="360" w:lineRule="auto"/>
              <w:ind w:left="-55" w:leftChars="-23" w:right="-74" w:rightChars="-31"/>
              <w:jc w:val="center"/>
              <w:rPr>
                <w:rFonts w:cs="宋体"/>
                <w:szCs w:val="24"/>
              </w:rPr>
            </w:pPr>
          </w:p>
        </w:tc>
      </w:tr>
      <w:tr w14:paraId="09DFE5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572" w:type="dxa"/>
            <w:shd w:val="clear" w:color="auto" w:fill="auto"/>
            <w:vAlign w:val="center"/>
          </w:tcPr>
          <w:p w14:paraId="7BE3A25A">
            <w:pPr>
              <w:wordWrap w:val="0"/>
              <w:spacing w:line="360" w:lineRule="auto"/>
              <w:ind w:left="-55" w:leftChars="-23" w:right="-74" w:rightChars="-31"/>
              <w:jc w:val="center"/>
            </w:pPr>
            <w:r>
              <w:rPr>
                <w:rFonts w:hint="eastAsia"/>
              </w:rPr>
              <w:t>3</w:t>
            </w:r>
          </w:p>
        </w:tc>
        <w:tc>
          <w:tcPr>
            <w:tcW w:w="1655" w:type="dxa"/>
            <w:shd w:val="clear" w:color="auto" w:fill="auto"/>
            <w:vAlign w:val="center"/>
          </w:tcPr>
          <w:p w14:paraId="378F8C3D">
            <w:pPr>
              <w:wordWrap w:val="0"/>
              <w:spacing w:line="360" w:lineRule="auto"/>
              <w:ind w:left="-55" w:leftChars="-23" w:right="-74" w:rightChars="-31"/>
              <w:jc w:val="center"/>
            </w:pPr>
          </w:p>
        </w:tc>
        <w:tc>
          <w:tcPr>
            <w:tcW w:w="1111" w:type="dxa"/>
            <w:shd w:val="clear" w:color="auto" w:fill="auto"/>
            <w:vAlign w:val="center"/>
          </w:tcPr>
          <w:p w14:paraId="4DE63536">
            <w:pPr>
              <w:wordWrap w:val="0"/>
              <w:spacing w:line="360" w:lineRule="auto"/>
              <w:ind w:left="-55" w:leftChars="-23" w:right="-74" w:rightChars="-31"/>
              <w:jc w:val="left"/>
              <w:rPr>
                <w:rFonts w:cs="宋体"/>
                <w:szCs w:val="24"/>
              </w:rPr>
            </w:pPr>
          </w:p>
        </w:tc>
        <w:tc>
          <w:tcPr>
            <w:tcW w:w="699" w:type="dxa"/>
            <w:tcBorders>
              <w:right w:val="single" w:color="auto" w:sz="4" w:space="0"/>
            </w:tcBorders>
            <w:shd w:val="clear" w:color="auto" w:fill="auto"/>
            <w:vAlign w:val="center"/>
          </w:tcPr>
          <w:p w14:paraId="30EC2FE3">
            <w:pPr>
              <w:wordWrap w:val="0"/>
              <w:spacing w:line="360" w:lineRule="auto"/>
              <w:ind w:left="-55" w:leftChars="-23" w:right="-74" w:rightChars="-31"/>
              <w:jc w:val="center"/>
              <w:rPr>
                <w:rFonts w:cs="宋体"/>
                <w:szCs w:val="24"/>
              </w:rPr>
            </w:pPr>
          </w:p>
        </w:tc>
        <w:tc>
          <w:tcPr>
            <w:tcW w:w="699" w:type="dxa"/>
            <w:tcBorders>
              <w:left w:val="single" w:color="auto" w:sz="4" w:space="0"/>
            </w:tcBorders>
            <w:shd w:val="clear" w:color="auto" w:fill="auto"/>
            <w:vAlign w:val="center"/>
          </w:tcPr>
          <w:p w14:paraId="6C5CE186">
            <w:pPr>
              <w:wordWrap w:val="0"/>
              <w:spacing w:line="360" w:lineRule="auto"/>
              <w:ind w:left="-55" w:leftChars="-23" w:right="-74" w:rightChars="-31"/>
              <w:jc w:val="center"/>
              <w:rPr>
                <w:rFonts w:cs="宋体"/>
                <w:szCs w:val="24"/>
              </w:rPr>
            </w:pPr>
          </w:p>
        </w:tc>
        <w:tc>
          <w:tcPr>
            <w:tcW w:w="913" w:type="dxa"/>
            <w:shd w:val="clear" w:color="auto" w:fill="auto"/>
            <w:vAlign w:val="center"/>
          </w:tcPr>
          <w:p w14:paraId="47B91451">
            <w:pPr>
              <w:wordWrap w:val="0"/>
              <w:spacing w:line="360" w:lineRule="auto"/>
              <w:ind w:left="-55" w:leftChars="-23" w:right="-74" w:rightChars="-31"/>
              <w:jc w:val="center"/>
              <w:rPr>
                <w:rFonts w:cs="宋体"/>
                <w:szCs w:val="24"/>
              </w:rPr>
            </w:pPr>
          </w:p>
        </w:tc>
        <w:tc>
          <w:tcPr>
            <w:tcW w:w="1207" w:type="dxa"/>
            <w:shd w:val="clear" w:color="auto" w:fill="auto"/>
            <w:vAlign w:val="center"/>
          </w:tcPr>
          <w:p w14:paraId="33F358F9">
            <w:pPr>
              <w:wordWrap w:val="0"/>
              <w:spacing w:line="360" w:lineRule="auto"/>
              <w:ind w:left="-55" w:leftChars="-23" w:right="-74" w:rightChars="-31"/>
              <w:jc w:val="left"/>
              <w:rPr>
                <w:rFonts w:cs="宋体"/>
                <w:szCs w:val="24"/>
              </w:rPr>
            </w:pPr>
          </w:p>
        </w:tc>
        <w:tc>
          <w:tcPr>
            <w:tcW w:w="1394" w:type="dxa"/>
            <w:shd w:val="clear" w:color="auto" w:fill="auto"/>
            <w:vAlign w:val="center"/>
          </w:tcPr>
          <w:p w14:paraId="06FAE1F5">
            <w:pPr>
              <w:wordWrap w:val="0"/>
              <w:spacing w:line="360" w:lineRule="auto"/>
              <w:ind w:left="-55" w:leftChars="-23" w:right="-74" w:rightChars="-31"/>
              <w:jc w:val="center"/>
              <w:rPr>
                <w:rFonts w:cs="宋体"/>
                <w:szCs w:val="24"/>
              </w:rPr>
            </w:pPr>
          </w:p>
        </w:tc>
        <w:tc>
          <w:tcPr>
            <w:tcW w:w="1268" w:type="dxa"/>
          </w:tcPr>
          <w:p w14:paraId="757A6FE9">
            <w:pPr>
              <w:wordWrap w:val="0"/>
              <w:spacing w:line="360" w:lineRule="auto"/>
              <w:ind w:left="-55" w:leftChars="-23" w:right="-74" w:rightChars="-31"/>
              <w:jc w:val="center"/>
              <w:rPr>
                <w:rFonts w:cs="宋体"/>
                <w:szCs w:val="24"/>
              </w:rPr>
            </w:pPr>
          </w:p>
        </w:tc>
      </w:tr>
      <w:tr w14:paraId="3B61F9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jc w:val="center"/>
        </w:trPr>
        <w:tc>
          <w:tcPr>
            <w:tcW w:w="572" w:type="dxa"/>
            <w:shd w:val="clear" w:color="auto" w:fill="auto"/>
            <w:vAlign w:val="center"/>
          </w:tcPr>
          <w:p w14:paraId="5EB3141D">
            <w:pPr>
              <w:wordWrap w:val="0"/>
              <w:spacing w:line="360" w:lineRule="auto"/>
              <w:ind w:left="-55" w:leftChars="-23" w:right="-74" w:rightChars="-31"/>
              <w:jc w:val="center"/>
            </w:pPr>
            <w:r>
              <w:rPr>
                <w:rFonts w:hint="eastAsia"/>
              </w:rPr>
              <w:t>…</w:t>
            </w:r>
          </w:p>
        </w:tc>
        <w:tc>
          <w:tcPr>
            <w:tcW w:w="1655" w:type="dxa"/>
            <w:shd w:val="clear" w:color="auto" w:fill="auto"/>
            <w:vAlign w:val="center"/>
          </w:tcPr>
          <w:p w14:paraId="6297AB75">
            <w:pPr>
              <w:wordWrap w:val="0"/>
              <w:spacing w:line="360" w:lineRule="auto"/>
              <w:ind w:left="-55" w:leftChars="-23" w:right="-74" w:rightChars="-31"/>
              <w:jc w:val="center"/>
              <w:rPr>
                <w:rFonts w:cs="宋体"/>
                <w:szCs w:val="24"/>
              </w:rPr>
            </w:pPr>
            <w:r>
              <w:rPr>
                <w:rFonts w:hint="eastAsia"/>
              </w:rPr>
              <w:t>……</w:t>
            </w:r>
          </w:p>
        </w:tc>
        <w:tc>
          <w:tcPr>
            <w:tcW w:w="1111" w:type="dxa"/>
            <w:shd w:val="clear" w:color="auto" w:fill="auto"/>
            <w:vAlign w:val="center"/>
          </w:tcPr>
          <w:p w14:paraId="7B20AD96">
            <w:pPr>
              <w:wordWrap w:val="0"/>
              <w:spacing w:line="360" w:lineRule="auto"/>
              <w:ind w:left="-55" w:leftChars="-23" w:right="-74" w:rightChars="-31"/>
              <w:jc w:val="left"/>
              <w:rPr>
                <w:rFonts w:cs="宋体"/>
                <w:szCs w:val="24"/>
              </w:rPr>
            </w:pPr>
            <w:r>
              <w:rPr>
                <w:rFonts w:hint="eastAsia"/>
              </w:rPr>
              <w:t>…</w:t>
            </w:r>
          </w:p>
        </w:tc>
        <w:tc>
          <w:tcPr>
            <w:tcW w:w="699" w:type="dxa"/>
            <w:tcBorders>
              <w:right w:val="single" w:color="auto" w:sz="4" w:space="0"/>
            </w:tcBorders>
            <w:shd w:val="clear" w:color="auto" w:fill="auto"/>
            <w:vAlign w:val="center"/>
          </w:tcPr>
          <w:p w14:paraId="27AD7A22">
            <w:pPr>
              <w:wordWrap w:val="0"/>
              <w:spacing w:line="360" w:lineRule="auto"/>
              <w:ind w:left="-55" w:leftChars="-23" w:right="-74" w:rightChars="-31"/>
              <w:jc w:val="center"/>
              <w:rPr>
                <w:rFonts w:cs="宋体"/>
                <w:szCs w:val="24"/>
              </w:rPr>
            </w:pPr>
            <w:r>
              <w:rPr>
                <w:rFonts w:hint="eastAsia"/>
              </w:rPr>
              <w:t>…</w:t>
            </w:r>
          </w:p>
        </w:tc>
        <w:tc>
          <w:tcPr>
            <w:tcW w:w="699" w:type="dxa"/>
            <w:tcBorders>
              <w:left w:val="single" w:color="auto" w:sz="4" w:space="0"/>
            </w:tcBorders>
            <w:shd w:val="clear" w:color="auto" w:fill="auto"/>
            <w:vAlign w:val="center"/>
          </w:tcPr>
          <w:p w14:paraId="5B9C18A8">
            <w:pPr>
              <w:wordWrap w:val="0"/>
              <w:spacing w:line="360" w:lineRule="auto"/>
              <w:ind w:left="-55" w:leftChars="-23" w:right="-74" w:rightChars="-31"/>
              <w:jc w:val="center"/>
              <w:rPr>
                <w:rFonts w:cs="宋体"/>
                <w:szCs w:val="24"/>
              </w:rPr>
            </w:pPr>
            <w:r>
              <w:rPr>
                <w:rFonts w:hint="eastAsia"/>
              </w:rPr>
              <w:t>…</w:t>
            </w:r>
          </w:p>
        </w:tc>
        <w:tc>
          <w:tcPr>
            <w:tcW w:w="913" w:type="dxa"/>
            <w:shd w:val="clear" w:color="auto" w:fill="auto"/>
            <w:vAlign w:val="center"/>
          </w:tcPr>
          <w:p w14:paraId="41873BC8">
            <w:pPr>
              <w:wordWrap w:val="0"/>
              <w:spacing w:line="360" w:lineRule="auto"/>
              <w:ind w:left="-55" w:leftChars="-23" w:right="-74" w:rightChars="-31"/>
              <w:jc w:val="center"/>
              <w:rPr>
                <w:rFonts w:cs="宋体"/>
                <w:szCs w:val="24"/>
              </w:rPr>
            </w:pPr>
            <w:r>
              <w:rPr>
                <w:rFonts w:hint="eastAsia"/>
              </w:rPr>
              <w:t>…</w:t>
            </w:r>
          </w:p>
        </w:tc>
        <w:tc>
          <w:tcPr>
            <w:tcW w:w="1207" w:type="dxa"/>
            <w:shd w:val="clear" w:color="auto" w:fill="auto"/>
            <w:vAlign w:val="center"/>
          </w:tcPr>
          <w:p w14:paraId="6AD2B417">
            <w:pPr>
              <w:wordWrap w:val="0"/>
              <w:spacing w:line="360" w:lineRule="auto"/>
              <w:ind w:left="-55" w:leftChars="-23" w:right="-74" w:rightChars="-31"/>
              <w:jc w:val="left"/>
              <w:rPr>
                <w:rFonts w:cs="宋体"/>
                <w:szCs w:val="24"/>
              </w:rPr>
            </w:pPr>
            <w:r>
              <w:rPr>
                <w:rFonts w:hint="eastAsia"/>
              </w:rPr>
              <w:t>…</w:t>
            </w:r>
          </w:p>
        </w:tc>
        <w:tc>
          <w:tcPr>
            <w:tcW w:w="1394" w:type="dxa"/>
            <w:shd w:val="clear" w:color="auto" w:fill="auto"/>
            <w:vAlign w:val="center"/>
          </w:tcPr>
          <w:p w14:paraId="7ECCB843">
            <w:pPr>
              <w:wordWrap w:val="0"/>
              <w:spacing w:line="360" w:lineRule="auto"/>
              <w:ind w:left="-55" w:leftChars="-23" w:right="-74" w:rightChars="-31"/>
              <w:jc w:val="center"/>
              <w:rPr>
                <w:rFonts w:cs="宋体"/>
                <w:szCs w:val="24"/>
              </w:rPr>
            </w:pPr>
            <w:r>
              <w:rPr>
                <w:rFonts w:hint="eastAsia"/>
              </w:rPr>
              <w:t>…</w:t>
            </w:r>
          </w:p>
        </w:tc>
        <w:tc>
          <w:tcPr>
            <w:tcW w:w="1268" w:type="dxa"/>
          </w:tcPr>
          <w:p w14:paraId="6D3C1A70">
            <w:pPr>
              <w:wordWrap w:val="0"/>
              <w:spacing w:line="360" w:lineRule="auto"/>
              <w:ind w:left="-55" w:leftChars="-23" w:right="-74" w:rightChars="-31"/>
              <w:jc w:val="center"/>
            </w:pPr>
          </w:p>
        </w:tc>
      </w:tr>
      <w:tr w14:paraId="7D85D4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5649" w:type="dxa"/>
            <w:gridSpan w:val="6"/>
            <w:shd w:val="clear" w:color="auto" w:fill="auto"/>
            <w:vAlign w:val="center"/>
          </w:tcPr>
          <w:p w14:paraId="2E02157A">
            <w:pPr>
              <w:wordWrap w:val="0"/>
              <w:spacing w:line="360" w:lineRule="auto"/>
              <w:ind w:left="-55" w:leftChars="-23" w:right="-74" w:rightChars="-31"/>
              <w:jc w:val="center"/>
              <w:rPr>
                <w:rFonts w:cs="宋体"/>
                <w:b/>
                <w:szCs w:val="24"/>
              </w:rPr>
            </w:pPr>
            <w:r>
              <w:rPr>
                <w:rFonts w:hint="eastAsia" w:cs="宋体"/>
                <w:b/>
                <w:szCs w:val="24"/>
              </w:rPr>
              <w:t>合  计</w:t>
            </w:r>
          </w:p>
        </w:tc>
        <w:tc>
          <w:tcPr>
            <w:tcW w:w="3869" w:type="dxa"/>
            <w:gridSpan w:val="3"/>
            <w:shd w:val="clear" w:color="auto" w:fill="auto"/>
            <w:vAlign w:val="center"/>
          </w:tcPr>
          <w:p w14:paraId="51059E1F">
            <w:pPr>
              <w:wordWrap w:val="0"/>
              <w:spacing w:line="360" w:lineRule="auto"/>
              <w:ind w:left="-55" w:leftChars="-23" w:right="-74" w:rightChars="-31"/>
              <w:jc w:val="left"/>
              <w:rPr>
                <w:rFonts w:cs="宋体"/>
                <w:szCs w:val="24"/>
              </w:rPr>
            </w:pPr>
          </w:p>
        </w:tc>
      </w:tr>
      <w:tr w14:paraId="76243F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5649" w:type="dxa"/>
            <w:gridSpan w:val="6"/>
            <w:shd w:val="clear" w:color="auto" w:fill="auto"/>
            <w:vAlign w:val="center"/>
          </w:tcPr>
          <w:p w14:paraId="676CC072">
            <w:pPr>
              <w:wordWrap w:val="0"/>
              <w:spacing w:line="360" w:lineRule="auto"/>
              <w:ind w:left="-55" w:leftChars="-23" w:right="-74" w:rightChars="-31"/>
              <w:jc w:val="center"/>
              <w:rPr>
                <w:rFonts w:cs="宋体"/>
                <w:b/>
                <w:szCs w:val="24"/>
              </w:rPr>
            </w:pPr>
            <w:r>
              <w:rPr>
                <w:rFonts w:hint="eastAsia" w:cs="宋体"/>
                <w:b/>
                <w:szCs w:val="24"/>
              </w:rPr>
              <w:t>占</w:t>
            </w:r>
            <w:r>
              <w:rPr>
                <w:rFonts w:cs="宋体"/>
                <w:b/>
                <w:szCs w:val="24"/>
              </w:rPr>
              <w:t>投标金额比例（</w:t>
            </w:r>
            <w:r>
              <w:rPr>
                <w:rFonts w:hint="eastAsia" w:cs="宋体"/>
                <w:b/>
                <w:szCs w:val="24"/>
              </w:rPr>
              <w:t>%）</w:t>
            </w:r>
          </w:p>
        </w:tc>
        <w:tc>
          <w:tcPr>
            <w:tcW w:w="3869" w:type="dxa"/>
            <w:gridSpan w:val="3"/>
            <w:shd w:val="clear" w:color="auto" w:fill="auto"/>
            <w:vAlign w:val="center"/>
          </w:tcPr>
          <w:p w14:paraId="29D283AE">
            <w:pPr>
              <w:wordWrap w:val="0"/>
              <w:spacing w:line="360" w:lineRule="auto"/>
              <w:ind w:left="-55" w:leftChars="-23" w:right="-74" w:rightChars="-31"/>
              <w:jc w:val="left"/>
              <w:rPr>
                <w:rFonts w:cs="宋体"/>
                <w:szCs w:val="24"/>
              </w:rPr>
            </w:pPr>
          </w:p>
        </w:tc>
      </w:tr>
    </w:tbl>
    <w:p w14:paraId="0F26F647">
      <w:pPr>
        <w:spacing w:line="360" w:lineRule="auto"/>
        <w:ind w:left="723" w:hanging="723" w:hangingChars="300"/>
        <w:rPr>
          <w:b/>
          <w:szCs w:val="24"/>
        </w:rPr>
      </w:pPr>
      <w:r>
        <w:rPr>
          <w:rFonts w:hint="eastAsia"/>
          <w:b/>
          <w:szCs w:val="24"/>
        </w:rPr>
        <w:t>说明：</w:t>
      </w:r>
      <w:r>
        <w:rPr>
          <w:rFonts w:hint="eastAsia"/>
          <w:szCs w:val="24"/>
        </w:rPr>
        <w:t>1、在“节能</w:t>
      </w:r>
      <w:r>
        <w:rPr>
          <w:szCs w:val="24"/>
        </w:rPr>
        <w:t>/环保/创新产品</w:t>
      </w:r>
      <w:r>
        <w:rPr>
          <w:rFonts w:hint="eastAsia"/>
          <w:szCs w:val="24"/>
        </w:rPr>
        <w:t>”栏中注明对应产品属于“节能或环保或创新”产品。</w:t>
      </w:r>
    </w:p>
    <w:p w14:paraId="040C5A7F">
      <w:pPr>
        <w:spacing w:line="360" w:lineRule="auto"/>
        <w:ind w:left="1080" w:leftChars="300" w:hanging="360" w:hangingChars="150"/>
        <w:rPr>
          <w:szCs w:val="24"/>
        </w:rPr>
      </w:pPr>
      <w:r>
        <w:rPr>
          <w:rFonts w:hint="eastAsia"/>
          <w:szCs w:val="24"/>
        </w:rPr>
        <w:t>2、节能</w:t>
      </w:r>
      <w:r>
        <w:rPr>
          <w:szCs w:val="24"/>
        </w:rPr>
        <w:t>产品</w:t>
      </w:r>
      <w:r>
        <w:rPr>
          <w:rFonts w:hint="eastAsia"/>
          <w:szCs w:val="24"/>
        </w:rPr>
        <w:t>的应提供《节能产品政府采购品目清单》中</w:t>
      </w:r>
      <w:r>
        <w:rPr>
          <w:szCs w:val="24"/>
        </w:rPr>
        <w:t>相关</w:t>
      </w:r>
      <w:r>
        <w:rPr>
          <w:rFonts w:hint="eastAsia"/>
          <w:szCs w:val="24"/>
        </w:rPr>
        <w:t>产品（所投产品应与清单中产品规格型号一致）</w:t>
      </w:r>
      <w:r>
        <w:rPr>
          <w:szCs w:val="24"/>
        </w:rPr>
        <w:t>截图及</w:t>
      </w:r>
      <w:r>
        <w:rPr>
          <w:rFonts w:hint="eastAsia"/>
          <w:szCs w:val="24"/>
        </w:rPr>
        <w:t>节能</w:t>
      </w:r>
      <w:r>
        <w:rPr>
          <w:szCs w:val="24"/>
        </w:rPr>
        <w:t>产品认证证书复印件</w:t>
      </w:r>
      <w:r>
        <w:rPr>
          <w:rFonts w:hint="eastAsia"/>
          <w:szCs w:val="24"/>
        </w:rPr>
        <w:t>；环保</w:t>
      </w:r>
      <w:r>
        <w:rPr>
          <w:szCs w:val="24"/>
        </w:rPr>
        <w:t>产品</w:t>
      </w:r>
      <w:r>
        <w:rPr>
          <w:rFonts w:hint="eastAsia"/>
          <w:szCs w:val="24"/>
        </w:rPr>
        <w:t>的应提供《环境标志产品政府采购品目清单》中</w:t>
      </w:r>
      <w:r>
        <w:rPr>
          <w:szCs w:val="24"/>
        </w:rPr>
        <w:t>相关</w:t>
      </w:r>
      <w:r>
        <w:rPr>
          <w:rFonts w:hint="eastAsia"/>
          <w:szCs w:val="24"/>
        </w:rPr>
        <w:t>产品（所投产品应与清单中产品规格型号一致）</w:t>
      </w:r>
      <w:r>
        <w:rPr>
          <w:szCs w:val="24"/>
        </w:rPr>
        <w:t>截图及环境标志</w:t>
      </w:r>
      <w:r>
        <w:rPr>
          <w:rFonts w:hint="eastAsia"/>
          <w:szCs w:val="24"/>
        </w:rPr>
        <w:t>产品</w:t>
      </w:r>
      <w:r>
        <w:rPr>
          <w:szCs w:val="24"/>
        </w:rPr>
        <w:t>认证证书复</w:t>
      </w:r>
      <w:r>
        <w:rPr>
          <w:rFonts w:hint="eastAsia"/>
          <w:szCs w:val="24"/>
        </w:rPr>
        <w:t>印</w:t>
      </w:r>
      <w:r>
        <w:rPr>
          <w:szCs w:val="24"/>
        </w:rPr>
        <w:t>件；</w:t>
      </w:r>
      <w:r>
        <w:rPr>
          <w:rFonts w:hint="eastAsia"/>
          <w:szCs w:val="24"/>
        </w:rPr>
        <w:t>创新</w:t>
      </w:r>
      <w:r>
        <w:rPr>
          <w:szCs w:val="24"/>
        </w:rPr>
        <w:t>产品</w:t>
      </w:r>
      <w:r>
        <w:rPr>
          <w:rFonts w:hint="eastAsia"/>
          <w:szCs w:val="24"/>
        </w:rPr>
        <w:t>的应提供行政部门颁发的创新产品应用示范推荐目录（有效期内且所投产品应与清单中产品规格型号一致）。</w:t>
      </w:r>
    </w:p>
    <w:p w14:paraId="57C59B31">
      <w:pPr>
        <w:spacing w:line="360" w:lineRule="auto"/>
        <w:ind w:left="720" w:leftChars="300"/>
        <w:rPr>
          <w:szCs w:val="24"/>
        </w:rPr>
      </w:pPr>
      <w:r>
        <w:rPr>
          <w:rFonts w:hint="eastAsia" w:cs="Corbel"/>
          <w:szCs w:val="24"/>
        </w:rPr>
        <w:t>3、未按要求填写此表并</w:t>
      </w:r>
      <w:r>
        <w:rPr>
          <w:rFonts w:hint="eastAsia"/>
          <w:szCs w:val="24"/>
        </w:rPr>
        <w:t>附相关证明材料，导致的后果由供应商自行承担。</w:t>
      </w:r>
    </w:p>
    <w:p w14:paraId="46D61301">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150F41F5">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5079A2F7">
      <w:pPr>
        <w:widowControl/>
        <w:jc w:val="left"/>
        <w:rPr>
          <w:rFonts w:asciiTheme="majorHAnsi" w:hAnsiTheme="majorHAnsi" w:eastAsiaTheme="majorEastAsia" w:cstheme="majorBidi"/>
          <w:b/>
          <w:bCs/>
          <w:szCs w:val="21"/>
        </w:rPr>
      </w:pPr>
      <w:r>
        <w:rPr>
          <w:szCs w:val="21"/>
        </w:rPr>
        <w:br w:type="page"/>
      </w:r>
    </w:p>
    <w:p w14:paraId="52F940D6">
      <w:pPr>
        <w:pStyle w:val="4"/>
        <w:numPr>
          <w:ilvl w:val="0"/>
          <w:numId w:val="50"/>
        </w:numPr>
        <w:tabs>
          <w:tab w:val="left" w:pos="567"/>
        </w:tabs>
        <w:spacing w:before="0" w:after="0" w:line="360" w:lineRule="auto"/>
        <w:ind w:left="482" w:hanging="482" w:hangingChars="200"/>
        <w:jc w:val="left"/>
        <w:rPr>
          <w:rFonts w:ascii="宋体" w:hAnsi="宋体" w:eastAsia="宋体"/>
          <w:sz w:val="24"/>
          <w:szCs w:val="24"/>
        </w:rPr>
      </w:pPr>
      <w:bookmarkStart w:id="544" w:name="_Toc122527568"/>
      <w:r>
        <w:rPr>
          <w:rFonts w:hint="eastAsia"/>
          <w:sz w:val="24"/>
          <w:szCs w:val="21"/>
        </w:rPr>
        <w:t>享受</w:t>
      </w:r>
      <w:r>
        <w:rPr>
          <w:rFonts w:hint="eastAsia" w:ascii="宋体" w:hAnsi="宋体" w:eastAsia="宋体"/>
          <w:sz w:val="24"/>
          <w:szCs w:val="24"/>
        </w:rPr>
        <w:t>价格扣除优惠政策应提供的材料</w:t>
      </w:r>
      <w:bookmarkEnd w:id="544"/>
    </w:p>
    <w:p w14:paraId="58E326A1">
      <w:pPr>
        <w:pStyle w:val="11"/>
        <w:spacing w:line="360" w:lineRule="auto"/>
        <w:ind w:firstLine="600" w:firstLineChars="250"/>
        <w:rPr>
          <w:rFonts w:ascii="楷体" w:hAnsi="楷体" w:eastAsia="楷体"/>
          <w:szCs w:val="24"/>
        </w:rPr>
      </w:pPr>
      <w:r>
        <w:rPr>
          <w:rFonts w:hint="eastAsia" w:ascii="楷体" w:hAnsi="楷体" w:eastAsia="楷体"/>
          <w:szCs w:val="24"/>
        </w:rPr>
        <w:t>（按供应商</w:t>
      </w:r>
      <w:r>
        <w:rPr>
          <w:rFonts w:hint="eastAsia" w:ascii="楷体" w:hAnsi="楷体" w:eastAsia="楷体"/>
        </w:rPr>
        <w:t>实际情况</w:t>
      </w:r>
      <w:r>
        <w:rPr>
          <w:rFonts w:hint="eastAsia" w:ascii="楷体" w:hAnsi="楷体" w:eastAsia="楷体"/>
          <w:szCs w:val="24"/>
        </w:rPr>
        <w:t>选择提供）</w:t>
      </w:r>
      <w:bookmarkEnd w:id="542"/>
      <w:bookmarkEnd w:id="543"/>
    </w:p>
    <w:p w14:paraId="227364A7">
      <w:pPr>
        <w:pStyle w:val="44"/>
        <w:numPr>
          <w:ilvl w:val="0"/>
          <w:numId w:val="68"/>
        </w:numPr>
        <w:tabs>
          <w:tab w:val="left" w:pos="567"/>
        </w:tabs>
        <w:autoSpaceDE w:val="0"/>
        <w:autoSpaceDN w:val="0"/>
        <w:adjustRightInd w:val="0"/>
        <w:spacing w:line="360" w:lineRule="auto"/>
        <w:ind w:left="993" w:hanging="993" w:firstLineChars="0"/>
        <w:outlineLvl w:val="2"/>
        <w:rPr>
          <w:szCs w:val="32"/>
        </w:rPr>
      </w:pPr>
      <w:r>
        <w:rPr>
          <w:rFonts w:hint="eastAsia"/>
          <w:b/>
          <w:szCs w:val="32"/>
        </w:rPr>
        <w:t>联合协议书（适用于联合体磋商）</w:t>
      </w:r>
    </w:p>
    <w:p w14:paraId="43CEC6B1">
      <w:pPr>
        <w:pStyle w:val="11"/>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6.1）</w:t>
      </w:r>
    </w:p>
    <w:p w14:paraId="13699DE8">
      <w:pPr>
        <w:pStyle w:val="44"/>
        <w:numPr>
          <w:ilvl w:val="0"/>
          <w:numId w:val="68"/>
        </w:numPr>
        <w:tabs>
          <w:tab w:val="left" w:pos="567"/>
        </w:tabs>
        <w:autoSpaceDE w:val="0"/>
        <w:autoSpaceDN w:val="0"/>
        <w:adjustRightInd w:val="0"/>
        <w:spacing w:line="360" w:lineRule="auto"/>
        <w:ind w:left="993" w:hanging="993" w:firstLineChars="0"/>
        <w:outlineLvl w:val="2"/>
        <w:rPr>
          <w:szCs w:val="32"/>
        </w:rPr>
      </w:pPr>
      <w:r>
        <w:rPr>
          <w:rFonts w:hint="eastAsia"/>
          <w:b/>
          <w:szCs w:val="32"/>
        </w:rPr>
        <w:t>分包意向协议书（适用于成交后分包）</w:t>
      </w:r>
    </w:p>
    <w:p w14:paraId="6934C1EE">
      <w:pPr>
        <w:pStyle w:val="11"/>
        <w:spacing w:line="360" w:lineRule="auto"/>
        <w:ind w:firstLine="840" w:firstLineChars="350"/>
        <w:rPr>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2</w:t>
      </w:r>
      <w:r>
        <w:rPr>
          <w:rFonts w:hint="eastAsia" w:ascii="楷体" w:hAnsi="楷体" w:eastAsia="楷体"/>
          <w:szCs w:val="32"/>
        </w:rPr>
        <w:t>）</w:t>
      </w:r>
    </w:p>
    <w:p w14:paraId="255CA337">
      <w:pPr>
        <w:pStyle w:val="44"/>
        <w:numPr>
          <w:ilvl w:val="0"/>
          <w:numId w:val="68"/>
        </w:numPr>
        <w:tabs>
          <w:tab w:val="left" w:pos="567"/>
        </w:tabs>
        <w:autoSpaceDE w:val="0"/>
        <w:autoSpaceDN w:val="0"/>
        <w:adjustRightInd w:val="0"/>
        <w:spacing w:line="360" w:lineRule="auto"/>
        <w:ind w:left="993" w:hanging="993" w:firstLineChars="0"/>
        <w:outlineLvl w:val="2"/>
        <w:rPr>
          <w:szCs w:val="32"/>
        </w:rPr>
      </w:pPr>
      <w:r>
        <w:rPr>
          <w:rFonts w:hint="eastAsia"/>
          <w:b/>
          <w:szCs w:val="32"/>
        </w:rPr>
        <w:t>中小企业声明函</w:t>
      </w:r>
    </w:p>
    <w:p w14:paraId="56EC2C1B">
      <w:pPr>
        <w:pStyle w:val="11"/>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3</w:t>
      </w:r>
      <w:r>
        <w:rPr>
          <w:rFonts w:hint="eastAsia" w:ascii="楷体" w:hAnsi="楷体" w:eastAsia="楷体"/>
          <w:szCs w:val="32"/>
        </w:rPr>
        <w:t>）</w:t>
      </w:r>
    </w:p>
    <w:p w14:paraId="430D49FB">
      <w:pPr>
        <w:pStyle w:val="44"/>
        <w:numPr>
          <w:ilvl w:val="0"/>
          <w:numId w:val="68"/>
        </w:numPr>
        <w:tabs>
          <w:tab w:val="left" w:pos="567"/>
        </w:tabs>
        <w:autoSpaceDE w:val="0"/>
        <w:autoSpaceDN w:val="0"/>
        <w:adjustRightInd w:val="0"/>
        <w:spacing w:line="360" w:lineRule="auto"/>
        <w:ind w:left="993" w:hanging="993" w:firstLineChars="0"/>
        <w:outlineLvl w:val="2"/>
        <w:rPr>
          <w:szCs w:val="32"/>
        </w:rPr>
      </w:pPr>
      <w:r>
        <w:rPr>
          <w:rFonts w:hint="eastAsia"/>
          <w:b/>
          <w:szCs w:val="32"/>
        </w:rPr>
        <w:t>监狱企业的证明文件（适用于监狱企业）</w:t>
      </w:r>
    </w:p>
    <w:p w14:paraId="1113514A">
      <w:pPr>
        <w:pStyle w:val="11"/>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4</w:t>
      </w:r>
      <w:r>
        <w:rPr>
          <w:rFonts w:hint="eastAsia" w:ascii="楷体" w:hAnsi="楷体" w:eastAsia="楷体"/>
          <w:szCs w:val="32"/>
        </w:rPr>
        <w:t>）</w:t>
      </w:r>
    </w:p>
    <w:p w14:paraId="663451AA">
      <w:pPr>
        <w:pStyle w:val="44"/>
        <w:numPr>
          <w:ilvl w:val="0"/>
          <w:numId w:val="68"/>
        </w:numPr>
        <w:tabs>
          <w:tab w:val="left" w:pos="567"/>
        </w:tabs>
        <w:autoSpaceDE w:val="0"/>
        <w:autoSpaceDN w:val="0"/>
        <w:adjustRightInd w:val="0"/>
        <w:spacing w:line="360" w:lineRule="auto"/>
        <w:ind w:left="993" w:hanging="993" w:firstLineChars="0"/>
        <w:outlineLvl w:val="2"/>
        <w:rPr>
          <w:szCs w:val="32"/>
        </w:rPr>
      </w:pPr>
      <w:r>
        <w:rPr>
          <w:rFonts w:hint="eastAsia"/>
          <w:b/>
          <w:szCs w:val="32"/>
        </w:rPr>
        <w:t>残疾人福利性单位声明函（适用于残疾人福利性单位）</w:t>
      </w:r>
    </w:p>
    <w:p w14:paraId="3706CC15">
      <w:pPr>
        <w:pStyle w:val="11"/>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5</w:t>
      </w:r>
      <w:r>
        <w:rPr>
          <w:rFonts w:hint="eastAsia" w:ascii="楷体" w:hAnsi="楷体" w:eastAsia="楷体"/>
          <w:szCs w:val="32"/>
        </w:rPr>
        <w:t>）</w:t>
      </w:r>
    </w:p>
    <w:p w14:paraId="3E26DD10">
      <w:pPr>
        <w:spacing w:line="360" w:lineRule="auto"/>
      </w:pPr>
    </w:p>
    <w:p w14:paraId="3F488454">
      <w:pPr>
        <w:pStyle w:val="2"/>
      </w:pPr>
    </w:p>
    <w:p w14:paraId="5F75C676"/>
    <w:p w14:paraId="571A13D8">
      <w:pPr>
        <w:pStyle w:val="2"/>
      </w:pPr>
    </w:p>
    <w:p w14:paraId="16D06594"/>
    <w:p w14:paraId="2637CD03">
      <w:pPr>
        <w:pStyle w:val="2"/>
      </w:pPr>
    </w:p>
    <w:p w14:paraId="0B4A1A02"/>
    <w:p w14:paraId="3199DC5D">
      <w:pPr>
        <w:pStyle w:val="2"/>
      </w:pPr>
    </w:p>
    <w:p w14:paraId="0E172415"/>
    <w:p w14:paraId="1CFD43C9">
      <w:pPr>
        <w:pStyle w:val="2"/>
      </w:pPr>
    </w:p>
    <w:p w14:paraId="2008B941"/>
    <w:p w14:paraId="0C70888A">
      <w:pPr>
        <w:pStyle w:val="2"/>
      </w:pPr>
    </w:p>
    <w:p w14:paraId="3BCCBDB3"/>
    <w:p w14:paraId="6C63D4C3">
      <w:pPr>
        <w:pStyle w:val="2"/>
      </w:pPr>
    </w:p>
    <w:p w14:paraId="4F45F2C6"/>
    <w:p w14:paraId="5C7479B9">
      <w:pPr>
        <w:pStyle w:val="2"/>
      </w:pPr>
    </w:p>
    <w:p w14:paraId="2826193F"/>
    <w:p w14:paraId="66549910">
      <w:pPr>
        <w:pStyle w:val="2"/>
      </w:pPr>
    </w:p>
    <w:p w14:paraId="55F3F94D"/>
    <w:p w14:paraId="1CCC8019">
      <w:pPr>
        <w:pStyle w:val="11"/>
        <w:spacing w:line="360" w:lineRule="auto"/>
      </w:pPr>
    </w:p>
    <w:p w14:paraId="37D38BFF">
      <w:pPr>
        <w:pStyle w:val="4"/>
        <w:numPr>
          <w:ilvl w:val="0"/>
          <w:numId w:val="50"/>
        </w:numPr>
        <w:tabs>
          <w:tab w:val="left" w:pos="567"/>
        </w:tabs>
        <w:spacing w:before="0" w:after="0" w:line="360" w:lineRule="auto"/>
        <w:ind w:left="482" w:hanging="482" w:hangingChars="200"/>
        <w:jc w:val="left"/>
        <w:rPr>
          <w:rFonts w:ascii="宋体" w:hAnsi="宋体" w:eastAsia="宋体" w:cs="Times New Roman"/>
          <w:sz w:val="24"/>
          <w:szCs w:val="24"/>
        </w:rPr>
      </w:pPr>
      <w:bookmarkStart w:id="545" w:name="_Toc122527569"/>
      <w:bookmarkStart w:id="546" w:name="_Toc117244514"/>
      <w:bookmarkStart w:id="547" w:name="_Toc117244399"/>
      <w:r>
        <w:rPr>
          <w:rFonts w:hint="eastAsia" w:ascii="宋体" w:hAnsi="宋体" w:eastAsia="宋体" w:cs="Times New Roman"/>
          <w:sz w:val="24"/>
          <w:szCs w:val="24"/>
        </w:rPr>
        <w:t>磋商货物（或服务）介绍，项目建设（服务）方案</w:t>
      </w:r>
      <w:bookmarkEnd w:id="545"/>
    </w:p>
    <w:p w14:paraId="381FF31E">
      <w:pPr>
        <w:pStyle w:val="11"/>
        <w:spacing w:line="360" w:lineRule="auto"/>
        <w:ind w:firstLine="600" w:firstLineChars="250"/>
        <w:rPr>
          <w:rFonts w:ascii="楷体" w:hAnsi="楷体" w:eastAsia="楷体"/>
          <w:szCs w:val="24"/>
        </w:rPr>
      </w:pPr>
      <w:r>
        <w:rPr>
          <w:rFonts w:hint="eastAsia" w:ascii="楷体" w:hAnsi="楷体" w:eastAsia="楷体" w:cs="Courier New"/>
          <w:szCs w:val="24"/>
        </w:rPr>
        <w:t>（自行编写）</w:t>
      </w:r>
      <w:bookmarkEnd w:id="546"/>
      <w:bookmarkEnd w:id="547"/>
      <w:r>
        <w:rPr>
          <w:rFonts w:ascii="楷体" w:hAnsi="楷体" w:eastAsia="楷体"/>
          <w:szCs w:val="24"/>
        </w:rPr>
        <w:t xml:space="preserve"> </w:t>
      </w:r>
    </w:p>
    <w:p w14:paraId="7448C7C1">
      <w:pPr>
        <w:spacing w:line="360" w:lineRule="auto"/>
      </w:pPr>
    </w:p>
    <w:p w14:paraId="4920B2FC">
      <w:pPr>
        <w:pStyle w:val="2"/>
      </w:pPr>
    </w:p>
    <w:p w14:paraId="4F08803C"/>
    <w:p w14:paraId="67875335">
      <w:pPr>
        <w:pStyle w:val="2"/>
      </w:pPr>
    </w:p>
    <w:p w14:paraId="07C0D9EA"/>
    <w:p w14:paraId="67C52EC9">
      <w:pPr>
        <w:pStyle w:val="2"/>
      </w:pPr>
    </w:p>
    <w:p w14:paraId="3A96E7B8"/>
    <w:p w14:paraId="442E1D0A">
      <w:pPr>
        <w:pStyle w:val="2"/>
      </w:pPr>
    </w:p>
    <w:p w14:paraId="6471D39E"/>
    <w:p w14:paraId="0A843FCE">
      <w:pPr>
        <w:pStyle w:val="2"/>
      </w:pPr>
    </w:p>
    <w:p w14:paraId="2B40303D"/>
    <w:p w14:paraId="470D151E">
      <w:pPr>
        <w:pStyle w:val="2"/>
      </w:pPr>
    </w:p>
    <w:p w14:paraId="288935B5"/>
    <w:p w14:paraId="7394935C">
      <w:pPr>
        <w:pStyle w:val="2"/>
      </w:pPr>
    </w:p>
    <w:p w14:paraId="2686F6D7"/>
    <w:p w14:paraId="1133FC89">
      <w:pPr>
        <w:pStyle w:val="2"/>
      </w:pPr>
    </w:p>
    <w:p w14:paraId="7A9DB4D8"/>
    <w:p w14:paraId="3D7D9845">
      <w:pPr>
        <w:pStyle w:val="2"/>
      </w:pPr>
    </w:p>
    <w:p w14:paraId="66FD5B91"/>
    <w:p w14:paraId="28F26F6A">
      <w:pPr>
        <w:pStyle w:val="2"/>
      </w:pPr>
    </w:p>
    <w:p w14:paraId="6BD234B9"/>
    <w:p w14:paraId="0A99377D">
      <w:pPr>
        <w:pStyle w:val="2"/>
      </w:pPr>
    </w:p>
    <w:p w14:paraId="3C7233EC"/>
    <w:p w14:paraId="5A6DD8F1">
      <w:pPr>
        <w:pStyle w:val="2"/>
      </w:pPr>
    </w:p>
    <w:p w14:paraId="3FBCBD45"/>
    <w:p w14:paraId="4B73E776">
      <w:pPr>
        <w:pStyle w:val="2"/>
      </w:pPr>
    </w:p>
    <w:p w14:paraId="12930FB3"/>
    <w:p w14:paraId="108C6721">
      <w:pPr>
        <w:pStyle w:val="2"/>
      </w:pPr>
    </w:p>
    <w:p w14:paraId="26AA5370"/>
    <w:p w14:paraId="360AA333">
      <w:pPr>
        <w:pStyle w:val="11"/>
        <w:spacing w:line="360" w:lineRule="auto"/>
      </w:pPr>
    </w:p>
    <w:p w14:paraId="56D5534E">
      <w:pPr>
        <w:pStyle w:val="4"/>
        <w:numPr>
          <w:ilvl w:val="0"/>
          <w:numId w:val="50"/>
        </w:numPr>
        <w:tabs>
          <w:tab w:val="left" w:pos="567"/>
        </w:tabs>
        <w:spacing w:before="0" w:after="0" w:line="360" w:lineRule="auto"/>
        <w:ind w:left="482" w:hanging="482" w:hangingChars="200"/>
        <w:jc w:val="left"/>
        <w:rPr>
          <w:rFonts w:ascii="宋体" w:hAnsi="宋体" w:eastAsia="宋体" w:cs="Times New Roman"/>
          <w:sz w:val="24"/>
          <w:szCs w:val="24"/>
        </w:rPr>
      </w:pPr>
      <w:bookmarkStart w:id="548" w:name="_Toc122527570"/>
      <w:bookmarkStart w:id="549" w:name="_Toc117244515"/>
      <w:bookmarkStart w:id="550" w:name="_Toc117244400"/>
      <w:r>
        <w:rPr>
          <w:rFonts w:hint="eastAsia" w:ascii="宋体" w:hAnsi="宋体" w:eastAsia="宋体" w:cs="Times New Roman"/>
          <w:sz w:val="24"/>
          <w:szCs w:val="24"/>
        </w:rPr>
        <w:t>竞争性磋商文件要求提供或供应商认为需提供的其它资料</w:t>
      </w:r>
      <w:bookmarkEnd w:id="548"/>
    </w:p>
    <w:p w14:paraId="2966B230">
      <w:pPr>
        <w:pStyle w:val="11"/>
        <w:spacing w:line="360" w:lineRule="auto"/>
        <w:ind w:firstLine="600" w:firstLineChars="250"/>
        <w:rPr>
          <w:rFonts w:ascii="楷体" w:hAnsi="楷体" w:eastAsia="楷体" w:cs="Courier New"/>
          <w:szCs w:val="24"/>
        </w:rPr>
      </w:pPr>
      <w:r>
        <w:rPr>
          <w:rFonts w:hint="eastAsia" w:ascii="楷体" w:hAnsi="楷体" w:eastAsia="楷体" w:cs="Courier New"/>
          <w:szCs w:val="24"/>
        </w:rPr>
        <w:t>（自行编写）</w:t>
      </w:r>
      <w:bookmarkEnd w:id="549"/>
      <w:bookmarkEnd w:id="550"/>
    </w:p>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rbel">
    <w:panose1 w:val="020B0503020204020204"/>
    <w:charset w:val="00"/>
    <w:family w:val="swiss"/>
    <w:pitch w:val="default"/>
    <w:sig w:usb0="A00002EF" w:usb1="4000A44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1170B">
    <w:pPr>
      <w:pStyle w:val="20"/>
      <w:ind w:firstLine="560"/>
      <w:jc w:val="center"/>
    </w:pPr>
  </w:p>
  <w:p w14:paraId="60694E37">
    <w:pPr>
      <w:pStyle w:val="20"/>
      <w:tabs>
        <w:tab w:val="left" w:pos="624"/>
        <w:tab w:val="clear" w:pos="4153"/>
      </w:tabs>
      <w:rPr>
        <w:rFonts w:ascii="宋体" w:hAnsi="宋体" w:eastAsia="宋体" w:cs="Times New Roman"/>
        <w:sz w:val="36"/>
        <w:szCs w:val="36"/>
      </w:rPr>
    </w:pPr>
    <w:r>
      <w:rPr>
        <w:rFonts w:hint="eastAsia" w:ascii="宋体" w:hAnsi="宋体" w:eastAsia="宋体" w:cs="Times New Roman"/>
        <w:sz w:val="36"/>
        <w:szCs w:val="3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11658">
    <w:pPr>
      <w:pStyle w:val="20"/>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14:paraId="59C04D0F">
    <w:pPr>
      <w:pStyle w:val="20"/>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68</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B8FAE">
    <w:pPr>
      <w:pStyle w:val="20"/>
      <w:pBdr>
        <w:top w:val="single" w:color="000000" w:themeColor="text1" w:sz="4" w:space="1"/>
      </w:pBdr>
      <w:tabs>
        <w:tab w:val="clear" w:pos="4153"/>
        <w:tab w:val="clear" w:pos="8306"/>
      </w:tabs>
      <w:ind w:right="-9"/>
      <w:rPr>
        <w:rFonts w:asciiTheme="minorEastAsia" w:hAnsiTheme="minorEastAsia"/>
        <w:b/>
        <w:sz w:val="20"/>
        <w:szCs w:val="20"/>
      </w:rPr>
    </w:pPr>
    <w:r>
      <w:rPr>
        <w:rFonts w:hint="eastAsia" w:asciiTheme="minorEastAsia" w:hAnsiTheme="minorEastAsia"/>
        <w:sz w:val="20"/>
        <w:szCs w:val="20"/>
        <w:lang w:eastAsia="zh-CN"/>
      </w:rPr>
      <w:t>随县公共资源</w:t>
    </w:r>
    <w:r>
      <w:rPr>
        <w:rFonts w:hint="eastAsia" w:asciiTheme="minorEastAsia" w:hAnsiTheme="minorEastAsia"/>
        <w:sz w:val="20"/>
        <w:szCs w:val="20"/>
      </w:rPr>
      <w:t>交易（采购）中心编制</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1AC69">
    <w:pPr>
      <w:pStyle w:val="20"/>
      <w:pBdr>
        <w:top w:val="single" w:color="000000" w:themeColor="text1" w:sz="4" w:space="1"/>
      </w:pBdr>
      <w:tabs>
        <w:tab w:val="clear" w:pos="4153"/>
        <w:tab w:val="clear" w:pos="8306"/>
      </w:tabs>
      <w:ind w:right="-115"/>
      <w:rPr>
        <w:rFonts w:asciiTheme="minorEastAsia" w:hAnsiTheme="minorEastAsia"/>
        <w:b/>
        <w:sz w:val="20"/>
        <w:szCs w:val="20"/>
      </w:rPr>
    </w:pPr>
    <w:r>
      <w:rPr>
        <w:rFonts w:hint="eastAsia" w:asciiTheme="minorEastAsia" w:hAnsiTheme="minorEastAsia"/>
        <w:sz w:val="20"/>
        <w:szCs w:val="20"/>
        <w:lang w:eastAsia="zh-CN"/>
      </w:rPr>
      <w:t>随县公共资源交易</w:t>
    </w:r>
    <w:r>
      <w:rPr>
        <w:rFonts w:hint="eastAsia" w:asciiTheme="minorEastAsia" w:hAnsiTheme="minorEastAsia"/>
        <w:sz w:val="20"/>
        <w:szCs w:val="20"/>
      </w:rPr>
      <w:t>（采购）中心编制</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lang w:val="zh-CN"/>
      </w:rPr>
      <w:t xml:space="preserve"> </w:t>
    </w:r>
    <w:r>
      <w:rPr>
        <w:rFonts w:asciiTheme="minorEastAsia" w:hAnsiTheme="minorEastAsia"/>
        <w:sz w:val="20"/>
        <w:szCs w:val="20"/>
        <w:lang w:val="zh-CN"/>
      </w:rPr>
      <w:fldChar w:fldCharType="begin"/>
    </w:r>
    <w:r>
      <w:rPr>
        <w:rFonts w:asciiTheme="minorEastAsia" w:hAnsiTheme="minorEastAsia"/>
        <w:sz w:val="20"/>
        <w:szCs w:val="20"/>
        <w:lang w:val="zh-CN"/>
      </w:rPr>
      <w:instrText xml:space="preserve">PAGE</w:instrText>
    </w:r>
    <w:r>
      <w:rPr>
        <w:rFonts w:asciiTheme="minorEastAsia" w:hAnsiTheme="minorEastAsia"/>
        <w:sz w:val="20"/>
        <w:szCs w:val="20"/>
        <w:lang w:val="zh-CN"/>
      </w:rPr>
      <w:fldChar w:fldCharType="separate"/>
    </w:r>
    <w:r>
      <w:rPr>
        <w:rFonts w:asciiTheme="minorEastAsia" w:hAnsiTheme="minorEastAsia"/>
        <w:sz w:val="20"/>
        <w:szCs w:val="20"/>
        <w:lang w:val="zh-CN"/>
      </w:rPr>
      <w:t>61</w:t>
    </w:r>
    <w:r>
      <w:rPr>
        <w:rFonts w:asciiTheme="minorEastAsia" w:hAnsiTheme="minorEastAsia"/>
        <w:sz w:val="20"/>
        <w:szCs w:val="20"/>
        <w:lang w:val="zh-CN"/>
      </w:rPr>
      <w:fldChar w:fldCharType="end"/>
    </w:r>
    <w:r>
      <w:rPr>
        <w:rFonts w:asciiTheme="minorEastAsia" w:hAnsiTheme="minorEastAsia"/>
        <w:sz w:val="20"/>
        <w:szCs w:val="20"/>
        <w:lang w:val="zh-CN"/>
      </w:rPr>
      <w:t>/</w:t>
    </w:r>
    <w:r>
      <w:rPr>
        <w:rFonts w:asciiTheme="minorEastAsia" w:hAnsiTheme="minorEastAsia"/>
        <w:sz w:val="20"/>
        <w:szCs w:val="20"/>
        <w:lang w:val="zh-CN"/>
      </w:rPr>
      <w:fldChar w:fldCharType="begin"/>
    </w:r>
    <w:r>
      <w:rPr>
        <w:rFonts w:hint="eastAsia" w:asciiTheme="minorEastAsia" w:hAnsiTheme="minorEastAsia"/>
        <w:sz w:val="20"/>
        <w:szCs w:val="20"/>
        <w:lang w:val="zh-CN"/>
      </w:rPr>
      <w:instrText xml:space="preserve">=</w:instrText>
    </w:r>
    <w:r>
      <w:rPr>
        <w:rFonts w:asciiTheme="minorEastAsia" w:hAnsiTheme="minorEastAsia"/>
        <w:sz w:val="20"/>
        <w:szCs w:val="20"/>
      </w:rPr>
      <w:fldChar w:fldCharType="begin"/>
    </w:r>
    <w:r>
      <w:rPr>
        <w:rFonts w:asciiTheme="minorEastAsia" w:hAnsiTheme="minorEastAsia"/>
        <w:sz w:val="20"/>
        <w:szCs w:val="20"/>
      </w:rPr>
      <w:instrText xml:space="preserve">NUMPAGES</w:instrText>
    </w:r>
    <w:r>
      <w:rPr>
        <w:rFonts w:asciiTheme="minorEastAsia" w:hAnsiTheme="minorEastAsia"/>
        <w:sz w:val="20"/>
        <w:szCs w:val="20"/>
      </w:rPr>
      <w:fldChar w:fldCharType="separate"/>
    </w:r>
    <w:r>
      <w:rPr>
        <w:rFonts w:asciiTheme="minorEastAsia" w:hAnsiTheme="minorEastAsia"/>
        <w:sz w:val="20"/>
        <w:szCs w:val="20"/>
      </w:rPr>
      <w:instrText xml:space="preserve">67</w:instrText>
    </w:r>
    <w:r>
      <w:rPr>
        <w:rFonts w:asciiTheme="minorEastAsia" w:hAnsiTheme="minorEastAsia"/>
        <w:sz w:val="20"/>
        <w:szCs w:val="20"/>
      </w:rPr>
      <w:fldChar w:fldCharType="end"/>
    </w:r>
    <w:r>
      <w:rPr>
        <w:rFonts w:asciiTheme="minorEastAsia" w:hAnsiTheme="minorEastAsia"/>
        <w:sz w:val="20"/>
        <w:szCs w:val="20"/>
      </w:rPr>
      <w:instrText xml:space="preserve">-3</w:instrText>
    </w:r>
    <w:r>
      <w:rPr>
        <w:rFonts w:asciiTheme="minorEastAsia" w:hAnsiTheme="minorEastAsia"/>
        <w:sz w:val="20"/>
        <w:szCs w:val="20"/>
        <w:lang w:val="zh-CN"/>
      </w:rPr>
      <w:fldChar w:fldCharType="separate"/>
    </w:r>
    <w:r>
      <w:rPr>
        <w:rFonts w:asciiTheme="minorEastAsia" w:hAnsiTheme="minorEastAsia"/>
        <w:sz w:val="20"/>
        <w:szCs w:val="20"/>
        <w:lang w:val="zh-CN"/>
      </w:rPr>
      <w:t>64</w:t>
    </w:r>
    <w:r>
      <w:rPr>
        <w:rFonts w:asciiTheme="minorEastAsia" w:hAnsiTheme="minorEastAsia"/>
        <w:sz w:val="20"/>
        <w:szCs w:val="20"/>
        <w:lang w:val="zh-CN"/>
      </w:rPr>
      <w:fldChar w:fldCharType="end"/>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E9FF9">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A565F">
    <w:pPr>
      <w:pStyle w:val="22"/>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1EC84">
    <w:pPr>
      <w:pStyle w:val="22"/>
      <w:pBdr>
        <w:bottom w:val="none" w:color="auto" w:sz="0" w:space="0"/>
      </w:pBdr>
      <w:rPr>
        <w:sz w:val="20"/>
        <w:szCs w:val="20"/>
        <w:u w:val="single"/>
      </w:rPr>
    </w:pP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0"/>
        <w:szCs w:val="20"/>
        <w:u w:val="single"/>
      </w:rPr>
      <w:t xml:space="preserve"> </w:t>
    </w:r>
    <w:r>
      <w:rPr>
        <w:rFonts w:hint="eastAsia"/>
        <w:sz w:val="20"/>
        <w:szCs w:val="20"/>
        <w:u w:val="single"/>
        <w:lang w:eastAsia="zh-CN"/>
      </w:rPr>
      <w:t>随县</w:t>
    </w:r>
    <w:r>
      <w:rPr>
        <w:rFonts w:hint="eastAsia"/>
        <w:sz w:val="20"/>
        <w:szCs w:val="20"/>
        <w:u w:val="single"/>
      </w:rPr>
      <w:t>政府采购</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5CAD3">
    <w:pPr>
      <w:pStyle w:val="22"/>
      <w:pBdr>
        <w:bottom w:val="none" w:color="auto" w:sz="0" w:space="0"/>
      </w:pBdr>
      <w:rPr>
        <w:sz w:val="20"/>
        <w:szCs w:val="20"/>
        <w:u w:val="single"/>
      </w:rPr>
    </w:pP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lang w:eastAsia="zh-CN"/>
      </w:rPr>
      <w:t>随县</w:t>
    </w:r>
    <w:r>
      <w:rPr>
        <w:rFonts w:hint="eastAsia"/>
        <w:sz w:val="20"/>
        <w:szCs w:val="20"/>
        <w:u w:val="single"/>
      </w:rPr>
      <w:t>政府采购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6F502"/>
    <w:multiLevelType w:val="multilevel"/>
    <w:tmpl w:val="BA46F502"/>
    <w:lvl w:ilvl="0" w:tentative="0">
      <w:start w:val="1"/>
      <w:numFmt w:val="decimal"/>
      <w:lvlText w:val="6.%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3226416"/>
    <w:multiLevelType w:val="multilevel"/>
    <w:tmpl w:val="03226416"/>
    <w:lvl w:ilvl="0" w:tentative="0">
      <w:start w:val="1"/>
      <w:numFmt w:val="chineseCountingThousand"/>
      <w:lvlText w:val="%1、"/>
      <w:lvlJc w:val="left"/>
      <w:pPr>
        <w:ind w:left="420" w:hanging="420"/>
      </w:pPr>
      <w:rPr>
        <w:rFonts w:hint="eastAsia" w:ascii="宋体" w:hAnsi="宋体" w:eastAsia="宋体" w:cs="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715613D"/>
    <w:multiLevelType w:val="multilevel"/>
    <w:tmpl w:val="0715613D"/>
    <w:lvl w:ilvl="0" w:tentative="0">
      <w:start w:val="1"/>
      <w:numFmt w:val="decimal"/>
      <w:lvlText w:val="17.%1"/>
      <w:lvlJc w:val="left"/>
      <w:pPr>
        <w:ind w:left="988" w:hanging="420"/>
      </w:pPr>
      <w:rPr>
        <w:rFonts w:hint="default" w:eastAsia="宋体" w:cs="宋体" w:asciiTheme="minorEastAsia" w:hAnsiTheme="minorEastAsia"/>
        <w:b w:val="0"/>
        <w:strike w:val="0"/>
        <w:color w:val="auto"/>
        <w:sz w:val="24"/>
        <w:szCs w:val="24"/>
      </w:rPr>
    </w:lvl>
    <w:lvl w:ilvl="1" w:tentative="0">
      <w:start w:val="1"/>
      <w:numFmt w:val="lowerLetter"/>
      <w:lvlText w:val="%2)"/>
      <w:lvlJc w:val="left"/>
      <w:pPr>
        <w:ind w:left="1408" w:hanging="420"/>
      </w:pPr>
      <w:rPr>
        <w:rFonts w:hint="eastAsia"/>
      </w:rPr>
    </w:lvl>
    <w:lvl w:ilvl="2" w:tentative="0">
      <w:start w:val="1"/>
      <w:numFmt w:val="lowerRoman"/>
      <w:lvlText w:val="%3."/>
      <w:lvlJc w:val="right"/>
      <w:pPr>
        <w:ind w:left="1828" w:hanging="420"/>
      </w:pPr>
      <w:rPr>
        <w:rFonts w:hint="eastAsia"/>
      </w:rPr>
    </w:lvl>
    <w:lvl w:ilvl="3" w:tentative="0">
      <w:start w:val="1"/>
      <w:numFmt w:val="decimal"/>
      <w:lvlText w:val="%4."/>
      <w:lvlJc w:val="left"/>
      <w:pPr>
        <w:ind w:left="2248" w:hanging="420"/>
      </w:pPr>
      <w:rPr>
        <w:rFonts w:hint="eastAsia"/>
      </w:rPr>
    </w:lvl>
    <w:lvl w:ilvl="4" w:tentative="0">
      <w:start w:val="1"/>
      <w:numFmt w:val="lowerLetter"/>
      <w:lvlText w:val="%5)"/>
      <w:lvlJc w:val="left"/>
      <w:pPr>
        <w:ind w:left="2668" w:hanging="420"/>
      </w:pPr>
      <w:rPr>
        <w:rFonts w:hint="eastAsia"/>
      </w:rPr>
    </w:lvl>
    <w:lvl w:ilvl="5" w:tentative="0">
      <w:start w:val="1"/>
      <w:numFmt w:val="lowerRoman"/>
      <w:lvlText w:val="%6."/>
      <w:lvlJc w:val="right"/>
      <w:pPr>
        <w:ind w:left="3088" w:hanging="420"/>
      </w:pPr>
      <w:rPr>
        <w:rFonts w:hint="eastAsia"/>
      </w:rPr>
    </w:lvl>
    <w:lvl w:ilvl="6" w:tentative="0">
      <w:start w:val="1"/>
      <w:numFmt w:val="decimal"/>
      <w:lvlText w:val="%7."/>
      <w:lvlJc w:val="left"/>
      <w:pPr>
        <w:ind w:left="3508" w:hanging="420"/>
      </w:pPr>
      <w:rPr>
        <w:rFonts w:hint="eastAsia"/>
      </w:rPr>
    </w:lvl>
    <w:lvl w:ilvl="7" w:tentative="0">
      <w:start w:val="1"/>
      <w:numFmt w:val="lowerLetter"/>
      <w:lvlText w:val="%8)"/>
      <w:lvlJc w:val="left"/>
      <w:pPr>
        <w:ind w:left="3928" w:hanging="420"/>
      </w:pPr>
      <w:rPr>
        <w:rFonts w:hint="eastAsia"/>
      </w:rPr>
    </w:lvl>
    <w:lvl w:ilvl="8" w:tentative="0">
      <w:start w:val="1"/>
      <w:numFmt w:val="lowerRoman"/>
      <w:lvlText w:val="%9."/>
      <w:lvlJc w:val="right"/>
      <w:pPr>
        <w:ind w:left="4348" w:hanging="420"/>
      </w:pPr>
      <w:rPr>
        <w:rFonts w:hint="eastAsia"/>
      </w:rPr>
    </w:lvl>
  </w:abstractNum>
  <w:abstractNum w:abstractNumId="4">
    <w:nsid w:val="08B11E2A"/>
    <w:multiLevelType w:val="multilevel"/>
    <w:tmpl w:val="08B11E2A"/>
    <w:lvl w:ilvl="0" w:tentative="0">
      <w:start w:val="1"/>
      <w:numFmt w:val="decimal"/>
      <w:lvlText w:val="18.%1"/>
      <w:lvlJc w:val="left"/>
      <w:pPr>
        <w:ind w:left="562" w:hanging="420"/>
      </w:pPr>
      <w:rPr>
        <w:rFonts w:hint="default" w:eastAsia="宋体" w:cs="宋体" w:asciiTheme="minorEastAsia" w:hAnsiTheme="minorEastAsia"/>
        <w:b w:val="0"/>
        <w:strike w:val="0"/>
        <w:color w:val="auto"/>
        <w:sz w:val="24"/>
        <w:szCs w:val="24"/>
      </w:rPr>
    </w:lvl>
    <w:lvl w:ilvl="1" w:tentative="0">
      <w:start w:val="1"/>
      <w:numFmt w:val="lowerLetter"/>
      <w:lvlText w:val="%2)"/>
      <w:lvlJc w:val="left"/>
      <w:pPr>
        <w:ind w:left="698" w:hanging="420"/>
      </w:pPr>
      <w:rPr>
        <w:rFonts w:hint="eastAsia"/>
      </w:rPr>
    </w:lvl>
    <w:lvl w:ilvl="2" w:tentative="0">
      <w:start w:val="1"/>
      <w:numFmt w:val="lowerRoman"/>
      <w:lvlText w:val="%3."/>
      <w:lvlJc w:val="right"/>
      <w:pPr>
        <w:ind w:left="1118" w:hanging="420"/>
      </w:pPr>
      <w:rPr>
        <w:rFonts w:hint="eastAsia"/>
      </w:rPr>
    </w:lvl>
    <w:lvl w:ilvl="3" w:tentative="0">
      <w:start w:val="1"/>
      <w:numFmt w:val="decimal"/>
      <w:lvlText w:val="%4."/>
      <w:lvlJc w:val="left"/>
      <w:pPr>
        <w:ind w:left="1538" w:hanging="420"/>
      </w:pPr>
      <w:rPr>
        <w:rFonts w:hint="eastAsia"/>
      </w:rPr>
    </w:lvl>
    <w:lvl w:ilvl="4" w:tentative="0">
      <w:start w:val="1"/>
      <w:numFmt w:val="lowerLetter"/>
      <w:lvlText w:val="%5)"/>
      <w:lvlJc w:val="left"/>
      <w:pPr>
        <w:ind w:left="1958" w:hanging="420"/>
      </w:pPr>
      <w:rPr>
        <w:rFonts w:hint="eastAsia"/>
      </w:rPr>
    </w:lvl>
    <w:lvl w:ilvl="5" w:tentative="0">
      <w:start w:val="1"/>
      <w:numFmt w:val="lowerRoman"/>
      <w:lvlText w:val="%6."/>
      <w:lvlJc w:val="right"/>
      <w:pPr>
        <w:ind w:left="2378" w:hanging="420"/>
      </w:pPr>
      <w:rPr>
        <w:rFonts w:hint="eastAsia"/>
      </w:rPr>
    </w:lvl>
    <w:lvl w:ilvl="6" w:tentative="0">
      <w:start w:val="1"/>
      <w:numFmt w:val="decimal"/>
      <w:lvlText w:val="%7."/>
      <w:lvlJc w:val="left"/>
      <w:pPr>
        <w:ind w:left="2798" w:hanging="420"/>
      </w:pPr>
      <w:rPr>
        <w:rFonts w:hint="eastAsia"/>
      </w:rPr>
    </w:lvl>
    <w:lvl w:ilvl="7" w:tentative="0">
      <w:start w:val="1"/>
      <w:numFmt w:val="lowerLetter"/>
      <w:lvlText w:val="%8)"/>
      <w:lvlJc w:val="left"/>
      <w:pPr>
        <w:ind w:left="3218" w:hanging="420"/>
      </w:pPr>
      <w:rPr>
        <w:rFonts w:hint="eastAsia"/>
      </w:rPr>
    </w:lvl>
    <w:lvl w:ilvl="8" w:tentative="0">
      <w:start w:val="1"/>
      <w:numFmt w:val="lowerRoman"/>
      <w:lvlText w:val="%9."/>
      <w:lvlJc w:val="right"/>
      <w:pPr>
        <w:ind w:left="3638" w:hanging="420"/>
      </w:pPr>
      <w:rPr>
        <w:rFonts w:hint="eastAsia"/>
      </w:rPr>
    </w:lvl>
  </w:abstractNum>
  <w:abstractNum w:abstractNumId="5">
    <w:nsid w:val="09CF091C"/>
    <w:multiLevelType w:val="multilevel"/>
    <w:tmpl w:val="09CF091C"/>
    <w:lvl w:ilvl="0" w:tentative="0">
      <w:start w:val="1"/>
      <w:numFmt w:val="decimal"/>
      <w:lvlText w:val="37.%1"/>
      <w:lvlJc w:val="left"/>
      <w:pPr>
        <w:ind w:left="840" w:hanging="420"/>
      </w:pPr>
      <w:rPr>
        <w:rFonts w:hint="default" w:ascii="宋体" w:hAnsi="宋体" w:eastAsia="宋体" w:cs="宋体"/>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0A0171EC"/>
    <w:multiLevelType w:val="multilevel"/>
    <w:tmpl w:val="0A0171EC"/>
    <w:lvl w:ilvl="0" w:tentative="0">
      <w:start w:val="1"/>
      <w:numFmt w:val="chineseCountingThousand"/>
      <w:lvlText w:val="%1、"/>
      <w:lvlJc w:val="left"/>
      <w:pPr>
        <w:ind w:left="1270" w:hanging="420"/>
      </w:pPr>
      <w:rPr>
        <w:rFonts w:hint="eastAsia"/>
        <w:b/>
        <w:strike w:val="0"/>
        <w:color w:val="auto"/>
        <w:sz w:val="24"/>
        <w:szCs w:val="24"/>
      </w:rPr>
    </w:lvl>
    <w:lvl w:ilvl="1" w:tentative="0">
      <w:start w:val="1"/>
      <w:numFmt w:val="lowerLetter"/>
      <w:lvlText w:val="%2)"/>
      <w:lvlJc w:val="left"/>
      <w:pPr>
        <w:ind w:left="1974" w:hanging="420"/>
      </w:pPr>
      <w:rPr>
        <w:rFonts w:hint="eastAsia"/>
      </w:rPr>
    </w:lvl>
    <w:lvl w:ilvl="2" w:tentative="0">
      <w:start w:val="1"/>
      <w:numFmt w:val="lowerRoman"/>
      <w:lvlText w:val="%3."/>
      <w:lvlJc w:val="right"/>
      <w:pPr>
        <w:ind w:left="2394" w:hanging="420"/>
      </w:pPr>
      <w:rPr>
        <w:rFonts w:hint="eastAsia"/>
      </w:rPr>
    </w:lvl>
    <w:lvl w:ilvl="3" w:tentative="0">
      <w:start w:val="1"/>
      <w:numFmt w:val="decimal"/>
      <w:lvlText w:val="%4."/>
      <w:lvlJc w:val="left"/>
      <w:pPr>
        <w:ind w:left="2814" w:hanging="420"/>
      </w:pPr>
      <w:rPr>
        <w:rFonts w:hint="eastAsia"/>
      </w:rPr>
    </w:lvl>
    <w:lvl w:ilvl="4" w:tentative="0">
      <w:start w:val="1"/>
      <w:numFmt w:val="lowerLetter"/>
      <w:lvlText w:val="%5)"/>
      <w:lvlJc w:val="left"/>
      <w:pPr>
        <w:ind w:left="3234" w:hanging="420"/>
      </w:pPr>
      <w:rPr>
        <w:rFonts w:hint="eastAsia"/>
      </w:rPr>
    </w:lvl>
    <w:lvl w:ilvl="5" w:tentative="0">
      <w:start w:val="1"/>
      <w:numFmt w:val="lowerRoman"/>
      <w:lvlText w:val="%6."/>
      <w:lvlJc w:val="right"/>
      <w:pPr>
        <w:ind w:left="3654" w:hanging="420"/>
      </w:pPr>
      <w:rPr>
        <w:rFonts w:hint="eastAsia"/>
      </w:rPr>
    </w:lvl>
    <w:lvl w:ilvl="6" w:tentative="0">
      <w:start w:val="1"/>
      <w:numFmt w:val="decimal"/>
      <w:lvlText w:val="%7."/>
      <w:lvlJc w:val="left"/>
      <w:pPr>
        <w:ind w:left="4074" w:hanging="420"/>
      </w:pPr>
      <w:rPr>
        <w:rFonts w:hint="eastAsia"/>
      </w:rPr>
    </w:lvl>
    <w:lvl w:ilvl="7" w:tentative="0">
      <w:start w:val="1"/>
      <w:numFmt w:val="lowerLetter"/>
      <w:lvlText w:val="%8)"/>
      <w:lvlJc w:val="left"/>
      <w:pPr>
        <w:ind w:left="4494" w:hanging="420"/>
      </w:pPr>
      <w:rPr>
        <w:rFonts w:hint="eastAsia"/>
      </w:rPr>
    </w:lvl>
    <w:lvl w:ilvl="8" w:tentative="0">
      <w:start w:val="1"/>
      <w:numFmt w:val="lowerRoman"/>
      <w:lvlText w:val="%9."/>
      <w:lvlJc w:val="right"/>
      <w:pPr>
        <w:ind w:left="4914" w:hanging="420"/>
      </w:pPr>
      <w:rPr>
        <w:rFonts w:hint="eastAsia"/>
      </w:rPr>
    </w:lvl>
  </w:abstractNum>
  <w:abstractNum w:abstractNumId="7">
    <w:nsid w:val="0A9E0BD9"/>
    <w:multiLevelType w:val="multilevel"/>
    <w:tmpl w:val="0A9E0BD9"/>
    <w:lvl w:ilvl="0" w:tentative="0">
      <w:start w:val="1"/>
      <w:numFmt w:val="decimal"/>
      <w:lvlText w:val="12.%1"/>
      <w:lvlJc w:val="left"/>
      <w:pPr>
        <w:ind w:left="562"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CE1425E"/>
    <w:multiLevelType w:val="multilevel"/>
    <w:tmpl w:val="0CE1425E"/>
    <w:lvl w:ilvl="0" w:tentative="0">
      <w:start w:val="1"/>
      <w:numFmt w:val="decimal"/>
      <w:lvlText w:val="2.%1"/>
      <w:lvlJc w:val="left"/>
      <w:pPr>
        <w:ind w:left="988" w:hanging="420"/>
      </w:pPr>
      <w:rPr>
        <w:rFonts w:hint="default" w:ascii="宋体" w:hAnsi="宋体" w:eastAsia="宋体" w:cs="宋体"/>
        <w:b/>
        <w:caps w:val="0"/>
        <w:strike w:val="0"/>
        <w:dstrike w:val="0"/>
        <w:vanish w:val="0"/>
        <w:color w:val="auto"/>
        <w:sz w:val="24"/>
        <w:szCs w:val="24"/>
        <w:vertAlign w:val="baseline"/>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9">
    <w:nsid w:val="0F196355"/>
    <w:multiLevelType w:val="multilevel"/>
    <w:tmpl w:val="0F196355"/>
    <w:lvl w:ilvl="0" w:tentative="0">
      <w:start w:val="1"/>
      <w:numFmt w:val="decimal"/>
      <w:lvlText w:val="15.%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2F3169F"/>
    <w:multiLevelType w:val="multilevel"/>
    <w:tmpl w:val="12F3169F"/>
    <w:lvl w:ilvl="0" w:tentative="0">
      <w:start w:val="1"/>
      <w:numFmt w:val="decimal"/>
      <w:lvlText w:val="24.%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132D68A0"/>
    <w:multiLevelType w:val="multilevel"/>
    <w:tmpl w:val="132D68A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433242D"/>
    <w:multiLevelType w:val="multilevel"/>
    <w:tmpl w:val="1433242D"/>
    <w:lvl w:ilvl="0" w:tentative="0">
      <w:start w:val="1"/>
      <w:numFmt w:val="decimal"/>
      <w:lvlText w:val="%1）"/>
      <w:lvlJc w:val="left"/>
      <w:pPr>
        <w:ind w:left="906" w:hanging="420"/>
      </w:pPr>
      <w:rPr>
        <w:rFonts w:hint="eastAsia"/>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13">
    <w:nsid w:val="1636573F"/>
    <w:multiLevelType w:val="multilevel"/>
    <w:tmpl w:val="1636573F"/>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962145"/>
    <w:multiLevelType w:val="multilevel"/>
    <w:tmpl w:val="16962145"/>
    <w:lvl w:ilvl="0" w:tentative="0">
      <w:start w:val="1"/>
      <w:numFmt w:val="decimal"/>
      <w:lvlText w:val="3.%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6DA66E0"/>
    <w:multiLevelType w:val="multilevel"/>
    <w:tmpl w:val="16DA66E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A130721"/>
    <w:multiLevelType w:val="multilevel"/>
    <w:tmpl w:val="1A13072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A5D1144"/>
    <w:multiLevelType w:val="multilevel"/>
    <w:tmpl w:val="1A5D1144"/>
    <w:lvl w:ilvl="0" w:tentative="0">
      <w:start w:val="1"/>
      <w:numFmt w:val="decimal"/>
      <w:lvlText w:val="%1."/>
      <w:lvlJc w:val="left"/>
      <w:pPr>
        <w:ind w:left="900" w:hanging="420"/>
      </w:pPr>
      <w:rPr>
        <w:rFonts w:hint="default" w:ascii="宋体" w:hAnsi="宋体" w:eastAsia="宋体"/>
        <w:b w:val="0"/>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1F7B6D51"/>
    <w:multiLevelType w:val="multilevel"/>
    <w:tmpl w:val="1F7B6D51"/>
    <w:lvl w:ilvl="0" w:tentative="0">
      <w:start w:val="1"/>
      <w:numFmt w:val="decimal"/>
      <w:lvlText w:val="1.%1"/>
      <w:lvlJc w:val="left"/>
      <w:pPr>
        <w:ind w:left="660" w:hanging="420"/>
      </w:pPr>
      <w:rPr>
        <w:rFonts w:hint="default" w:ascii="宋体" w:hAnsi="宋体" w:eastAsia="宋体" w:cs="宋体"/>
        <w:b w:val="0"/>
        <w:i w:val="0"/>
        <w:iCs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074378A"/>
    <w:multiLevelType w:val="multilevel"/>
    <w:tmpl w:val="2074378A"/>
    <w:lvl w:ilvl="0" w:tentative="0">
      <w:start w:val="1"/>
      <w:numFmt w:val="decimal"/>
      <w:lvlText w:val="42.%1"/>
      <w:lvlJc w:val="left"/>
      <w:pPr>
        <w:ind w:left="562"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219F00AA"/>
    <w:multiLevelType w:val="singleLevel"/>
    <w:tmpl w:val="219F00AA"/>
    <w:lvl w:ilvl="0" w:tentative="0">
      <w:start w:val="1"/>
      <w:numFmt w:val="chineseCountingThousand"/>
      <w:lvlText w:val="%1、"/>
      <w:lvlJc w:val="left"/>
      <w:pPr>
        <w:ind w:left="420" w:hanging="420"/>
      </w:pPr>
      <w:rPr>
        <w:rFonts w:hint="default"/>
        <w:b w:val="0"/>
        <w:bCs/>
        <w:sz w:val="24"/>
        <w:szCs w:val="24"/>
      </w:rPr>
    </w:lvl>
  </w:abstractNum>
  <w:abstractNum w:abstractNumId="21">
    <w:nsid w:val="21C23901"/>
    <w:multiLevelType w:val="multilevel"/>
    <w:tmpl w:val="21C23901"/>
    <w:lvl w:ilvl="0" w:tentative="0">
      <w:start w:val="1"/>
      <w:numFmt w:val="decimal"/>
      <w:lvlText w:val="6.%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4F03B50"/>
    <w:multiLevelType w:val="multilevel"/>
    <w:tmpl w:val="24F03B50"/>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3">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sz w:val="24"/>
        <w:szCs w:val="24"/>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4">
    <w:nsid w:val="292B1F68"/>
    <w:multiLevelType w:val="singleLevel"/>
    <w:tmpl w:val="292B1F68"/>
    <w:lvl w:ilvl="0" w:tentative="0">
      <w:start w:val="1"/>
      <w:numFmt w:val="decimal"/>
      <w:lvlText w:val="%1."/>
      <w:lvlJc w:val="left"/>
      <w:pPr>
        <w:tabs>
          <w:tab w:val="left" w:pos="312"/>
        </w:tabs>
      </w:pPr>
    </w:lvl>
  </w:abstractNum>
  <w:abstractNum w:abstractNumId="25">
    <w:nsid w:val="2A0256CE"/>
    <w:multiLevelType w:val="multilevel"/>
    <w:tmpl w:val="2A0256CE"/>
    <w:lvl w:ilvl="0" w:tentative="0">
      <w:start w:val="1"/>
      <w:numFmt w:val="decimal"/>
      <w:lvlText w:val="3.%1"/>
      <w:lvlJc w:val="left"/>
      <w:pPr>
        <w:ind w:left="654" w:hanging="420"/>
      </w:pPr>
      <w:rPr>
        <w:rFonts w:hint="default" w:ascii="宋体" w:hAnsi="宋体" w:eastAsia="宋体" w:cs="宋体"/>
        <w:b w:val="0"/>
        <w:color w:val="auto"/>
        <w:sz w:val="24"/>
        <w:szCs w:val="24"/>
      </w:rPr>
    </w:lvl>
    <w:lvl w:ilvl="1" w:tentative="0">
      <w:start w:val="1"/>
      <w:numFmt w:val="lowerLetter"/>
      <w:lvlText w:val="%2)"/>
      <w:lvlJc w:val="left"/>
      <w:pPr>
        <w:ind w:left="1074" w:hanging="420"/>
      </w:pPr>
    </w:lvl>
    <w:lvl w:ilvl="2" w:tentative="0">
      <w:start w:val="1"/>
      <w:numFmt w:val="lowerRoman"/>
      <w:lvlText w:val="%3."/>
      <w:lvlJc w:val="right"/>
      <w:pPr>
        <w:ind w:left="1494" w:hanging="420"/>
      </w:pPr>
    </w:lvl>
    <w:lvl w:ilvl="3" w:tentative="0">
      <w:start w:val="1"/>
      <w:numFmt w:val="decimal"/>
      <w:lvlText w:val="%4."/>
      <w:lvlJc w:val="left"/>
      <w:pPr>
        <w:ind w:left="1914" w:hanging="420"/>
      </w:pPr>
    </w:lvl>
    <w:lvl w:ilvl="4" w:tentative="0">
      <w:start w:val="1"/>
      <w:numFmt w:val="lowerLetter"/>
      <w:lvlText w:val="%5)"/>
      <w:lvlJc w:val="left"/>
      <w:pPr>
        <w:ind w:left="2334" w:hanging="420"/>
      </w:pPr>
    </w:lvl>
    <w:lvl w:ilvl="5" w:tentative="0">
      <w:start w:val="1"/>
      <w:numFmt w:val="lowerRoman"/>
      <w:lvlText w:val="%6."/>
      <w:lvlJc w:val="right"/>
      <w:pPr>
        <w:ind w:left="2754" w:hanging="420"/>
      </w:pPr>
    </w:lvl>
    <w:lvl w:ilvl="6" w:tentative="0">
      <w:start w:val="1"/>
      <w:numFmt w:val="decimal"/>
      <w:lvlText w:val="%7."/>
      <w:lvlJc w:val="left"/>
      <w:pPr>
        <w:ind w:left="3174" w:hanging="420"/>
      </w:pPr>
    </w:lvl>
    <w:lvl w:ilvl="7" w:tentative="0">
      <w:start w:val="1"/>
      <w:numFmt w:val="lowerLetter"/>
      <w:lvlText w:val="%8)"/>
      <w:lvlJc w:val="left"/>
      <w:pPr>
        <w:ind w:left="3594" w:hanging="420"/>
      </w:pPr>
    </w:lvl>
    <w:lvl w:ilvl="8" w:tentative="0">
      <w:start w:val="1"/>
      <w:numFmt w:val="lowerRoman"/>
      <w:lvlText w:val="%9."/>
      <w:lvlJc w:val="right"/>
      <w:pPr>
        <w:ind w:left="4014" w:hanging="420"/>
      </w:pPr>
    </w:lvl>
  </w:abstractNum>
  <w:abstractNum w:abstractNumId="26">
    <w:nsid w:val="2ABF2833"/>
    <w:multiLevelType w:val="multilevel"/>
    <w:tmpl w:val="2ABF2833"/>
    <w:lvl w:ilvl="0" w:tentative="0">
      <w:start w:val="1"/>
      <w:numFmt w:val="decimal"/>
      <w:lvlText w:val="22.%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7">
    <w:nsid w:val="2C587352"/>
    <w:multiLevelType w:val="multilevel"/>
    <w:tmpl w:val="2C587352"/>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8">
    <w:nsid w:val="2E825AFA"/>
    <w:multiLevelType w:val="multilevel"/>
    <w:tmpl w:val="2E825AFA"/>
    <w:lvl w:ilvl="0" w:tentative="0">
      <w:start w:val="1"/>
      <w:numFmt w:val="decimal"/>
      <w:lvlText w:val="3.%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F157303"/>
    <w:multiLevelType w:val="multilevel"/>
    <w:tmpl w:val="2F157303"/>
    <w:lvl w:ilvl="0" w:tentative="0">
      <w:start w:val="1"/>
      <w:numFmt w:val="decimal"/>
      <w:lvlText w:val="19.%1 "/>
      <w:lvlJc w:val="left"/>
      <w:pPr>
        <w:ind w:left="420" w:hanging="420"/>
      </w:pPr>
      <w:rPr>
        <w:rFonts w:hint="default" w:eastAsia="宋体" w:asciiTheme="minorEastAsia" w:hAnsiTheme="minorEastAsia"/>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311832AE"/>
    <w:multiLevelType w:val="multilevel"/>
    <w:tmpl w:val="311832AE"/>
    <w:lvl w:ilvl="0" w:tentative="0">
      <w:start w:val="1"/>
      <w:numFmt w:val="decimal"/>
      <w:lvlText w:val="25.%1"/>
      <w:lvlJc w:val="left"/>
      <w:pPr>
        <w:ind w:left="1271"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315F4B3A"/>
    <w:multiLevelType w:val="multilevel"/>
    <w:tmpl w:val="315F4B3A"/>
    <w:lvl w:ilvl="0" w:tentative="0">
      <w:start w:val="1"/>
      <w:numFmt w:val="decimal"/>
      <w:lvlText w:val="13.%1"/>
      <w:lvlJc w:val="left"/>
      <w:pPr>
        <w:ind w:left="988" w:hanging="420"/>
      </w:pPr>
      <w:rPr>
        <w:rFonts w:hint="default" w:ascii="宋体" w:hAnsi="宋体" w:eastAsia="宋体" w:cs="宋体"/>
        <w:b w:val="0"/>
        <w:strike w:val="0"/>
        <w:color w:val="auto"/>
        <w:sz w:val="24"/>
        <w:szCs w:val="24"/>
      </w:rPr>
    </w:lvl>
    <w:lvl w:ilvl="1" w:tentative="0">
      <w:start w:val="1"/>
      <w:numFmt w:val="lowerLetter"/>
      <w:lvlText w:val="%2)"/>
      <w:lvlJc w:val="left"/>
      <w:pPr>
        <w:ind w:left="1408" w:hanging="420"/>
      </w:pPr>
      <w:rPr>
        <w:rFonts w:hint="eastAsia"/>
      </w:rPr>
    </w:lvl>
    <w:lvl w:ilvl="2" w:tentative="0">
      <w:start w:val="1"/>
      <w:numFmt w:val="lowerRoman"/>
      <w:lvlText w:val="%3."/>
      <w:lvlJc w:val="right"/>
      <w:pPr>
        <w:ind w:left="1828" w:hanging="420"/>
      </w:pPr>
      <w:rPr>
        <w:rFonts w:hint="eastAsia"/>
      </w:rPr>
    </w:lvl>
    <w:lvl w:ilvl="3" w:tentative="0">
      <w:start w:val="1"/>
      <w:numFmt w:val="decimal"/>
      <w:lvlText w:val="%4."/>
      <w:lvlJc w:val="left"/>
      <w:pPr>
        <w:ind w:left="2248" w:hanging="420"/>
      </w:pPr>
      <w:rPr>
        <w:rFonts w:hint="eastAsia"/>
      </w:rPr>
    </w:lvl>
    <w:lvl w:ilvl="4" w:tentative="0">
      <w:start w:val="1"/>
      <w:numFmt w:val="lowerLetter"/>
      <w:lvlText w:val="%5)"/>
      <w:lvlJc w:val="left"/>
      <w:pPr>
        <w:ind w:left="2668" w:hanging="420"/>
      </w:pPr>
      <w:rPr>
        <w:rFonts w:hint="eastAsia"/>
      </w:rPr>
    </w:lvl>
    <w:lvl w:ilvl="5" w:tentative="0">
      <w:start w:val="1"/>
      <w:numFmt w:val="lowerRoman"/>
      <w:lvlText w:val="%6."/>
      <w:lvlJc w:val="right"/>
      <w:pPr>
        <w:ind w:left="3088" w:hanging="420"/>
      </w:pPr>
      <w:rPr>
        <w:rFonts w:hint="eastAsia"/>
      </w:rPr>
    </w:lvl>
    <w:lvl w:ilvl="6" w:tentative="0">
      <w:start w:val="1"/>
      <w:numFmt w:val="decimal"/>
      <w:lvlText w:val="%7."/>
      <w:lvlJc w:val="left"/>
      <w:pPr>
        <w:ind w:left="3508" w:hanging="420"/>
      </w:pPr>
      <w:rPr>
        <w:rFonts w:hint="eastAsia"/>
      </w:rPr>
    </w:lvl>
    <w:lvl w:ilvl="7" w:tentative="0">
      <w:start w:val="1"/>
      <w:numFmt w:val="lowerLetter"/>
      <w:lvlText w:val="%8)"/>
      <w:lvlJc w:val="left"/>
      <w:pPr>
        <w:ind w:left="3928" w:hanging="420"/>
      </w:pPr>
      <w:rPr>
        <w:rFonts w:hint="eastAsia"/>
      </w:rPr>
    </w:lvl>
    <w:lvl w:ilvl="8" w:tentative="0">
      <w:start w:val="1"/>
      <w:numFmt w:val="lowerRoman"/>
      <w:lvlText w:val="%9."/>
      <w:lvlJc w:val="right"/>
      <w:pPr>
        <w:ind w:left="4348" w:hanging="420"/>
      </w:pPr>
      <w:rPr>
        <w:rFonts w:hint="eastAsia"/>
      </w:rPr>
    </w:lvl>
  </w:abstractNum>
  <w:abstractNum w:abstractNumId="32">
    <w:nsid w:val="37434FB1"/>
    <w:multiLevelType w:val="multilevel"/>
    <w:tmpl w:val="37434FB1"/>
    <w:lvl w:ilvl="0" w:tentative="0">
      <w:start w:val="1"/>
      <w:numFmt w:val="decimal"/>
      <w:lvlText w:val="%1"/>
      <w:lvlJc w:val="center"/>
      <w:pPr>
        <w:ind w:left="846"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8572763"/>
    <w:multiLevelType w:val="multilevel"/>
    <w:tmpl w:val="38572763"/>
    <w:lvl w:ilvl="0" w:tentative="0">
      <w:start w:val="1"/>
      <w:numFmt w:val="decimal"/>
      <w:lvlText w:val="29.%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4">
    <w:nsid w:val="38F606C2"/>
    <w:multiLevelType w:val="multilevel"/>
    <w:tmpl w:val="38F606C2"/>
    <w:lvl w:ilvl="0" w:tentative="0">
      <w:start w:val="1"/>
      <w:numFmt w:val="chineseCountingThousand"/>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A4A6BB0"/>
    <w:multiLevelType w:val="multilevel"/>
    <w:tmpl w:val="3A4A6BB0"/>
    <w:lvl w:ilvl="0" w:tentative="0">
      <w:start w:val="1"/>
      <w:numFmt w:val="decimal"/>
      <w:lvlText w:val="40.%1"/>
      <w:lvlJc w:val="left"/>
      <w:pPr>
        <w:ind w:left="420" w:hanging="420"/>
      </w:pPr>
      <w:rPr>
        <w:rFonts w:hint="default" w:ascii="宋体" w:hAnsi="宋体" w:eastAsia="宋体" w:cs="宋体"/>
        <w:strike w:val="0"/>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36">
    <w:nsid w:val="3CAD07C4"/>
    <w:multiLevelType w:val="multilevel"/>
    <w:tmpl w:val="3CAD07C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7">
    <w:nsid w:val="3CD27C5B"/>
    <w:multiLevelType w:val="multilevel"/>
    <w:tmpl w:val="3CD27C5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8">
    <w:nsid w:val="3F2077F6"/>
    <w:multiLevelType w:val="multilevel"/>
    <w:tmpl w:val="3F2077F6"/>
    <w:lvl w:ilvl="0" w:tentative="0">
      <w:start w:val="1"/>
      <w:numFmt w:val="decimal"/>
      <w:lvlText w:val="41.%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39">
    <w:nsid w:val="40AA025A"/>
    <w:multiLevelType w:val="multilevel"/>
    <w:tmpl w:val="40AA025A"/>
    <w:lvl w:ilvl="0" w:tentative="0">
      <w:start w:val="1"/>
      <w:numFmt w:val="decimal"/>
      <w:lvlText w:val="34.%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0">
    <w:nsid w:val="41730A17"/>
    <w:multiLevelType w:val="multilevel"/>
    <w:tmpl w:val="41730A17"/>
    <w:lvl w:ilvl="0" w:tentative="0">
      <w:start w:val="1"/>
      <w:numFmt w:val="decimal"/>
      <w:lvlText w:val="26.%1"/>
      <w:lvlJc w:val="left"/>
      <w:pPr>
        <w:ind w:left="562" w:hanging="420"/>
      </w:pPr>
      <w:rPr>
        <w:rFonts w:hint="default" w:ascii="宋体" w:hAnsi="宋体" w:eastAsia="宋体" w:cs="宋体"/>
        <w:b w:val="0"/>
        <w:strike w:val="0"/>
        <w:color w:val="auto"/>
      </w:rPr>
    </w:lvl>
    <w:lvl w:ilvl="1" w:tentative="0">
      <w:start w:val="1"/>
      <w:numFmt w:val="lowerLetter"/>
      <w:lvlText w:val="%2)"/>
      <w:lvlJc w:val="left"/>
      <w:pPr>
        <w:ind w:left="982" w:hanging="420"/>
      </w:pPr>
      <w:rPr>
        <w:rFonts w:hint="eastAsia"/>
      </w:rPr>
    </w:lvl>
    <w:lvl w:ilvl="2" w:tentative="0">
      <w:start w:val="1"/>
      <w:numFmt w:val="lowerRoman"/>
      <w:lvlText w:val="%3."/>
      <w:lvlJc w:val="right"/>
      <w:pPr>
        <w:ind w:left="1402" w:hanging="420"/>
      </w:pPr>
      <w:rPr>
        <w:rFonts w:hint="eastAsia"/>
      </w:rPr>
    </w:lvl>
    <w:lvl w:ilvl="3" w:tentative="0">
      <w:start w:val="1"/>
      <w:numFmt w:val="decimal"/>
      <w:lvlText w:val="%4."/>
      <w:lvlJc w:val="left"/>
      <w:pPr>
        <w:ind w:left="1822" w:hanging="420"/>
      </w:pPr>
      <w:rPr>
        <w:rFonts w:hint="eastAsia"/>
      </w:rPr>
    </w:lvl>
    <w:lvl w:ilvl="4" w:tentative="0">
      <w:start w:val="1"/>
      <w:numFmt w:val="lowerLetter"/>
      <w:lvlText w:val="%5)"/>
      <w:lvlJc w:val="left"/>
      <w:pPr>
        <w:ind w:left="2242" w:hanging="420"/>
      </w:pPr>
      <w:rPr>
        <w:rFonts w:hint="eastAsia"/>
      </w:rPr>
    </w:lvl>
    <w:lvl w:ilvl="5" w:tentative="0">
      <w:start w:val="1"/>
      <w:numFmt w:val="lowerRoman"/>
      <w:lvlText w:val="%6."/>
      <w:lvlJc w:val="right"/>
      <w:pPr>
        <w:ind w:left="2662" w:hanging="420"/>
      </w:pPr>
      <w:rPr>
        <w:rFonts w:hint="eastAsia"/>
      </w:rPr>
    </w:lvl>
    <w:lvl w:ilvl="6" w:tentative="0">
      <w:start w:val="1"/>
      <w:numFmt w:val="decimal"/>
      <w:lvlText w:val="%7."/>
      <w:lvlJc w:val="left"/>
      <w:pPr>
        <w:ind w:left="3082" w:hanging="420"/>
      </w:pPr>
      <w:rPr>
        <w:rFonts w:hint="eastAsia"/>
      </w:rPr>
    </w:lvl>
    <w:lvl w:ilvl="7" w:tentative="0">
      <w:start w:val="1"/>
      <w:numFmt w:val="lowerLetter"/>
      <w:lvlText w:val="%8)"/>
      <w:lvlJc w:val="left"/>
      <w:pPr>
        <w:ind w:left="3502" w:hanging="420"/>
      </w:pPr>
      <w:rPr>
        <w:rFonts w:hint="eastAsia"/>
      </w:rPr>
    </w:lvl>
    <w:lvl w:ilvl="8" w:tentative="0">
      <w:start w:val="1"/>
      <w:numFmt w:val="lowerRoman"/>
      <w:lvlText w:val="%9."/>
      <w:lvlJc w:val="right"/>
      <w:pPr>
        <w:ind w:left="3922" w:hanging="420"/>
      </w:pPr>
      <w:rPr>
        <w:rFonts w:hint="eastAsia"/>
      </w:rPr>
    </w:lvl>
  </w:abstractNum>
  <w:abstractNum w:abstractNumId="41">
    <w:nsid w:val="41E4176E"/>
    <w:multiLevelType w:val="multilevel"/>
    <w:tmpl w:val="41E4176E"/>
    <w:lvl w:ilvl="0" w:tentative="0">
      <w:start w:val="1"/>
      <w:numFmt w:val="decimal"/>
      <w:lvlText w:val="35.%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2">
    <w:nsid w:val="42546508"/>
    <w:multiLevelType w:val="multilevel"/>
    <w:tmpl w:val="42546508"/>
    <w:lvl w:ilvl="0" w:tentative="0">
      <w:start w:val="1"/>
      <w:numFmt w:val="decimal"/>
      <w:lvlText w:val="29.%1"/>
      <w:lvlJc w:val="left"/>
      <w:pPr>
        <w:ind w:left="420" w:hanging="420"/>
      </w:pPr>
      <w:rPr>
        <w:rFonts w:hint="default" w:ascii="宋体" w:hAnsi="宋体" w:eastAsia="宋体" w:cs="宋体"/>
        <w:b w:val="0"/>
        <w:strike w:val="0"/>
        <w:color w:val="auto"/>
        <w:sz w:val="24"/>
        <w:szCs w:val="24"/>
        <w:lang w:eastAsia="zh-CN"/>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3">
    <w:nsid w:val="45133A6F"/>
    <w:multiLevelType w:val="multilevel"/>
    <w:tmpl w:val="45133A6F"/>
    <w:lvl w:ilvl="0" w:tentative="0">
      <w:start w:val="1"/>
      <w:numFmt w:val="decimal"/>
      <w:lvlText w:val="38.%1"/>
      <w:lvlJc w:val="left"/>
      <w:pPr>
        <w:ind w:left="845" w:hanging="420"/>
      </w:pPr>
      <w:rPr>
        <w:rFonts w:hint="default" w:ascii="宋体" w:hAnsi="宋体" w:eastAsia="宋体" w:cs="宋体"/>
        <w:strike w:val="0"/>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4">
    <w:nsid w:val="4E8D3DE0"/>
    <w:multiLevelType w:val="multilevel"/>
    <w:tmpl w:val="4E8D3DE0"/>
    <w:lvl w:ilvl="0" w:tentative="0">
      <w:start w:val="1"/>
      <w:numFmt w:val="chineseCountingThousand"/>
      <w:lvlText w:val="%1、"/>
      <w:lvlJc w:val="left"/>
      <w:pPr>
        <w:ind w:left="1128" w:hanging="420"/>
      </w:pPr>
      <w:rPr>
        <w:rFonts w:hint="eastAsia"/>
        <w:b/>
        <w:strike w:val="0"/>
        <w:color w:val="auto"/>
        <w:sz w:val="24"/>
        <w:szCs w:val="24"/>
      </w:rPr>
    </w:lvl>
    <w:lvl w:ilvl="1" w:tentative="0">
      <w:start w:val="1"/>
      <w:numFmt w:val="lowerLetter"/>
      <w:lvlText w:val="%2)"/>
      <w:lvlJc w:val="left"/>
      <w:pPr>
        <w:ind w:left="1832" w:hanging="420"/>
      </w:pPr>
      <w:rPr>
        <w:rFonts w:hint="eastAsia"/>
      </w:rPr>
    </w:lvl>
    <w:lvl w:ilvl="2" w:tentative="0">
      <w:start w:val="1"/>
      <w:numFmt w:val="lowerRoman"/>
      <w:lvlText w:val="%3."/>
      <w:lvlJc w:val="right"/>
      <w:pPr>
        <w:ind w:left="2252" w:hanging="420"/>
      </w:pPr>
      <w:rPr>
        <w:rFonts w:hint="eastAsia"/>
      </w:rPr>
    </w:lvl>
    <w:lvl w:ilvl="3" w:tentative="0">
      <w:start w:val="1"/>
      <w:numFmt w:val="decimal"/>
      <w:lvlText w:val="%4."/>
      <w:lvlJc w:val="left"/>
      <w:pPr>
        <w:ind w:left="2672" w:hanging="420"/>
      </w:pPr>
      <w:rPr>
        <w:rFonts w:hint="eastAsia"/>
      </w:rPr>
    </w:lvl>
    <w:lvl w:ilvl="4" w:tentative="0">
      <w:start w:val="1"/>
      <w:numFmt w:val="lowerLetter"/>
      <w:lvlText w:val="%5)"/>
      <w:lvlJc w:val="left"/>
      <w:pPr>
        <w:ind w:left="3092" w:hanging="420"/>
      </w:pPr>
      <w:rPr>
        <w:rFonts w:hint="eastAsia"/>
      </w:rPr>
    </w:lvl>
    <w:lvl w:ilvl="5" w:tentative="0">
      <w:start w:val="1"/>
      <w:numFmt w:val="lowerRoman"/>
      <w:lvlText w:val="%6."/>
      <w:lvlJc w:val="right"/>
      <w:pPr>
        <w:ind w:left="3512" w:hanging="420"/>
      </w:pPr>
      <w:rPr>
        <w:rFonts w:hint="eastAsia"/>
      </w:rPr>
    </w:lvl>
    <w:lvl w:ilvl="6" w:tentative="0">
      <w:start w:val="1"/>
      <w:numFmt w:val="decimal"/>
      <w:lvlText w:val="%7."/>
      <w:lvlJc w:val="left"/>
      <w:pPr>
        <w:ind w:left="3932" w:hanging="420"/>
      </w:pPr>
      <w:rPr>
        <w:rFonts w:hint="eastAsia"/>
      </w:rPr>
    </w:lvl>
    <w:lvl w:ilvl="7" w:tentative="0">
      <w:start w:val="1"/>
      <w:numFmt w:val="lowerLetter"/>
      <w:lvlText w:val="%8)"/>
      <w:lvlJc w:val="left"/>
      <w:pPr>
        <w:ind w:left="4352" w:hanging="420"/>
      </w:pPr>
      <w:rPr>
        <w:rFonts w:hint="eastAsia"/>
      </w:rPr>
    </w:lvl>
    <w:lvl w:ilvl="8" w:tentative="0">
      <w:start w:val="1"/>
      <w:numFmt w:val="lowerRoman"/>
      <w:lvlText w:val="%9."/>
      <w:lvlJc w:val="right"/>
      <w:pPr>
        <w:ind w:left="4772" w:hanging="420"/>
      </w:pPr>
      <w:rPr>
        <w:rFonts w:hint="eastAsia"/>
      </w:rPr>
    </w:lvl>
  </w:abstractNum>
  <w:abstractNum w:abstractNumId="45">
    <w:nsid w:val="4EAF5455"/>
    <w:multiLevelType w:val="multilevel"/>
    <w:tmpl w:val="4EAF5455"/>
    <w:lvl w:ilvl="0" w:tentative="0">
      <w:start w:val="1"/>
      <w:numFmt w:val="chineseCountingThousand"/>
      <w:lvlText w:val="第%1章 "/>
      <w:lvlJc w:val="left"/>
      <w:pPr>
        <w:ind w:left="4957" w:hanging="420"/>
      </w:pPr>
      <w:rPr>
        <w:rFonts w:hint="eastAsia"/>
        <w:sz w:val="36"/>
        <w:szCs w:val="36"/>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6">
    <w:nsid w:val="53FC3277"/>
    <w:multiLevelType w:val="multilevel"/>
    <w:tmpl w:val="53FC3277"/>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7">
    <w:nsid w:val="570117E4"/>
    <w:multiLevelType w:val="multilevel"/>
    <w:tmpl w:val="570117E4"/>
    <w:lvl w:ilvl="0" w:tentative="0">
      <w:start w:val="1"/>
      <w:numFmt w:val="decimal"/>
      <w:lvlText w:val="28.%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8">
    <w:nsid w:val="58771438"/>
    <w:multiLevelType w:val="multilevel"/>
    <w:tmpl w:val="58771438"/>
    <w:lvl w:ilvl="0" w:tentative="0">
      <w:start w:val="1"/>
      <w:numFmt w:val="decimal"/>
      <w:lvlText w:val="%1."/>
      <w:lvlJc w:val="left"/>
      <w:pPr>
        <w:ind w:left="900" w:hanging="420"/>
      </w:pPr>
      <w:rPr>
        <w:rFonts w:hint="default" w:ascii="宋体" w:hAnsi="宋体" w:eastAsia="宋体"/>
        <w:b w:val="0"/>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9">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0">
    <w:nsid w:val="5E7448BA"/>
    <w:multiLevelType w:val="multilevel"/>
    <w:tmpl w:val="5E7448BA"/>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F2F46DB"/>
    <w:multiLevelType w:val="multilevel"/>
    <w:tmpl w:val="5F2F46DB"/>
    <w:lvl w:ilvl="0" w:tentative="0">
      <w:start w:val="1"/>
      <w:numFmt w:val="decimal"/>
      <w:lvlText w:val="5.%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1F95093"/>
    <w:multiLevelType w:val="multilevel"/>
    <w:tmpl w:val="61F95093"/>
    <w:lvl w:ilvl="0" w:tentative="0">
      <w:start w:val="1"/>
      <w:numFmt w:val="decimal"/>
      <w:lvlText w:val="33.%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3">
    <w:nsid w:val="630C18EE"/>
    <w:multiLevelType w:val="multilevel"/>
    <w:tmpl w:val="630C18EE"/>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5397E7C"/>
    <w:multiLevelType w:val="multilevel"/>
    <w:tmpl w:val="65397E7C"/>
    <w:lvl w:ilvl="0" w:tentative="0">
      <w:start w:val="1"/>
      <w:numFmt w:val="decimal"/>
      <w:lvlText w:val="10.%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5">
    <w:nsid w:val="66C86197"/>
    <w:multiLevelType w:val="multilevel"/>
    <w:tmpl w:val="66C86197"/>
    <w:lvl w:ilvl="0" w:tentative="0">
      <w:start w:val="1"/>
      <w:numFmt w:val="decimal"/>
      <w:lvlText w:val="11.%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6">
    <w:nsid w:val="67E45654"/>
    <w:multiLevelType w:val="multilevel"/>
    <w:tmpl w:val="67E45654"/>
    <w:lvl w:ilvl="0" w:tentative="0">
      <w:start w:val="1"/>
      <w:numFmt w:val="decimal"/>
      <w:lvlText w:val="21.%1"/>
      <w:lvlJc w:val="left"/>
      <w:pPr>
        <w:ind w:left="1130" w:hanging="420"/>
      </w:pPr>
      <w:rPr>
        <w:rFonts w:hint="default" w:ascii="宋体" w:hAnsi="宋体" w:eastAsia="宋体" w:cs="宋体"/>
        <w:b/>
        <w:strike w:val="0"/>
        <w:sz w:val="24"/>
        <w:szCs w:val="24"/>
      </w:rPr>
    </w:lvl>
    <w:lvl w:ilvl="1" w:tentative="0">
      <w:start w:val="1"/>
      <w:numFmt w:val="lowerLetter"/>
      <w:lvlText w:val="%2)"/>
      <w:lvlJc w:val="left"/>
      <w:pPr>
        <w:ind w:left="1550" w:hanging="420"/>
      </w:pPr>
      <w:rPr>
        <w:rFonts w:hint="eastAsia"/>
      </w:rPr>
    </w:lvl>
    <w:lvl w:ilvl="2" w:tentative="0">
      <w:start w:val="1"/>
      <w:numFmt w:val="lowerRoman"/>
      <w:lvlText w:val="%3."/>
      <w:lvlJc w:val="right"/>
      <w:pPr>
        <w:ind w:left="1970" w:hanging="420"/>
      </w:pPr>
      <w:rPr>
        <w:rFonts w:hint="eastAsia"/>
      </w:rPr>
    </w:lvl>
    <w:lvl w:ilvl="3" w:tentative="0">
      <w:start w:val="1"/>
      <w:numFmt w:val="decimal"/>
      <w:lvlText w:val="%4."/>
      <w:lvlJc w:val="left"/>
      <w:pPr>
        <w:ind w:left="2390" w:hanging="420"/>
      </w:pPr>
      <w:rPr>
        <w:rFonts w:hint="eastAsia"/>
      </w:rPr>
    </w:lvl>
    <w:lvl w:ilvl="4" w:tentative="0">
      <w:start w:val="1"/>
      <w:numFmt w:val="lowerLetter"/>
      <w:lvlText w:val="%5)"/>
      <w:lvlJc w:val="left"/>
      <w:pPr>
        <w:ind w:left="2810" w:hanging="420"/>
      </w:pPr>
      <w:rPr>
        <w:rFonts w:hint="eastAsia"/>
      </w:rPr>
    </w:lvl>
    <w:lvl w:ilvl="5" w:tentative="0">
      <w:start w:val="1"/>
      <w:numFmt w:val="lowerRoman"/>
      <w:lvlText w:val="%6."/>
      <w:lvlJc w:val="right"/>
      <w:pPr>
        <w:ind w:left="3230" w:hanging="420"/>
      </w:pPr>
      <w:rPr>
        <w:rFonts w:hint="eastAsia"/>
      </w:rPr>
    </w:lvl>
    <w:lvl w:ilvl="6" w:tentative="0">
      <w:start w:val="1"/>
      <w:numFmt w:val="decimal"/>
      <w:lvlText w:val="%7."/>
      <w:lvlJc w:val="left"/>
      <w:pPr>
        <w:ind w:left="3650" w:hanging="420"/>
      </w:pPr>
      <w:rPr>
        <w:rFonts w:hint="eastAsia"/>
      </w:rPr>
    </w:lvl>
    <w:lvl w:ilvl="7" w:tentative="0">
      <w:start w:val="1"/>
      <w:numFmt w:val="lowerLetter"/>
      <w:lvlText w:val="%8)"/>
      <w:lvlJc w:val="left"/>
      <w:pPr>
        <w:ind w:left="4070" w:hanging="420"/>
      </w:pPr>
      <w:rPr>
        <w:rFonts w:hint="eastAsia"/>
      </w:rPr>
    </w:lvl>
    <w:lvl w:ilvl="8" w:tentative="0">
      <w:start w:val="1"/>
      <w:numFmt w:val="lowerRoman"/>
      <w:lvlText w:val="%9."/>
      <w:lvlJc w:val="right"/>
      <w:pPr>
        <w:ind w:left="4490" w:hanging="420"/>
      </w:pPr>
      <w:rPr>
        <w:rFonts w:hint="eastAsia"/>
      </w:rPr>
    </w:lvl>
  </w:abstractNum>
  <w:abstractNum w:abstractNumId="57">
    <w:nsid w:val="67FB67A6"/>
    <w:multiLevelType w:val="multilevel"/>
    <w:tmpl w:val="67FB67A6"/>
    <w:lvl w:ilvl="0" w:tentative="0">
      <w:start w:val="1"/>
      <w:numFmt w:val="decimal"/>
      <w:lvlText w:val="4.%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3D44C61"/>
    <w:multiLevelType w:val="multilevel"/>
    <w:tmpl w:val="73D44C61"/>
    <w:lvl w:ilvl="0" w:tentative="0">
      <w:start w:val="1"/>
      <w:numFmt w:val="decimal"/>
      <w:lvlText w:val="%1."/>
      <w:lvlJc w:val="left"/>
      <w:pPr>
        <w:ind w:left="986" w:hanging="420"/>
      </w:pPr>
      <w:rPr>
        <w:rFonts w:hint="eastAsia" w:asciiTheme="majorEastAsia" w:hAnsiTheme="majorEastAsia" w:eastAsiaTheme="majorEastAsia"/>
        <w:b w:val="0"/>
        <w:i w:val="0"/>
        <w:strike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9">
    <w:nsid w:val="76137D61"/>
    <w:multiLevelType w:val="multilevel"/>
    <w:tmpl w:val="76137D61"/>
    <w:lvl w:ilvl="0" w:tentative="0">
      <w:start w:val="1"/>
      <w:numFmt w:val="decimal"/>
      <w:lvlText w:val="4.%1"/>
      <w:lvlJc w:val="left"/>
      <w:pPr>
        <w:ind w:left="372" w:hanging="420"/>
      </w:pPr>
      <w:rPr>
        <w:rFonts w:hint="default" w:ascii="宋体" w:hAnsi="宋体" w:eastAsia="宋体" w:cs="宋体"/>
        <w:b w:val="0"/>
        <w:color w:val="auto"/>
        <w:sz w:val="24"/>
        <w:szCs w:val="24"/>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0">
    <w:nsid w:val="769621F4"/>
    <w:multiLevelType w:val="multilevel"/>
    <w:tmpl w:val="769621F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1">
    <w:nsid w:val="77BA7793"/>
    <w:multiLevelType w:val="multilevel"/>
    <w:tmpl w:val="77BA7793"/>
    <w:lvl w:ilvl="0" w:tentative="0">
      <w:start w:val="1"/>
      <w:numFmt w:val="japaneseCounting"/>
      <w:lvlText w:val="%1、"/>
      <w:lvlJc w:val="left"/>
      <w:pPr>
        <w:ind w:left="1200" w:hanging="720"/>
      </w:pPr>
      <w:rPr>
        <w:rFonts w:hint="eastAsia"/>
        <w:b/>
        <w:bCs w:val="0"/>
        <w:i w:val="0"/>
        <w:iCs w:val="0"/>
        <w:strike w:val="0"/>
        <w:dstrike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2">
    <w:nsid w:val="7A0C6CFB"/>
    <w:multiLevelType w:val="multilevel"/>
    <w:tmpl w:val="7A0C6CFB"/>
    <w:lvl w:ilvl="0" w:tentative="0">
      <w:start w:val="1"/>
      <w:numFmt w:val="decimal"/>
      <w:lvlText w:val="27.%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3">
    <w:nsid w:val="7A8770A9"/>
    <w:multiLevelType w:val="multilevel"/>
    <w:tmpl w:val="7A8770A9"/>
    <w:lvl w:ilvl="0" w:tentative="0">
      <w:start w:val="1"/>
      <w:numFmt w:val="decimal"/>
      <w:lvlText w:val="20.%1 "/>
      <w:lvlJc w:val="left"/>
      <w:pPr>
        <w:ind w:left="704" w:hanging="420"/>
      </w:pPr>
      <w:rPr>
        <w:rFonts w:hint="default" w:eastAsia="宋体" w:asciiTheme="minorEastAsia" w:hAnsiTheme="minorEastAsia"/>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4">
    <w:nsid w:val="7B5B2248"/>
    <w:multiLevelType w:val="multilevel"/>
    <w:tmpl w:val="7B5B2248"/>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DF211BD"/>
    <w:multiLevelType w:val="multilevel"/>
    <w:tmpl w:val="7DF211BD"/>
    <w:lvl w:ilvl="0" w:tentative="0">
      <w:start w:val="1"/>
      <w:numFmt w:val="decimal"/>
      <w:lvlText w:val="16.%1 "/>
      <w:lvlJc w:val="left"/>
      <w:pPr>
        <w:ind w:left="660" w:hanging="420"/>
      </w:pPr>
      <w:rPr>
        <w:rFonts w:hint="default" w:eastAsia="宋体" w:asciiTheme="minorEastAsia" w:hAnsiTheme="minorEastAsia"/>
        <w:b w:val="0"/>
        <w:strike w:val="0"/>
        <w:color w:val="auto"/>
      </w:rPr>
    </w:lvl>
    <w:lvl w:ilvl="1" w:tentative="0">
      <w:start w:val="1"/>
      <w:numFmt w:val="lowerLetter"/>
      <w:lvlText w:val="%2)"/>
      <w:lvlJc w:val="left"/>
      <w:pPr>
        <w:ind w:left="1080" w:hanging="420"/>
      </w:pPr>
      <w:rPr>
        <w:rFonts w:hint="eastAsia"/>
      </w:rPr>
    </w:lvl>
    <w:lvl w:ilvl="2" w:tentative="0">
      <w:start w:val="1"/>
      <w:numFmt w:val="lowerRoman"/>
      <w:lvlText w:val="%3."/>
      <w:lvlJc w:val="right"/>
      <w:pPr>
        <w:ind w:left="1500" w:hanging="420"/>
      </w:pPr>
      <w:rPr>
        <w:rFonts w:hint="eastAsia"/>
      </w:rPr>
    </w:lvl>
    <w:lvl w:ilvl="3" w:tentative="0">
      <w:start w:val="1"/>
      <w:numFmt w:val="decimal"/>
      <w:lvlText w:val="%4."/>
      <w:lvlJc w:val="left"/>
      <w:pPr>
        <w:ind w:left="1920" w:hanging="420"/>
      </w:pPr>
      <w:rPr>
        <w:rFonts w:hint="eastAsia"/>
      </w:rPr>
    </w:lvl>
    <w:lvl w:ilvl="4" w:tentative="0">
      <w:start w:val="1"/>
      <w:numFmt w:val="lowerLetter"/>
      <w:lvlText w:val="%5)"/>
      <w:lvlJc w:val="left"/>
      <w:pPr>
        <w:ind w:left="2340" w:hanging="420"/>
      </w:pPr>
      <w:rPr>
        <w:rFonts w:hint="eastAsia"/>
      </w:rPr>
    </w:lvl>
    <w:lvl w:ilvl="5" w:tentative="0">
      <w:start w:val="1"/>
      <w:numFmt w:val="lowerRoman"/>
      <w:lvlText w:val="%6."/>
      <w:lvlJc w:val="right"/>
      <w:pPr>
        <w:ind w:left="2760" w:hanging="420"/>
      </w:pPr>
      <w:rPr>
        <w:rFonts w:hint="eastAsia"/>
      </w:rPr>
    </w:lvl>
    <w:lvl w:ilvl="6" w:tentative="0">
      <w:start w:val="1"/>
      <w:numFmt w:val="decimal"/>
      <w:lvlText w:val="%7."/>
      <w:lvlJc w:val="left"/>
      <w:pPr>
        <w:ind w:left="3180" w:hanging="420"/>
      </w:pPr>
      <w:rPr>
        <w:rFonts w:hint="eastAsia"/>
      </w:rPr>
    </w:lvl>
    <w:lvl w:ilvl="7" w:tentative="0">
      <w:start w:val="1"/>
      <w:numFmt w:val="lowerLetter"/>
      <w:lvlText w:val="%8)"/>
      <w:lvlJc w:val="left"/>
      <w:pPr>
        <w:ind w:left="3600" w:hanging="420"/>
      </w:pPr>
      <w:rPr>
        <w:rFonts w:hint="eastAsia"/>
      </w:rPr>
    </w:lvl>
    <w:lvl w:ilvl="8" w:tentative="0">
      <w:start w:val="1"/>
      <w:numFmt w:val="lowerRoman"/>
      <w:lvlText w:val="%9."/>
      <w:lvlJc w:val="right"/>
      <w:pPr>
        <w:ind w:left="4020" w:hanging="420"/>
      </w:pPr>
      <w:rPr>
        <w:rFonts w:hint="eastAsia"/>
      </w:rPr>
    </w:lvl>
  </w:abstractNum>
  <w:abstractNum w:abstractNumId="66">
    <w:nsid w:val="7EDB621C"/>
    <w:multiLevelType w:val="multilevel"/>
    <w:tmpl w:val="7EDB621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7">
    <w:nsid w:val="7F035893"/>
    <w:multiLevelType w:val="multilevel"/>
    <w:tmpl w:val="7F035893"/>
    <w:lvl w:ilvl="0" w:tentative="0">
      <w:start w:val="1"/>
      <w:numFmt w:val="decimal"/>
      <w:lvlText w:val="14.%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45"/>
  </w:num>
  <w:num w:numId="2">
    <w:abstractNumId w:val="23"/>
  </w:num>
  <w:num w:numId="3">
    <w:abstractNumId w:val="58"/>
  </w:num>
  <w:num w:numId="4">
    <w:abstractNumId w:val="27"/>
  </w:num>
  <w:num w:numId="5">
    <w:abstractNumId w:val="17"/>
  </w:num>
  <w:num w:numId="6">
    <w:abstractNumId w:val="48"/>
  </w:num>
  <w:num w:numId="7">
    <w:abstractNumId w:val="2"/>
  </w:num>
  <w:num w:numId="8">
    <w:abstractNumId w:val="1"/>
  </w:num>
  <w:num w:numId="9">
    <w:abstractNumId w:val="16"/>
  </w:num>
  <w:num w:numId="10">
    <w:abstractNumId w:val="64"/>
  </w:num>
  <w:num w:numId="11">
    <w:abstractNumId w:val="14"/>
  </w:num>
  <w:num w:numId="12">
    <w:abstractNumId w:val="57"/>
  </w:num>
  <w:num w:numId="13">
    <w:abstractNumId w:val="51"/>
  </w:num>
  <w:num w:numId="14">
    <w:abstractNumId w:val="0"/>
  </w:num>
  <w:num w:numId="15">
    <w:abstractNumId w:val="54"/>
  </w:num>
  <w:num w:numId="16">
    <w:abstractNumId w:val="55"/>
  </w:num>
  <w:num w:numId="17">
    <w:abstractNumId w:val="7"/>
  </w:num>
  <w:num w:numId="18">
    <w:abstractNumId w:val="31"/>
  </w:num>
  <w:num w:numId="19">
    <w:abstractNumId w:val="67"/>
  </w:num>
  <w:num w:numId="20">
    <w:abstractNumId w:val="9"/>
  </w:num>
  <w:num w:numId="21">
    <w:abstractNumId w:val="65"/>
  </w:num>
  <w:num w:numId="22">
    <w:abstractNumId w:val="3"/>
  </w:num>
  <w:num w:numId="23">
    <w:abstractNumId w:val="4"/>
  </w:num>
  <w:num w:numId="24">
    <w:abstractNumId w:val="29"/>
  </w:num>
  <w:num w:numId="25">
    <w:abstractNumId w:val="63"/>
  </w:num>
  <w:num w:numId="26">
    <w:abstractNumId w:val="26"/>
  </w:num>
  <w:num w:numId="27">
    <w:abstractNumId w:val="10"/>
  </w:num>
  <w:num w:numId="28">
    <w:abstractNumId w:val="30"/>
  </w:num>
  <w:num w:numId="29">
    <w:abstractNumId w:val="40"/>
  </w:num>
  <w:num w:numId="30">
    <w:abstractNumId w:val="62"/>
  </w:num>
  <w:num w:numId="31">
    <w:abstractNumId w:val="47"/>
  </w:num>
  <w:num w:numId="32">
    <w:abstractNumId w:val="33"/>
  </w:num>
  <w:num w:numId="33">
    <w:abstractNumId w:val="42"/>
  </w:num>
  <w:num w:numId="34">
    <w:abstractNumId w:val="52"/>
  </w:num>
  <w:num w:numId="35">
    <w:abstractNumId w:val="39"/>
  </w:num>
  <w:num w:numId="36">
    <w:abstractNumId w:val="41"/>
  </w:num>
  <w:num w:numId="37">
    <w:abstractNumId w:val="5"/>
  </w:num>
  <w:num w:numId="38">
    <w:abstractNumId w:val="43"/>
  </w:num>
  <w:num w:numId="39">
    <w:abstractNumId w:val="35"/>
  </w:num>
  <w:num w:numId="40">
    <w:abstractNumId w:val="38"/>
  </w:num>
  <w:num w:numId="41">
    <w:abstractNumId w:val="19"/>
  </w:num>
  <w:num w:numId="42">
    <w:abstractNumId w:val="34"/>
  </w:num>
  <w:num w:numId="43">
    <w:abstractNumId w:val="24"/>
  </w:num>
  <w:num w:numId="44">
    <w:abstractNumId w:val="22"/>
  </w:num>
  <w:num w:numId="45">
    <w:abstractNumId w:val="18"/>
  </w:num>
  <w:num w:numId="46">
    <w:abstractNumId w:val="25"/>
  </w:num>
  <w:num w:numId="47">
    <w:abstractNumId w:val="59"/>
  </w:num>
  <w:num w:numId="48">
    <w:abstractNumId w:val="61"/>
  </w:num>
  <w:num w:numId="49">
    <w:abstractNumId w:val="20"/>
  </w:num>
  <w:num w:numId="50">
    <w:abstractNumId w:val="6"/>
  </w:num>
  <w:num w:numId="51">
    <w:abstractNumId w:val="15"/>
  </w:num>
  <w:num w:numId="52">
    <w:abstractNumId w:val="8"/>
  </w:num>
  <w:num w:numId="53">
    <w:abstractNumId w:val="37"/>
  </w:num>
  <w:num w:numId="54">
    <w:abstractNumId w:val="66"/>
  </w:num>
  <w:num w:numId="55">
    <w:abstractNumId w:val="60"/>
  </w:num>
  <w:num w:numId="56">
    <w:abstractNumId w:val="49"/>
  </w:num>
  <w:num w:numId="57">
    <w:abstractNumId w:val="36"/>
  </w:num>
  <w:num w:numId="58">
    <w:abstractNumId w:val="21"/>
  </w:num>
  <w:num w:numId="59">
    <w:abstractNumId w:val="53"/>
  </w:num>
  <w:num w:numId="60">
    <w:abstractNumId w:val="50"/>
  </w:num>
  <w:num w:numId="61">
    <w:abstractNumId w:val="11"/>
  </w:num>
  <w:num w:numId="62">
    <w:abstractNumId w:val="13"/>
  </w:num>
  <w:num w:numId="63">
    <w:abstractNumId w:val="28"/>
  </w:num>
  <w:num w:numId="64">
    <w:abstractNumId w:val="46"/>
  </w:num>
  <w:num w:numId="65">
    <w:abstractNumId w:val="12"/>
  </w:num>
  <w:num w:numId="66">
    <w:abstractNumId w:val="44"/>
  </w:num>
  <w:num w:numId="67">
    <w:abstractNumId w:val="32"/>
  </w:num>
  <w:num w:numId="68">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4YTdlNDZjNWY3Y2RjOGVhM2JiYTBiYmJmMmQ1NzUifQ=="/>
    <w:docVar w:name="KSO_WPS_MARK_KEY" w:val="99a1031b-b373-4684-bd12-dbba9f3e0a0f"/>
  </w:docVars>
  <w:rsids>
    <w:rsidRoot w:val="00201145"/>
    <w:rsid w:val="0000014A"/>
    <w:rsid w:val="0000031F"/>
    <w:rsid w:val="00000C4B"/>
    <w:rsid w:val="00000CA8"/>
    <w:rsid w:val="0000100F"/>
    <w:rsid w:val="0000159F"/>
    <w:rsid w:val="00002448"/>
    <w:rsid w:val="00002A14"/>
    <w:rsid w:val="00004B56"/>
    <w:rsid w:val="0000511B"/>
    <w:rsid w:val="000057CE"/>
    <w:rsid w:val="00005B94"/>
    <w:rsid w:val="00006F26"/>
    <w:rsid w:val="0000779C"/>
    <w:rsid w:val="00007E8E"/>
    <w:rsid w:val="00010489"/>
    <w:rsid w:val="00010770"/>
    <w:rsid w:val="000119CA"/>
    <w:rsid w:val="000121FF"/>
    <w:rsid w:val="0001240A"/>
    <w:rsid w:val="00012664"/>
    <w:rsid w:val="00012FAB"/>
    <w:rsid w:val="0001302A"/>
    <w:rsid w:val="000130FC"/>
    <w:rsid w:val="00014BDE"/>
    <w:rsid w:val="00015D88"/>
    <w:rsid w:val="000165A4"/>
    <w:rsid w:val="000165DA"/>
    <w:rsid w:val="000169BE"/>
    <w:rsid w:val="00016B2E"/>
    <w:rsid w:val="00016BC6"/>
    <w:rsid w:val="000172A6"/>
    <w:rsid w:val="00017852"/>
    <w:rsid w:val="00017DFB"/>
    <w:rsid w:val="00017F05"/>
    <w:rsid w:val="00020A15"/>
    <w:rsid w:val="00020E32"/>
    <w:rsid w:val="00021211"/>
    <w:rsid w:val="000219EF"/>
    <w:rsid w:val="00023F8C"/>
    <w:rsid w:val="00024BFB"/>
    <w:rsid w:val="00024C29"/>
    <w:rsid w:val="00026484"/>
    <w:rsid w:val="00026535"/>
    <w:rsid w:val="00026ADC"/>
    <w:rsid w:val="0003039E"/>
    <w:rsid w:val="0003173D"/>
    <w:rsid w:val="00032D25"/>
    <w:rsid w:val="00033225"/>
    <w:rsid w:val="00033E8E"/>
    <w:rsid w:val="000341E7"/>
    <w:rsid w:val="00034A0B"/>
    <w:rsid w:val="00035604"/>
    <w:rsid w:val="00036506"/>
    <w:rsid w:val="00036B9C"/>
    <w:rsid w:val="000377E5"/>
    <w:rsid w:val="00037BD7"/>
    <w:rsid w:val="00040310"/>
    <w:rsid w:val="00040516"/>
    <w:rsid w:val="0004059F"/>
    <w:rsid w:val="00040F28"/>
    <w:rsid w:val="0004136E"/>
    <w:rsid w:val="000415A0"/>
    <w:rsid w:val="000417D6"/>
    <w:rsid w:val="00041B3F"/>
    <w:rsid w:val="00041D01"/>
    <w:rsid w:val="000424D0"/>
    <w:rsid w:val="00042BF7"/>
    <w:rsid w:val="00043190"/>
    <w:rsid w:val="0004464B"/>
    <w:rsid w:val="00044B83"/>
    <w:rsid w:val="00044C5B"/>
    <w:rsid w:val="00046EE4"/>
    <w:rsid w:val="00047AE9"/>
    <w:rsid w:val="00047B05"/>
    <w:rsid w:val="00047B96"/>
    <w:rsid w:val="000506A0"/>
    <w:rsid w:val="000507AA"/>
    <w:rsid w:val="00050807"/>
    <w:rsid w:val="00050A7E"/>
    <w:rsid w:val="000532F3"/>
    <w:rsid w:val="00053666"/>
    <w:rsid w:val="00053F41"/>
    <w:rsid w:val="00054C08"/>
    <w:rsid w:val="00054E24"/>
    <w:rsid w:val="00054FA1"/>
    <w:rsid w:val="00055BA4"/>
    <w:rsid w:val="00055DE3"/>
    <w:rsid w:val="00055E4F"/>
    <w:rsid w:val="00055F40"/>
    <w:rsid w:val="000567EB"/>
    <w:rsid w:val="000568C4"/>
    <w:rsid w:val="000568F5"/>
    <w:rsid w:val="000572B9"/>
    <w:rsid w:val="00057884"/>
    <w:rsid w:val="00060811"/>
    <w:rsid w:val="000608B3"/>
    <w:rsid w:val="000610FF"/>
    <w:rsid w:val="000619B0"/>
    <w:rsid w:val="000621B0"/>
    <w:rsid w:val="0006258C"/>
    <w:rsid w:val="00063061"/>
    <w:rsid w:val="00063169"/>
    <w:rsid w:val="0006322E"/>
    <w:rsid w:val="00063686"/>
    <w:rsid w:val="000637AD"/>
    <w:rsid w:val="00063830"/>
    <w:rsid w:val="000639D8"/>
    <w:rsid w:val="00063E5E"/>
    <w:rsid w:val="000642C6"/>
    <w:rsid w:val="000659B5"/>
    <w:rsid w:val="00065E3D"/>
    <w:rsid w:val="00066B97"/>
    <w:rsid w:val="00067241"/>
    <w:rsid w:val="00067288"/>
    <w:rsid w:val="000674AF"/>
    <w:rsid w:val="00067954"/>
    <w:rsid w:val="00067E35"/>
    <w:rsid w:val="00067FF7"/>
    <w:rsid w:val="0007101D"/>
    <w:rsid w:val="00071ED3"/>
    <w:rsid w:val="0007234D"/>
    <w:rsid w:val="00072690"/>
    <w:rsid w:val="00073A13"/>
    <w:rsid w:val="00074A1B"/>
    <w:rsid w:val="00074DB0"/>
    <w:rsid w:val="0007562C"/>
    <w:rsid w:val="000768FE"/>
    <w:rsid w:val="00076D09"/>
    <w:rsid w:val="00076E6C"/>
    <w:rsid w:val="00076EBC"/>
    <w:rsid w:val="000774A5"/>
    <w:rsid w:val="0008028E"/>
    <w:rsid w:val="000802EB"/>
    <w:rsid w:val="00080A9D"/>
    <w:rsid w:val="00080F69"/>
    <w:rsid w:val="0008143F"/>
    <w:rsid w:val="00081938"/>
    <w:rsid w:val="00081B86"/>
    <w:rsid w:val="00081D33"/>
    <w:rsid w:val="00082A5E"/>
    <w:rsid w:val="00082ADE"/>
    <w:rsid w:val="00082CA5"/>
    <w:rsid w:val="00082D1B"/>
    <w:rsid w:val="0008304C"/>
    <w:rsid w:val="000842C3"/>
    <w:rsid w:val="0008443B"/>
    <w:rsid w:val="00084804"/>
    <w:rsid w:val="00084ADA"/>
    <w:rsid w:val="00084D29"/>
    <w:rsid w:val="00084F43"/>
    <w:rsid w:val="000853D5"/>
    <w:rsid w:val="00085A02"/>
    <w:rsid w:val="00086A7D"/>
    <w:rsid w:val="00086D1D"/>
    <w:rsid w:val="000874C7"/>
    <w:rsid w:val="00087964"/>
    <w:rsid w:val="000907A0"/>
    <w:rsid w:val="00090940"/>
    <w:rsid w:val="00090EA3"/>
    <w:rsid w:val="00091AFE"/>
    <w:rsid w:val="000923DD"/>
    <w:rsid w:val="0009272A"/>
    <w:rsid w:val="0009276C"/>
    <w:rsid w:val="00092FAB"/>
    <w:rsid w:val="00092FF5"/>
    <w:rsid w:val="0009335F"/>
    <w:rsid w:val="000942CB"/>
    <w:rsid w:val="00095264"/>
    <w:rsid w:val="00095BA7"/>
    <w:rsid w:val="00095D0F"/>
    <w:rsid w:val="0009761E"/>
    <w:rsid w:val="000A008C"/>
    <w:rsid w:val="000A0F0F"/>
    <w:rsid w:val="000A1261"/>
    <w:rsid w:val="000A1CA5"/>
    <w:rsid w:val="000A1D95"/>
    <w:rsid w:val="000A1E99"/>
    <w:rsid w:val="000A2D02"/>
    <w:rsid w:val="000A2D0F"/>
    <w:rsid w:val="000A36DE"/>
    <w:rsid w:val="000A420C"/>
    <w:rsid w:val="000A53E7"/>
    <w:rsid w:val="000A60C9"/>
    <w:rsid w:val="000A6794"/>
    <w:rsid w:val="000A6A4C"/>
    <w:rsid w:val="000A7ADE"/>
    <w:rsid w:val="000B0078"/>
    <w:rsid w:val="000B09B9"/>
    <w:rsid w:val="000B0E9F"/>
    <w:rsid w:val="000B156C"/>
    <w:rsid w:val="000B22D4"/>
    <w:rsid w:val="000B2CD4"/>
    <w:rsid w:val="000B2D7D"/>
    <w:rsid w:val="000B3C31"/>
    <w:rsid w:val="000B413D"/>
    <w:rsid w:val="000B4887"/>
    <w:rsid w:val="000B4F29"/>
    <w:rsid w:val="000B5891"/>
    <w:rsid w:val="000B70E1"/>
    <w:rsid w:val="000B71E2"/>
    <w:rsid w:val="000B7C48"/>
    <w:rsid w:val="000B7D9A"/>
    <w:rsid w:val="000C013D"/>
    <w:rsid w:val="000C0D47"/>
    <w:rsid w:val="000C0EB0"/>
    <w:rsid w:val="000C1474"/>
    <w:rsid w:val="000C208C"/>
    <w:rsid w:val="000C2793"/>
    <w:rsid w:val="000C2DB6"/>
    <w:rsid w:val="000C3104"/>
    <w:rsid w:val="000C3B22"/>
    <w:rsid w:val="000C3F32"/>
    <w:rsid w:val="000C43FF"/>
    <w:rsid w:val="000C59F3"/>
    <w:rsid w:val="000C5CAE"/>
    <w:rsid w:val="000C630D"/>
    <w:rsid w:val="000C664D"/>
    <w:rsid w:val="000D0095"/>
    <w:rsid w:val="000D0693"/>
    <w:rsid w:val="000D0812"/>
    <w:rsid w:val="000D092F"/>
    <w:rsid w:val="000D0A56"/>
    <w:rsid w:val="000D10A0"/>
    <w:rsid w:val="000D1CC6"/>
    <w:rsid w:val="000D1F6B"/>
    <w:rsid w:val="000D2D23"/>
    <w:rsid w:val="000D2D90"/>
    <w:rsid w:val="000D3C26"/>
    <w:rsid w:val="000D3FDE"/>
    <w:rsid w:val="000D4CC5"/>
    <w:rsid w:val="000D5961"/>
    <w:rsid w:val="000D5A40"/>
    <w:rsid w:val="000D5BCA"/>
    <w:rsid w:val="000D5FAD"/>
    <w:rsid w:val="000D67E8"/>
    <w:rsid w:val="000D69FC"/>
    <w:rsid w:val="000E0A54"/>
    <w:rsid w:val="000E127F"/>
    <w:rsid w:val="000E14DD"/>
    <w:rsid w:val="000E1866"/>
    <w:rsid w:val="000E1889"/>
    <w:rsid w:val="000E22EA"/>
    <w:rsid w:val="000E28C4"/>
    <w:rsid w:val="000E2BC0"/>
    <w:rsid w:val="000E37A9"/>
    <w:rsid w:val="000E3C87"/>
    <w:rsid w:val="000E43B3"/>
    <w:rsid w:val="000E4A98"/>
    <w:rsid w:val="000E5E8C"/>
    <w:rsid w:val="000E6438"/>
    <w:rsid w:val="000E6B06"/>
    <w:rsid w:val="000E6BF1"/>
    <w:rsid w:val="000E6DC1"/>
    <w:rsid w:val="000E72AD"/>
    <w:rsid w:val="000E7A08"/>
    <w:rsid w:val="000F01CD"/>
    <w:rsid w:val="000F05F3"/>
    <w:rsid w:val="000F065A"/>
    <w:rsid w:val="000F0CD1"/>
    <w:rsid w:val="000F0E9F"/>
    <w:rsid w:val="000F2E1F"/>
    <w:rsid w:val="000F32F1"/>
    <w:rsid w:val="000F3789"/>
    <w:rsid w:val="000F4C79"/>
    <w:rsid w:val="000F4EBA"/>
    <w:rsid w:val="000F546F"/>
    <w:rsid w:val="000F5CEC"/>
    <w:rsid w:val="000F694D"/>
    <w:rsid w:val="000F6AA4"/>
    <w:rsid w:val="000F7035"/>
    <w:rsid w:val="000F7D1E"/>
    <w:rsid w:val="00100853"/>
    <w:rsid w:val="00100F58"/>
    <w:rsid w:val="00101443"/>
    <w:rsid w:val="0010291A"/>
    <w:rsid w:val="00102EC6"/>
    <w:rsid w:val="00103C36"/>
    <w:rsid w:val="0010432F"/>
    <w:rsid w:val="00104A9C"/>
    <w:rsid w:val="00105022"/>
    <w:rsid w:val="00105B03"/>
    <w:rsid w:val="00105E76"/>
    <w:rsid w:val="001066A5"/>
    <w:rsid w:val="00106C65"/>
    <w:rsid w:val="00106CBF"/>
    <w:rsid w:val="00107122"/>
    <w:rsid w:val="00107BCB"/>
    <w:rsid w:val="001104FD"/>
    <w:rsid w:val="00110D48"/>
    <w:rsid w:val="00111250"/>
    <w:rsid w:val="001116FC"/>
    <w:rsid w:val="00112E62"/>
    <w:rsid w:val="0011328D"/>
    <w:rsid w:val="0011329C"/>
    <w:rsid w:val="00113B2F"/>
    <w:rsid w:val="00113BA5"/>
    <w:rsid w:val="00113C66"/>
    <w:rsid w:val="001142DD"/>
    <w:rsid w:val="00115274"/>
    <w:rsid w:val="001153B1"/>
    <w:rsid w:val="0011592C"/>
    <w:rsid w:val="00115B31"/>
    <w:rsid w:val="00117D17"/>
    <w:rsid w:val="00117F77"/>
    <w:rsid w:val="001201F7"/>
    <w:rsid w:val="0012112B"/>
    <w:rsid w:val="00121507"/>
    <w:rsid w:val="001222C0"/>
    <w:rsid w:val="0012274D"/>
    <w:rsid w:val="00122E03"/>
    <w:rsid w:val="00123679"/>
    <w:rsid w:val="00123704"/>
    <w:rsid w:val="00123A00"/>
    <w:rsid w:val="001245E0"/>
    <w:rsid w:val="00124AE3"/>
    <w:rsid w:val="001266F9"/>
    <w:rsid w:val="00126951"/>
    <w:rsid w:val="0012695A"/>
    <w:rsid w:val="0012744E"/>
    <w:rsid w:val="001275A1"/>
    <w:rsid w:val="00127A06"/>
    <w:rsid w:val="00127A41"/>
    <w:rsid w:val="001300FE"/>
    <w:rsid w:val="00130B15"/>
    <w:rsid w:val="00130BF6"/>
    <w:rsid w:val="00130D83"/>
    <w:rsid w:val="001315B6"/>
    <w:rsid w:val="00132967"/>
    <w:rsid w:val="001332D7"/>
    <w:rsid w:val="0013347D"/>
    <w:rsid w:val="001335CC"/>
    <w:rsid w:val="00135C72"/>
    <w:rsid w:val="00136158"/>
    <w:rsid w:val="00136730"/>
    <w:rsid w:val="00137209"/>
    <w:rsid w:val="001376D7"/>
    <w:rsid w:val="0014044C"/>
    <w:rsid w:val="00140A9F"/>
    <w:rsid w:val="00140E04"/>
    <w:rsid w:val="00140E38"/>
    <w:rsid w:val="00141639"/>
    <w:rsid w:val="00141ABF"/>
    <w:rsid w:val="00141DF8"/>
    <w:rsid w:val="00142967"/>
    <w:rsid w:val="00143646"/>
    <w:rsid w:val="00143B19"/>
    <w:rsid w:val="00144225"/>
    <w:rsid w:val="001449A9"/>
    <w:rsid w:val="0014511D"/>
    <w:rsid w:val="00145973"/>
    <w:rsid w:val="00145F05"/>
    <w:rsid w:val="0014649A"/>
    <w:rsid w:val="00147001"/>
    <w:rsid w:val="001479DB"/>
    <w:rsid w:val="001505CC"/>
    <w:rsid w:val="001508AB"/>
    <w:rsid w:val="00150975"/>
    <w:rsid w:val="0015146E"/>
    <w:rsid w:val="001514EB"/>
    <w:rsid w:val="0015161E"/>
    <w:rsid w:val="00151CE8"/>
    <w:rsid w:val="00151E43"/>
    <w:rsid w:val="0015212D"/>
    <w:rsid w:val="001522AC"/>
    <w:rsid w:val="00152AE0"/>
    <w:rsid w:val="00153070"/>
    <w:rsid w:val="00153BA8"/>
    <w:rsid w:val="00153E85"/>
    <w:rsid w:val="00153FD4"/>
    <w:rsid w:val="00154B20"/>
    <w:rsid w:val="0015505C"/>
    <w:rsid w:val="00155374"/>
    <w:rsid w:val="001555EB"/>
    <w:rsid w:val="00155A3F"/>
    <w:rsid w:val="001563C3"/>
    <w:rsid w:val="001564B9"/>
    <w:rsid w:val="00156900"/>
    <w:rsid w:val="00156CBF"/>
    <w:rsid w:val="00156E05"/>
    <w:rsid w:val="0015741A"/>
    <w:rsid w:val="0015787D"/>
    <w:rsid w:val="00157A38"/>
    <w:rsid w:val="0016263E"/>
    <w:rsid w:val="0016291E"/>
    <w:rsid w:val="001632CA"/>
    <w:rsid w:val="001632EF"/>
    <w:rsid w:val="001639E7"/>
    <w:rsid w:val="00163B5B"/>
    <w:rsid w:val="001642E5"/>
    <w:rsid w:val="00164433"/>
    <w:rsid w:val="00164967"/>
    <w:rsid w:val="0016498C"/>
    <w:rsid w:val="0016546D"/>
    <w:rsid w:val="00165A24"/>
    <w:rsid w:val="00166A93"/>
    <w:rsid w:val="001706F6"/>
    <w:rsid w:val="00170B48"/>
    <w:rsid w:val="00170EC5"/>
    <w:rsid w:val="00171014"/>
    <w:rsid w:val="001710F3"/>
    <w:rsid w:val="0017228A"/>
    <w:rsid w:val="00172353"/>
    <w:rsid w:val="001724A5"/>
    <w:rsid w:val="0017271F"/>
    <w:rsid w:val="00174A5D"/>
    <w:rsid w:val="00174C9B"/>
    <w:rsid w:val="00176C11"/>
    <w:rsid w:val="0017731E"/>
    <w:rsid w:val="0017733E"/>
    <w:rsid w:val="001773FD"/>
    <w:rsid w:val="00177DF3"/>
    <w:rsid w:val="001801EB"/>
    <w:rsid w:val="00180F81"/>
    <w:rsid w:val="00181BAA"/>
    <w:rsid w:val="00181C24"/>
    <w:rsid w:val="00181D11"/>
    <w:rsid w:val="00182702"/>
    <w:rsid w:val="00182B31"/>
    <w:rsid w:val="00182C8A"/>
    <w:rsid w:val="00182DAD"/>
    <w:rsid w:val="0018344D"/>
    <w:rsid w:val="00183B2B"/>
    <w:rsid w:val="00184393"/>
    <w:rsid w:val="00184691"/>
    <w:rsid w:val="00185045"/>
    <w:rsid w:val="001868DB"/>
    <w:rsid w:val="00186C5B"/>
    <w:rsid w:val="0018777D"/>
    <w:rsid w:val="00187D86"/>
    <w:rsid w:val="00190080"/>
    <w:rsid w:val="00191BDB"/>
    <w:rsid w:val="00192B00"/>
    <w:rsid w:val="001932CE"/>
    <w:rsid w:val="00193382"/>
    <w:rsid w:val="001940B4"/>
    <w:rsid w:val="0019458C"/>
    <w:rsid w:val="00194BC0"/>
    <w:rsid w:val="00195B91"/>
    <w:rsid w:val="00195DF4"/>
    <w:rsid w:val="001962FC"/>
    <w:rsid w:val="00196AD6"/>
    <w:rsid w:val="0019734D"/>
    <w:rsid w:val="0019747A"/>
    <w:rsid w:val="00197F14"/>
    <w:rsid w:val="001A04A2"/>
    <w:rsid w:val="001A079D"/>
    <w:rsid w:val="001A129C"/>
    <w:rsid w:val="001A1D7B"/>
    <w:rsid w:val="001A2C79"/>
    <w:rsid w:val="001A2F88"/>
    <w:rsid w:val="001A3271"/>
    <w:rsid w:val="001A3636"/>
    <w:rsid w:val="001A3EA2"/>
    <w:rsid w:val="001A44A5"/>
    <w:rsid w:val="001A55A9"/>
    <w:rsid w:val="001A57F7"/>
    <w:rsid w:val="001A5896"/>
    <w:rsid w:val="001A6662"/>
    <w:rsid w:val="001A6838"/>
    <w:rsid w:val="001A6A21"/>
    <w:rsid w:val="001B087A"/>
    <w:rsid w:val="001B0D16"/>
    <w:rsid w:val="001B146B"/>
    <w:rsid w:val="001B166D"/>
    <w:rsid w:val="001B1A86"/>
    <w:rsid w:val="001B29A5"/>
    <w:rsid w:val="001B35D9"/>
    <w:rsid w:val="001B3AF3"/>
    <w:rsid w:val="001B3E02"/>
    <w:rsid w:val="001B4186"/>
    <w:rsid w:val="001B4225"/>
    <w:rsid w:val="001B44F8"/>
    <w:rsid w:val="001B461B"/>
    <w:rsid w:val="001B4690"/>
    <w:rsid w:val="001B48B9"/>
    <w:rsid w:val="001B4C11"/>
    <w:rsid w:val="001B53F0"/>
    <w:rsid w:val="001B5F05"/>
    <w:rsid w:val="001B6787"/>
    <w:rsid w:val="001B6B08"/>
    <w:rsid w:val="001B6FA1"/>
    <w:rsid w:val="001B7B1C"/>
    <w:rsid w:val="001B7D92"/>
    <w:rsid w:val="001C0E86"/>
    <w:rsid w:val="001C0E93"/>
    <w:rsid w:val="001C156C"/>
    <w:rsid w:val="001C18C8"/>
    <w:rsid w:val="001C1A39"/>
    <w:rsid w:val="001C1BFE"/>
    <w:rsid w:val="001C1F1D"/>
    <w:rsid w:val="001C51FA"/>
    <w:rsid w:val="001C5419"/>
    <w:rsid w:val="001C5A53"/>
    <w:rsid w:val="001C6E9E"/>
    <w:rsid w:val="001C752C"/>
    <w:rsid w:val="001D0411"/>
    <w:rsid w:val="001D0D5D"/>
    <w:rsid w:val="001D0F3F"/>
    <w:rsid w:val="001D19D2"/>
    <w:rsid w:val="001D38C6"/>
    <w:rsid w:val="001D4201"/>
    <w:rsid w:val="001D44FB"/>
    <w:rsid w:val="001D653C"/>
    <w:rsid w:val="001D699C"/>
    <w:rsid w:val="001D6D7F"/>
    <w:rsid w:val="001D6EA0"/>
    <w:rsid w:val="001D6FB3"/>
    <w:rsid w:val="001D78E5"/>
    <w:rsid w:val="001E08AE"/>
    <w:rsid w:val="001E0DC5"/>
    <w:rsid w:val="001E10D3"/>
    <w:rsid w:val="001E1908"/>
    <w:rsid w:val="001E208F"/>
    <w:rsid w:val="001E30B8"/>
    <w:rsid w:val="001E31D8"/>
    <w:rsid w:val="001E3DC0"/>
    <w:rsid w:val="001E3E70"/>
    <w:rsid w:val="001E5DA5"/>
    <w:rsid w:val="001E5DDD"/>
    <w:rsid w:val="001E62CD"/>
    <w:rsid w:val="001E63D3"/>
    <w:rsid w:val="001E6632"/>
    <w:rsid w:val="001E7A9B"/>
    <w:rsid w:val="001F07A1"/>
    <w:rsid w:val="001F0A3C"/>
    <w:rsid w:val="001F1255"/>
    <w:rsid w:val="001F1D90"/>
    <w:rsid w:val="001F3190"/>
    <w:rsid w:val="001F33D1"/>
    <w:rsid w:val="001F451E"/>
    <w:rsid w:val="001F4744"/>
    <w:rsid w:val="001F4819"/>
    <w:rsid w:val="001F4855"/>
    <w:rsid w:val="001F4D20"/>
    <w:rsid w:val="001F4E23"/>
    <w:rsid w:val="001F4ED6"/>
    <w:rsid w:val="001F52ED"/>
    <w:rsid w:val="001F558C"/>
    <w:rsid w:val="001F592D"/>
    <w:rsid w:val="001F5C83"/>
    <w:rsid w:val="001F5EF1"/>
    <w:rsid w:val="001F6294"/>
    <w:rsid w:val="001F687D"/>
    <w:rsid w:val="001F6C2B"/>
    <w:rsid w:val="001F7217"/>
    <w:rsid w:val="001F72E3"/>
    <w:rsid w:val="001F79A9"/>
    <w:rsid w:val="002003F3"/>
    <w:rsid w:val="00201145"/>
    <w:rsid w:val="002012D1"/>
    <w:rsid w:val="002020A7"/>
    <w:rsid w:val="00202B2B"/>
    <w:rsid w:val="00204707"/>
    <w:rsid w:val="002067B0"/>
    <w:rsid w:val="00206A26"/>
    <w:rsid w:val="00206EE9"/>
    <w:rsid w:val="00207368"/>
    <w:rsid w:val="00207AA7"/>
    <w:rsid w:val="00207CED"/>
    <w:rsid w:val="00207E72"/>
    <w:rsid w:val="00207F7D"/>
    <w:rsid w:val="00210C7A"/>
    <w:rsid w:val="00210D41"/>
    <w:rsid w:val="0021104B"/>
    <w:rsid w:val="002115ED"/>
    <w:rsid w:val="00211A4B"/>
    <w:rsid w:val="00211B51"/>
    <w:rsid w:val="00211DD9"/>
    <w:rsid w:val="002123AB"/>
    <w:rsid w:val="00213370"/>
    <w:rsid w:val="00213AA1"/>
    <w:rsid w:val="00214060"/>
    <w:rsid w:val="00214148"/>
    <w:rsid w:val="00215F52"/>
    <w:rsid w:val="00216687"/>
    <w:rsid w:val="00216EEE"/>
    <w:rsid w:val="002171AA"/>
    <w:rsid w:val="002177FC"/>
    <w:rsid w:val="00217861"/>
    <w:rsid w:val="002178E0"/>
    <w:rsid w:val="00217A3F"/>
    <w:rsid w:val="00217AE6"/>
    <w:rsid w:val="00220A0D"/>
    <w:rsid w:val="00220E2D"/>
    <w:rsid w:val="00221B9C"/>
    <w:rsid w:val="00222198"/>
    <w:rsid w:val="002223A7"/>
    <w:rsid w:val="002223DA"/>
    <w:rsid w:val="00222CC6"/>
    <w:rsid w:val="0022338D"/>
    <w:rsid w:val="002233AE"/>
    <w:rsid w:val="00223430"/>
    <w:rsid w:val="00223DFE"/>
    <w:rsid w:val="00223FC1"/>
    <w:rsid w:val="00224032"/>
    <w:rsid w:val="00224584"/>
    <w:rsid w:val="00224AF9"/>
    <w:rsid w:val="00225315"/>
    <w:rsid w:val="00225AFA"/>
    <w:rsid w:val="00225D54"/>
    <w:rsid w:val="002263B4"/>
    <w:rsid w:val="00226ADB"/>
    <w:rsid w:val="00226B31"/>
    <w:rsid w:val="002275A8"/>
    <w:rsid w:val="00230068"/>
    <w:rsid w:val="002302D5"/>
    <w:rsid w:val="0023078B"/>
    <w:rsid w:val="002308AF"/>
    <w:rsid w:val="00230D12"/>
    <w:rsid w:val="00231009"/>
    <w:rsid w:val="0023165A"/>
    <w:rsid w:val="0023177F"/>
    <w:rsid w:val="002319F1"/>
    <w:rsid w:val="00231DBF"/>
    <w:rsid w:val="00231EFE"/>
    <w:rsid w:val="002322FD"/>
    <w:rsid w:val="00233D82"/>
    <w:rsid w:val="00233D83"/>
    <w:rsid w:val="002345FC"/>
    <w:rsid w:val="00234774"/>
    <w:rsid w:val="00234990"/>
    <w:rsid w:val="00235143"/>
    <w:rsid w:val="00235461"/>
    <w:rsid w:val="00235800"/>
    <w:rsid w:val="00235947"/>
    <w:rsid w:val="0023708C"/>
    <w:rsid w:val="00237100"/>
    <w:rsid w:val="002402AD"/>
    <w:rsid w:val="002410E3"/>
    <w:rsid w:val="00241850"/>
    <w:rsid w:val="00242C71"/>
    <w:rsid w:val="00243642"/>
    <w:rsid w:val="00243781"/>
    <w:rsid w:val="002447C0"/>
    <w:rsid w:val="002448A4"/>
    <w:rsid w:val="002449CE"/>
    <w:rsid w:val="00245181"/>
    <w:rsid w:val="00246651"/>
    <w:rsid w:val="00246661"/>
    <w:rsid w:val="002479E3"/>
    <w:rsid w:val="00251A06"/>
    <w:rsid w:val="00251B74"/>
    <w:rsid w:val="00251BE0"/>
    <w:rsid w:val="00251C2C"/>
    <w:rsid w:val="002521C1"/>
    <w:rsid w:val="0025230A"/>
    <w:rsid w:val="00253489"/>
    <w:rsid w:val="002538E6"/>
    <w:rsid w:val="00253C2C"/>
    <w:rsid w:val="00253C7A"/>
    <w:rsid w:val="00254717"/>
    <w:rsid w:val="0025487B"/>
    <w:rsid w:val="00254AF7"/>
    <w:rsid w:val="00254D9F"/>
    <w:rsid w:val="002552E8"/>
    <w:rsid w:val="002559F3"/>
    <w:rsid w:val="002564C8"/>
    <w:rsid w:val="0025672C"/>
    <w:rsid w:val="00256A1D"/>
    <w:rsid w:val="00256E08"/>
    <w:rsid w:val="00256F26"/>
    <w:rsid w:val="002574CC"/>
    <w:rsid w:val="0025757F"/>
    <w:rsid w:val="002578BE"/>
    <w:rsid w:val="002609F6"/>
    <w:rsid w:val="0026100D"/>
    <w:rsid w:val="002610BB"/>
    <w:rsid w:val="0026169E"/>
    <w:rsid w:val="00261EF4"/>
    <w:rsid w:val="002629BB"/>
    <w:rsid w:val="00262AF0"/>
    <w:rsid w:val="00262B07"/>
    <w:rsid w:val="00263215"/>
    <w:rsid w:val="00263268"/>
    <w:rsid w:val="002640CA"/>
    <w:rsid w:val="0026418D"/>
    <w:rsid w:val="002643B9"/>
    <w:rsid w:val="00264B0A"/>
    <w:rsid w:val="00264E90"/>
    <w:rsid w:val="00265DB4"/>
    <w:rsid w:val="00266CF5"/>
    <w:rsid w:val="002670DE"/>
    <w:rsid w:val="002672D0"/>
    <w:rsid w:val="002703BF"/>
    <w:rsid w:val="00270CEC"/>
    <w:rsid w:val="00271BC5"/>
    <w:rsid w:val="0027396D"/>
    <w:rsid w:val="00275151"/>
    <w:rsid w:val="00275AA8"/>
    <w:rsid w:val="00275D0E"/>
    <w:rsid w:val="002760DB"/>
    <w:rsid w:val="0027646B"/>
    <w:rsid w:val="00276F77"/>
    <w:rsid w:val="0027733B"/>
    <w:rsid w:val="002776B8"/>
    <w:rsid w:val="00277E66"/>
    <w:rsid w:val="0028001F"/>
    <w:rsid w:val="002804C0"/>
    <w:rsid w:val="002805BB"/>
    <w:rsid w:val="00280611"/>
    <w:rsid w:val="00280DB8"/>
    <w:rsid w:val="00280E95"/>
    <w:rsid w:val="00281636"/>
    <w:rsid w:val="00283855"/>
    <w:rsid w:val="002839A8"/>
    <w:rsid w:val="00283C6E"/>
    <w:rsid w:val="00284505"/>
    <w:rsid w:val="00285B58"/>
    <w:rsid w:val="00285ED9"/>
    <w:rsid w:val="00286D97"/>
    <w:rsid w:val="00286FF1"/>
    <w:rsid w:val="002873F3"/>
    <w:rsid w:val="00287830"/>
    <w:rsid w:val="00290C17"/>
    <w:rsid w:val="00291AA5"/>
    <w:rsid w:val="002923AE"/>
    <w:rsid w:val="0029293E"/>
    <w:rsid w:val="00292997"/>
    <w:rsid w:val="002930FE"/>
    <w:rsid w:val="002938F6"/>
    <w:rsid w:val="00293BE5"/>
    <w:rsid w:val="00293D1C"/>
    <w:rsid w:val="00293E87"/>
    <w:rsid w:val="00294031"/>
    <w:rsid w:val="00294365"/>
    <w:rsid w:val="0029531E"/>
    <w:rsid w:val="00295655"/>
    <w:rsid w:val="00296B62"/>
    <w:rsid w:val="00297768"/>
    <w:rsid w:val="002A066D"/>
    <w:rsid w:val="002A0C63"/>
    <w:rsid w:val="002A0F34"/>
    <w:rsid w:val="002A142D"/>
    <w:rsid w:val="002A2D92"/>
    <w:rsid w:val="002A39EE"/>
    <w:rsid w:val="002A4867"/>
    <w:rsid w:val="002A4E46"/>
    <w:rsid w:val="002A77B1"/>
    <w:rsid w:val="002A7ACE"/>
    <w:rsid w:val="002A7B3E"/>
    <w:rsid w:val="002A7B4B"/>
    <w:rsid w:val="002B071A"/>
    <w:rsid w:val="002B0801"/>
    <w:rsid w:val="002B087F"/>
    <w:rsid w:val="002B1349"/>
    <w:rsid w:val="002B2136"/>
    <w:rsid w:val="002B24F5"/>
    <w:rsid w:val="002B2857"/>
    <w:rsid w:val="002B2954"/>
    <w:rsid w:val="002B2C65"/>
    <w:rsid w:val="002B30D7"/>
    <w:rsid w:val="002B331E"/>
    <w:rsid w:val="002B3728"/>
    <w:rsid w:val="002B4075"/>
    <w:rsid w:val="002B4A80"/>
    <w:rsid w:val="002B4D91"/>
    <w:rsid w:val="002B5060"/>
    <w:rsid w:val="002B559A"/>
    <w:rsid w:val="002B55D7"/>
    <w:rsid w:val="002B5870"/>
    <w:rsid w:val="002B5B80"/>
    <w:rsid w:val="002B61A8"/>
    <w:rsid w:val="002B6370"/>
    <w:rsid w:val="002B6C58"/>
    <w:rsid w:val="002B6CD6"/>
    <w:rsid w:val="002B6FCC"/>
    <w:rsid w:val="002B780C"/>
    <w:rsid w:val="002B7DBA"/>
    <w:rsid w:val="002C00DB"/>
    <w:rsid w:val="002C0F84"/>
    <w:rsid w:val="002C1782"/>
    <w:rsid w:val="002C18F1"/>
    <w:rsid w:val="002C1F48"/>
    <w:rsid w:val="002C1FC8"/>
    <w:rsid w:val="002C25AB"/>
    <w:rsid w:val="002C3153"/>
    <w:rsid w:val="002C3AA2"/>
    <w:rsid w:val="002C428D"/>
    <w:rsid w:val="002C4E19"/>
    <w:rsid w:val="002C5ADC"/>
    <w:rsid w:val="002D00A8"/>
    <w:rsid w:val="002D091B"/>
    <w:rsid w:val="002D0CA9"/>
    <w:rsid w:val="002D0CC1"/>
    <w:rsid w:val="002D0DDD"/>
    <w:rsid w:val="002D121F"/>
    <w:rsid w:val="002D1D18"/>
    <w:rsid w:val="002D3490"/>
    <w:rsid w:val="002D43BE"/>
    <w:rsid w:val="002D4414"/>
    <w:rsid w:val="002D52E0"/>
    <w:rsid w:val="002D5465"/>
    <w:rsid w:val="002D6218"/>
    <w:rsid w:val="002D770C"/>
    <w:rsid w:val="002D7A9F"/>
    <w:rsid w:val="002E042C"/>
    <w:rsid w:val="002E086E"/>
    <w:rsid w:val="002E0C9E"/>
    <w:rsid w:val="002E1663"/>
    <w:rsid w:val="002E1CA6"/>
    <w:rsid w:val="002E20CE"/>
    <w:rsid w:val="002E2148"/>
    <w:rsid w:val="002E433A"/>
    <w:rsid w:val="002E45C7"/>
    <w:rsid w:val="002E46D8"/>
    <w:rsid w:val="002E4A4E"/>
    <w:rsid w:val="002E524C"/>
    <w:rsid w:val="002E5904"/>
    <w:rsid w:val="002E6053"/>
    <w:rsid w:val="002E6A23"/>
    <w:rsid w:val="002E6B69"/>
    <w:rsid w:val="002E71E6"/>
    <w:rsid w:val="002E72DF"/>
    <w:rsid w:val="002E7461"/>
    <w:rsid w:val="002E76E9"/>
    <w:rsid w:val="002E775D"/>
    <w:rsid w:val="002E788D"/>
    <w:rsid w:val="002E7A27"/>
    <w:rsid w:val="002F0746"/>
    <w:rsid w:val="002F0C92"/>
    <w:rsid w:val="002F0F65"/>
    <w:rsid w:val="002F15A8"/>
    <w:rsid w:val="002F22C6"/>
    <w:rsid w:val="002F30A6"/>
    <w:rsid w:val="002F345E"/>
    <w:rsid w:val="002F3723"/>
    <w:rsid w:val="002F3B7B"/>
    <w:rsid w:val="002F4610"/>
    <w:rsid w:val="002F5439"/>
    <w:rsid w:val="002F5CCF"/>
    <w:rsid w:val="002F62A6"/>
    <w:rsid w:val="002F62D6"/>
    <w:rsid w:val="002F704F"/>
    <w:rsid w:val="002F73C5"/>
    <w:rsid w:val="002F794C"/>
    <w:rsid w:val="002F7C9D"/>
    <w:rsid w:val="003005DF"/>
    <w:rsid w:val="0030109F"/>
    <w:rsid w:val="003015F5"/>
    <w:rsid w:val="00301638"/>
    <w:rsid w:val="00302205"/>
    <w:rsid w:val="00302DA9"/>
    <w:rsid w:val="00303008"/>
    <w:rsid w:val="0030423D"/>
    <w:rsid w:val="00304753"/>
    <w:rsid w:val="003053FF"/>
    <w:rsid w:val="00305850"/>
    <w:rsid w:val="003058E7"/>
    <w:rsid w:val="00305F5A"/>
    <w:rsid w:val="00306610"/>
    <w:rsid w:val="003069EC"/>
    <w:rsid w:val="00306E4F"/>
    <w:rsid w:val="00306FA6"/>
    <w:rsid w:val="0030793F"/>
    <w:rsid w:val="00310929"/>
    <w:rsid w:val="00311860"/>
    <w:rsid w:val="0031194A"/>
    <w:rsid w:val="0031279D"/>
    <w:rsid w:val="003129C2"/>
    <w:rsid w:val="00313719"/>
    <w:rsid w:val="00313A28"/>
    <w:rsid w:val="003142C2"/>
    <w:rsid w:val="00314562"/>
    <w:rsid w:val="00314841"/>
    <w:rsid w:val="0031524F"/>
    <w:rsid w:val="00315681"/>
    <w:rsid w:val="00315771"/>
    <w:rsid w:val="00315AA3"/>
    <w:rsid w:val="00315ED5"/>
    <w:rsid w:val="0031670B"/>
    <w:rsid w:val="00320301"/>
    <w:rsid w:val="003203C7"/>
    <w:rsid w:val="00320A87"/>
    <w:rsid w:val="00320AB6"/>
    <w:rsid w:val="00320AD4"/>
    <w:rsid w:val="00320E89"/>
    <w:rsid w:val="0032149C"/>
    <w:rsid w:val="003216A6"/>
    <w:rsid w:val="003225CE"/>
    <w:rsid w:val="003238F5"/>
    <w:rsid w:val="00323D1B"/>
    <w:rsid w:val="00324970"/>
    <w:rsid w:val="00324D83"/>
    <w:rsid w:val="00324D9E"/>
    <w:rsid w:val="00325B4C"/>
    <w:rsid w:val="003262FC"/>
    <w:rsid w:val="00326C84"/>
    <w:rsid w:val="0032727F"/>
    <w:rsid w:val="00327CA8"/>
    <w:rsid w:val="0033000F"/>
    <w:rsid w:val="003301C2"/>
    <w:rsid w:val="0033083C"/>
    <w:rsid w:val="003308C7"/>
    <w:rsid w:val="003315BB"/>
    <w:rsid w:val="00331EB9"/>
    <w:rsid w:val="00332109"/>
    <w:rsid w:val="00333A1D"/>
    <w:rsid w:val="00333D85"/>
    <w:rsid w:val="003345B2"/>
    <w:rsid w:val="0033476B"/>
    <w:rsid w:val="00334EAA"/>
    <w:rsid w:val="003354F3"/>
    <w:rsid w:val="00335594"/>
    <w:rsid w:val="00335C1B"/>
    <w:rsid w:val="00336529"/>
    <w:rsid w:val="00336F1B"/>
    <w:rsid w:val="003372A0"/>
    <w:rsid w:val="00337C0C"/>
    <w:rsid w:val="00337CF3"/>
    <w:rsid w:val="00337F42"/>
    <w:rsid w:val="00340204"/>
    <w:rsid w:val="003403BE"/>
    <w:rsid w:val="003405FE"/>
    <w:rsid w:val="003417F4"/>
    <w:rsid w:val="00341C79"/>
    <w:rsid w:val="0034201C"/>
    <w:rsid w:val="00342418"/>
    <w:rsid w:val="0034621F"/>
    <w:rsid w:val="003462FB"/>
    <w:rsid w:val="00346FFF"/>
    <w:rsid w:val="00350051"/>
    <w:rsid w:val="0035011A"/>
    <w:rsid w:val="00350EA0"/>
    <w:rsid w:val="00351E37"/>
    <w:rsid w:val="00352921"/>
    <w:rsid w:val="00352DC3"/>
    <w:rsid w:val="00352F41"/>
    <w:rsid w:val="0035324B"/>
    <w:rsid w:val="003537DC"/>
    <w:rsid w:val="003537EA"/>
    <w:rsid w:val="0035408C"/>
    <w:rsid w:val="00354B55"/>
    <w:rsid w:val="00354D10"/>
    <w:rsid w:val="00354EED"/>
    <w:rsid w:val="00355B6E"/>
    <w:rsid w:val="003568B4"/>
    <w:rsid w:val="00356BD0"/>
    <w:rsid w:val="003579BD"/>
    <w:rsid w:val="00357B63"/>
    <w:rsid w:val="00357F25"/>
    <w:rsid w:val="0036074D"/>
    <w:rsid w:val="003609EF"/>
    <w:rsid w:val="00361202"/>
    <w:rsid w:val="00361713"/>
    <w:rsid w:val="0036248C"/>
    <w:rsid w:val="00362874"/>
    <w:rsid w:val="00362975"/>
    <w:rsid w:val="00362F84"/>
    <w:rsid w:val="00363B43"/>
    <w:rsid w:val="00363E81"/>
    <w:rsid w:val="00363EA5"/>
    <w:rsid w:val="00363FEC"/>
    <w:rsid w:val="0036469C"/>
    <w:rsid w:val="003654A2"/>
    <w:rsid w:val="00365AD0"/>
    <w:rsid w:val="00366D48"/>
    <w:rsid w:val="003675F5"/>
    <w:rsid w:val="00367B98"/>
    <w:rsid w:val="0037039E"/>
    <w:rsid w:val="00370794"/>
    <w:rsid w:val="00370A73"/>
    <w:rsid w:val="00370BF1"/>
    <w:rsid w:val="00370BF6"/>
    <w:rsid w:val="003710CC"/>
    <w:rsid w:val="003717CD"/>
    <w:rsid w:val="00371951"/>
    <w:rsid w:val="00371958"/>
    <w:rsid w:val="00371CF2"/>
    <w:rsid w:val="00372788"/>
    <w:rsid w:val="00373467"/>
    <w:rsid w:val="00373839"/>
    <w:rsid w:val="00374016"/>
    <w:rsid w:val="0037495A"/>
    <w:rsid w:val="0037509E"/>
    <w:rsid w:val="003753C0"/>
    <w:rsid w:val="003758CC"/>
    <w:rsid w:val="00375B78"/>
    <w:rsid w:val="00376ED6"/>
    <w:rsid w:val="00377159"/>
    <w:rsid w:val="003777B4"/>
    <w:rsid w:val="00377857"/>
    <w:rsid w:val="003800D3"/>
    <w:rsid w:val="00380545"/>
    <w:rsid w:val="003808BA"/>
    <w:rsid w:val="003813E3"/>
    <w:rsid w:val="003819A7"/>
    <w:rsid w:val="0038205C"/>
    <w:rsid w:val="003830FC"/>
    <w:rsid w:val="00383126"/>
    <w:rsid w:val="00383314"/>
    <w:rsid w:val="003834FF"/>
    <w:rsid w:val="003840E2"/>
    <w:rsid w:val="00384A0A"/>
    <w:rsid w:val="00384F3C"/>
    <w:rsid w:val="0038529F"/>
    <w:rsid w:val="00385590"/>
    <w:rsid w:val="0038575B"/>
    <w:rsid w:val="00385833"/>
    <w:rsid w:val="00385F76"/>
    <w:rsid w:val="00386A2A"/>
    <w:rsid w:val="00386B72"/>
    <w:rsid w:val="00386CFF"/>
    <w:rsid w:val="00387634"/>
    <w:rsid w:val="00390012"/>
    <w:rsid w:val="0039098D"/>
    <w:rsid w:val="00391BF2"/>
    <w:rsid w:val="00391D4A"/>
    <w:rsid w:val="00392919"/>
    <w:rsid w:val="00393039"/>
    <w:rsid w:val="0039388E"/>
    <w:rsid w:val="00393FB7"/>
    <w:rsid w:val="00394483"/>
    <w:rsid w:val="003944F9"/>
    <w:rsid w:val="00395206"/>
    <w:rsid w:val="00395611"/>
    <w:rsid w:val="00395F06"/>
    <w:rsid w:val="00395F21"/>
    <w:rsid w:val="0039684B"/>
    <w:rsid w:val="00396B38"/>
    <w:rsid w:val="0039726F"/>
    <w:rsid w:val="00397481"/>
    <w:rsid w:val="003976BB"/>
    <w:rsid w:val="00397FCE"/>
    <w:rsid w:val="003A008B"/>
    <w:rsid w:val="003A17F2"/>
    <w:rsid w:val="003A1EF8"/>
    <w:rsid w:val="003A1FEA"/>
    <w:rsid w:val="003A2125"/>
    <w:rsid w:val="003A39CA"/>
    <w:rsid w:val="003A3B04"/>
    <w:rsid w:val="003A3FE8"/>
    <w:rsid w:val="003A4E32"/>
    <w:rsid w:val="003A528F"/>
    <w:rsid w:val="003A5870"/>
    <w:rsid w:val="003A6F00"/>
    <w:rsid w:val="003A7ADD"/>
    <w:rsid w:val="003A7B58"/>
    <w:rsid w:val="003A7E12"/>
    <w:rsid w:val="003B007F"/>
    <w:rsid w:val="003B13C6"/>
    <w:rsid w:val="003B1CDB"/>
    <w:rsid w:val="003B2018"/>
    <w:rsid w:val="003B2422"/>
    <w:rsid w:val="003B317E"/>
    <w:rsid w:val="003B3A78"/>
    <w:rsid w:val="003B467E"/>
    <w:rsid w:val="003B4E0E"/>
    <w:rsid w:val="003B59C7"/>
    <w:rsid w:val="003B65F6"/>
    <w:rsid w:val="003C03DD"/>
    <w:rsid w:val="003C0900"/>
    <w:rsid w:val="003C1127"/>
    <w:rsid w:val="003C1544"/>
    <w:rsid w:val="003C1634"/>
    <w:rsid w:val="003C1B24"/>
    <w:rsid w:val="003C257A"/>
    <w:rsid w:val="003C2778"/>
    <w:rsid w:val="003C2A1F"/>
    <w:rsid w:val="003C2AA7"/>
    <w:rsid w:val="003C2E1F"/>
    <w:rsid w:val="003C31A3"/>
    <w:rsid w:val="003C33CF"/>
    <w:rsid w:val="003C3884"/>
    <w:rsid w:val="003C3B21"/>
    <w:rsid w:val="003C4FB7"/>
    <w:rsid w:val="003C5949"/>
    <w:rsid w:val="003C5B85"/>
    <w:rsid w:val="003C64D4"/>
    <w:rsid w:val="003C6D48"/>
    <w:rsid w:val="003C7869"/>
    <w:rsid w:val="003C79C1"/>
    <w:rsid w:val="003C7CEB"/>
    <w:rsid w:val="003D0899"/>
    <w:rsid w:val="003D143F"/>
    <w:rsid w:val="003D1814"/>
    <w:rsid w:val="003D1D6F"/>
    <w:rsid w:val="003D26D8"/>
    <w:rsid w:val="003D325E"/>
    <w:rsid w:val="003D46EE"/>
    <w:rsid w:val="003D4927"/>
    <w:rsid w:val="003D4E4B"/>
    <w:rsid w:val="003D4E98"/>
    <w:rsid w:val="003D50F1"/>
    <w:rsid w:val="003D66E8"/>
    <w:rsid w:val="003D6BCE"/>
    <w:rsid w:val="003D6EED"/>
    <w:rsid w:val="003D7437"/>
    <w:rsid w:val="003D7646"/>
    <w:rsid w:val="003D7B5F"/>
    <w:rsid w:val="003D7F7C"/>
    <w:rsid w:val="003E119D"/>
    <w:rsid w:val="003E147F"/>
    <w:rsid w:val="003E14C5"/>
    <w:rsid w:val="003E1D92"/>
    <w:rsid w:val="003E26CF"/>
    <w:rsid w:val="003E2CBC"/>
    <w:rsid w:val="003E3B77"/>
    <w:rsid w:val="003E3FFE"/>
    <w:rsid w:val="003E495F"/>
    <w:rsid w:val="003E5909"/>
    <w:rsid w:val="003E5A14"/>
    <w:rsid w:val="003E5F58"/>
    <w:rsid w:val="003E6E47"/>
    <w:rsid w:val="003E7F6E"/>
    <w:rsid w:val="003F01BC"/>
    <w:rsid w:val="003F081B"/>
    <w:rsid w:val="003F0ECC"/>
    <w:rsid w:val="003F1417"/>
    <w:rsid w:val="003F173B"/>
    <w:rsid w:val="003F2632"/>
    <w:rsid w:val="003F275C"/>
    <w:rsid w:val="003F27EC"/>
    <w:rsid w:val="003F2F58"/>
    <w:rsid w:val="003F34BF"/>
    <w:rsid w:val="003F3525"/>
    <w:rsid w:val="003F37C9"/>
    <w:rsid w:val="003F3889"/>
    <w:rsid w:val="003F3F58"/>
    <w:rsid w:val="003F44C2"/>
    <w:rsid w:val="003F45AD"/>
    <w:rsid w:val="003F51C2"/>
    <w:rsid w:val="003F6038"/>
    <w:rsid w:val="003F6178"/>
    <w:rsid w:val="003F7342"/>
    <w:rsid w:val="003F744A"/>
    <w:rsid w:val="00400010"/>
    <w:rsid w:val="0040031C"/>
    <w:rsid w:val="00400A68"/>
    <w:rsid w:val="00401A78"/>
    <w:rsid w:val="00402843"/>
    <w:rsid w:val="00402B8E"/>
    <w:rsid w:val="00403BEE"/>
    <w:rsid w:val="00403C01"/>
    <w:rsid w:val="00407343"/>
    <w:rsid w:val="004077F8"/>
    <w:rsid w:val="00407D92"/>
    <w:rsid w:val="00410534"/>
    <w:rsid w:val="00411143"/>
    <w:rsid w:val="00411BBD"/>
    <w:rsid w:val="00411EE7"/>
    <w:rsid w:val="0041294F"/>
    <w:rsid w:val="004129C5"/>
    <w:rsid w:val="004131FE"/>
    <w:rsid w:val="0041417D"/>
    <w:rsid w:val="00414FCA"/>
    <w:rsid w:val="004154C4"/>
    <w:rsid w:val="00415857"/>
    <w:rsid w:val="00416174"/>
    <w:rsid w:val="00416AFF"/>
    <w:rsid w:val="00416CB3"/>
    <w:rsid w:val="00416DA9"/>
    <w:rsid w:val="00417981"/>
    <w:rsid w:val="00420368"/>
    <w:rsid w:val="00420873"/>
    <w:rsid w:val="0042098E"/>
    <w:rsid w:val="004209E3"/>
    <w:rsid w:val="00421173"/>
    <w:rsid w:val="00421BC7"/>
    <w:rsid w:val="004228E1"/>
    <w:rsid w:val="00422BFF"/>
    <w:rsid w:val="00422CC4"/>
    <w:rsid w:val="0042373A"/>
    <w:rsid w:val="0042389F"/>
    <w:rsid w:val="0042408B"/>
    <w:rsid w:val="004240F0"/>
    <w:rsid w:val="004249D6"/>
    <w:rsid w:val="00425104"/>
    <w:rsid w:val="00426938"/>
    <w:rsid w:val="00427D5B"/>
    <w:rsid w:val="004319FA"/>
    <w:rsid w:val="00431A0C"/>
    <w:rsid w:val="00432081"/>
    <w:rsid w:val="004335CF"/>
    <w:rsid w:val="00434254"/>
    <w:rsid w:val="004342A1"/>
    <w:rsid w:val="004350C1"/>
    <w:rsid w:val="004350FF"/>
    <w:rsid w:val="0043552F"/>
    <w:rsid w:val="004357D1"/>
    <w:rsid w:val="00436A35"/>
    <w:rsid w:val="00436BD6"/>
    <w:rsid w:val="00441202"/>
    <w:rsid w:val="004412C7"/>
    <w:rsid w:val="00442E38"/>
    <w:rsid w:val="004430F5"/>
    <w:rsid w:val="004433F7"/>
    <w:rsid w:val="004440D4"/>
    <w:rsid w:val="004444E2"/>
    <w:rsid w:val="004449AD"/>
    <w:rsid w:val="004450E9"/>
    <w:rsid w:val="00445504"/>
    <w:rsid w:val="00445561"/>
    <w:rsid w:val="00445692"/>
    <w:rsid w:val="0044592B"/>
    <w:rsid w:val="00445B7A"/>
    <w:rsid w:val="00445E98"/>
    <w:rsid w:val="00446873"/>
    <w:rsid w:val="00447068"/>
    <w:rsid w:val="00447558"/>
    <w:rsid w:val="0045007A"/>
    <w:rsid w:val="004500AC"/>
    <w:rsid w:val="00451564"/>
    <w:rsid w:val="0045180C"/>
    <w:rsid w:val="00451C1D"/>
    <w:rsid w:val="00452127"/>
    <w:rsid w:val="0045278C"/>
    <w:rsid w:val="004532D2"/>
    <w:rsid w:val="004534C7"/>
    <w:rsid w:val="0045382C"/>
    <w:rsid w:val="00453C39"/>
    <w:rsid w:val="00454402"/>
    <w:rsid w:val="00454B00"/>
    <w:rsid w:val="00454D6A"/>
    <w:rsid w:val="00454DFB"/>
    <w:rsid w:val="004561D8"/>
    <w:rsid w:val="00456612"/>
    <w:rsid w:val="0045791B"/>
    <w:rsid w:val="00457A3B"/>
    <w:rsid w:val="00457CA9"/>
    <w:rsid w:val="00457E66"/>
    <w:rsid w:val="00457EEC"/>
    <w:rsid w:val="00460889"/>
    <w:rsid w:val="004622A0"/>
    <w:rsid w:val="004625F7"/>
    <w:rsid w:val="00462C73"/>
    <w:rsid w:val="0046381F"/>
    <w:rsid w:val="004647B0"/>
    <w:rsid w:val="00465552"/>
    <w:rsid w:val="00465796"/>
    <w:rsid w:val="00466919"/>
    <w:rsid w:val="00470B3E"/>
    <w:rsid w:val="00470F87"/>
    <w:rsid w:val="00470FAA"/>
    <w:rsid w:val="00471A68"/>
    <w:rsid w:val="00472257"/>
    <w:rsid w:val="004725B8"/>
    <w:rsid w:val="004725BD"/>
    <w:rsid w:val="004725BF"/>
    <w:rsid w:val="00472BEF"/>
    <w:rsid w:val="00472C94"/>
    <w:rsid w:val="00473998"/>
    <w:rsid w:val="00473DDC"/>
    <w:rsid w:val="00474B97"/>
    <w:rsid w:val="004752B6"/>
    <w:rsid w:val="00475494"/>
    <w:rsid w:val="00475727"/>
    <w:rsid w:val="00476958"/>
    <w:rsid w:val="0047750E"/>
    <w:rsid w:val="00477552"/>
    <w:rsid w:val="004776BE"/>
    <w:rsid w:val="00477B32"/>
    <w:rsid w:val="00480095"/>
    <w:rsid w:val="0048021C"/>
    <w:rsid w:val="00480931"/>
    <w:rsid w:val="00480C94"/>
    <w:rsid w:val="00480FB8"/>
    <w:rsid w:val="004828B9"/>
    <w:rsid w:val="00482A11"/>
    <w:rsid w:val="004839D3"/>
    <w:rsid w:val="00483B80"/>
    <w:rsid w:val="00483BA0"/>
    <w:rsid w:val="00484840"/>
    <w:rsid w:val="00484A4D"/>
    <w:rsid w:val="00484D89"/>
    <w:rsid w:val="0048520A"/>
    <w:rsid w:val="00485CB8"/>
    <w:rsid w:val="004865F8"/>
    <w:rsid w:val="00486788"/>
    <w:rsid w:val="004868B1"/>
    <w:rsid w:val="00486CDC"/>
    <w:rsid w:val="004874F1"/>
    <w:rsid w:val="00487B60"/>
    <w:rsid w:val="00487B78"/>
    <w:rsid w:val="00490540"/>
    <w:rsid w:val="004909DD"/>
    <w:rsid w:val="00490B6A"/>
    <w:rsid w:val="00490B9A"/>
    <w:rsid w:val="0049109E"/>
    <w:rsid w:val="00491199"/>
    <w:rsid w:val="004918DA"/>
    <w:rsid w:val="00491C22"/>
    <w:rsid w:val="00491CED"/>
    <w:rsid w:val="00492225"/>
    <w:rsid w:val="00492E73"/>
    <w:rsid w:val="0049380E"/>
    <w:rsid w:val="00493BD6"/>
    <w:rsid w:val="0049441F"/>
    <w:rsid w:val="0049463F"/>
    <w:rsid w:val="00494E11"/>
    <w:rsid w:val="00495523"/>
    <w:rsid w:val="0049593B"/>
    <w:rsid w:val="00495EBB"/>
    <w:rsid w:val="00496599"/>
    <w:rsid w:val="004968F6"/>
    <w:rsid w:val="00496973"/>
    <w:rsid w:val="00497B3D"/>
    <w:rsid w:val="004A0881"/>
    <w:rsid w:val="004A1FAC"/>
    <w:rsid w:val="004A209E"/>
    <w:rsid w:val="004A22C0"/>
    <w:rsid w:val="004A23FC"/>
    <w:rsid w:val="004A2495"/>
    <w:rsid w:val="004A2AF3"/>
    <w:rsid w:val="004A3C94"/>
    <w:rsid w:val="004A44D5"/>
    <w:rsid w:val="004A44EE"/>
    <w:rsid w:val="004A4526"/>
    <w:rsid w:val="004A458A"/>
    <w:rsid w:val="004A519F"/>
    <w:rsid w:val="004A5AE3"/>
    <w:rsid w:val="004A6067"/>
    <w:rsid w:val="004A6448"/>
    <w:rsid w:val="004A67E2"/>
    <w:rsid w:val="004A6ABD"/>
    <w:rsid w:val="004A7557"/>
    <w:rsid w:val="004A7DCB"/>
    <w:rsid w:val="004B0185"/>
    <w:rsid w:val="004B0543"/>
    <w:rsid w:val="004B1522"/>
    <w:rsid w:val="004B16D3"/>
    <w:rsid w:val="004B19BB"/>
    <w:rsid w:val="004B2194"/>
    <w:rsid w:val="004B3213"/>
    <w:rsid w:val="004B3474"/>
    <w:rsid w:val="004B365A"/>
    <w:rsid w:val="004B45BC"/>
    <w:rsid w:val="004B50B8"/>
    <w:rsid w:val="004B5129"/>
    <w:rsid w:val="004B524D"/>
    <w:rsid w:val="004B5573"/>
    <w:rsid w:val="004B5636"/>
    <w:rsid w:val="004B63F1"/>
    <w:rsid w:val="004B6492"/>
    <w:rsid w:val="004B64B5"/>
    <w:rsid w:val="004B66C7"/>
    <w:rsid w:val="004B6A39"/>
    <w:rsid w:val="004B6ED5"/>
    <w:rsid w:val="004B740A"/>
    <w:rsid w:val="004B7742"/>
    <w:rsid w:val="004C02E7"/>
    <w:rsid w:val="004C0348"/>
    <w:rsid w:val="004C0D7D"/>
    <w:rsid w:val="004C0EB0"/>
    <w:rsid w:val="004C1502"/>
    <w:rsid w:val="004C1772"/>
    <w:rsid w:val="004C18B6"/>
    <w:rsid w:val="004C2639"/>
    <w:rsid w:val="004C2BA5"/>
    <w:rsid w:val="004C2BEF"/>
    <w:rsid w:val="004C3058"/>
    <w:rsid w:val="004C3754"/>
    <w:rsid w:val="004C54A5"/>
    <w:rsid w:val="004C5971"/>
    <w:rsid w:val="004C5BA4"/>
    <w:rsid w:val="004C5BB8"/>
    <w:rsid w:val="004C5FC0"/>
    <w:rsid w:val="004C6392"/>
    <w:rsid w:val="004C64A7"/>
    <w:rsid w:val="004C7885"/>
    <w:rsid w:val="004C7D93"/>
    <w:rsid w:val="004C7E3F"/>
    <w:rsid w:val="004C7ED2"/>
    <w:rsid w:val="004D07AC"/>
    <w:rsid w:val="004D0AA3"/>
    <w:rsid w:val="004D12CF"/>
    <w:rsid w:val="004D1846"/>
    <w:rsid w:val="004D2ACE"/>
    <w:rsid w:val="004D3128"/>
    <w:rsid w:val="004D3261"/>
    <w:rsid w:val="004D3981"/>
    <w:rsid w:val="004D4609"/>
    <w:rsid w:val="004D4A62"/>
    <w:rsid w:val="004D5157"/>
    <w:rsid w:val="004D5301"/>
    <w:rsid w:val="004D5B47"/>
    <w:rsid w:val="004D6DAB"/>
    <w:rsid w:val="004D79D8"/>
    <w:rsid w:val="004D7CFB"/>
    <w:rsid w:val="004D7D32"/>
    <w:rsid w:val="004E1240"/>
    <w:rsid w:val="004E1405"/>
    <w:rsid w:val="004E1461"/>
    <w:rsid w:val="004E1D88"/>
    <w:rsid w:val="004E2381"/>
    <w:rsid w:val="004E2D50"/>
    <w:rsid w:val="004E3E74"/>
    <w:rsid w:val="004E403B"/>
    <w:rsid w:val="004E52CA"/>
    <w:rsid w:val="004E54AE"/>
    <w:rsid w:val="004E5EE3"/>
    <w:rsid w:val="004E617D"/>
    <w:rsid w:val="004E70E8"/>
    <w:rsid w:val="004E7139"/>
    <w:rsid w:val="004E7D8C"/>
    <w:rsid w:val="004F07A9"/>
    <w:rsid w:val="004F096D"/>
    <w:rsid w:val="004F129E"/>
    <w:rsid w:val="004F180A"/>
    <w:rsid w:val="004F1FDB"/>
    <w:rsid w:val="004F203F"/>
    <w:rsid w:val="004F20F2"/>
    <w:rsid w:val="004F2285"/>
    <w:rsid w:val="004F245E"/>
    <w:rsid w:val="004F26C1"/>
    <w:rsid w:val="004F2B47"/>
    <w:rsid w:val="004F31BE"/>
    <w:rsid w:val="004F5798"/>
    <w:rsid w:val="004F6011"/>
    <w:rsid w:val="004F64DF"/>
    <w:rsid w:val="004F6FDA"/>
    <w:rsid w:val="004F7BC1"/>
    <w:rsid w:val="00500662"/>
    <w:rsid w:val="005011FD"/>
    <w:rsid w:val="0050126E"/>
    <w:rsid w:val="005014FB"/>
    <w:rsid w:val="005016AA"/>
    <w:rsid w:val="00502BC7"/>
    <w:rsid w:val="00502C48"/>
    <w:rsid w:val="0050385B"/>
    <w:rsid w:val="005039F4"/>
    <w:rsid w:val="00503B09"/>
    <w:rsid w:val="00503C2B"/>
    <w:rsid w:val="00503C3A"/>
    <w:rsid w:val="00503D24"/>
    <w:rsid w:val="00503FB4"/>
    <w:rsid w:val="00504686"/>
    <w:rsid w:val="00504A8A"/>
    <w:rsid w:val="00504A98"/>
    <w:rsid w:val="00505AB1"/>
    <w:rsid w:val="005065E8"/>
    <w:rsid w:val="0050664F"/>
    <w:rsid w:val="00506E68"/>
    <w:rsid w:val="00507879"/>
    <w:rsid w:val="0051061B"/>
    <w:rsid w:val="00510737"/>
    <w:rsid w:val="00510D6C"/>
    <w:rsid w:val="00510FBB"/>
    <w:rsid w:val="00512186"/>
    <w:rsid w:val="00512DCB"/>
    <w:rsid w:val="00512EDC"/>
    <w:rsid w:val="00512FA6"/>
    <w:rsid w:val="00513058"/>
    <w:rsid w:val="00513A78"/>
    <w:rsid w:val="00513C8A"/>
    <w:rsid w:val="00513EC4"/>
    <w:rsid w:val="00514038"/>
    <w:rsid w:val="00515A33"/>
    <w:rsid w:val="00516CE0"/>
    <w:rsid w:val="00516E7E"/>
    <w:rsid w:val="00517FBC"/>
    <w:rsid w:val="005203AF"/>
    <w:rsid w:val="005203EE"/>
    <w:rsid w:val="00520B51"/>
    <w:rsid w:val="005213E8"/>
    <w:rsid w:val="00521F4D"/>
    <w:rsid w:val="00522577"/>
    <w:rsid w:val="0052304A"/>
    <w:rsid w:val="0052373E"/>
    <w:rsid w:val="00523885"/>
    <w:rsid w:val="00523EF1"/>
    <w:rsid w:val="005246C7"/>
    <w:rsid w:val="00524A07"/>
    <w:rsid w:val="00524FF9"/>
    <w:rsid w:val="005251C6"/>
    <w:rsid w:val="00525963"/>
    <w:rsid w:val="00525AE1"/>
    <w:rsid w:val="005261CB"/>
    <w:rsid w:val="0052770B"/>
    <w:rsid w:val="0052775A"/>
    <w:rsid w:val="00527BD4"/>
    <w:rsid w:val="00527E93"/>
    <w:rsid w:val="00530A36"/>
    <w:rsid w:val="0053107C"/>
    <w:rsid w:val="005311A2"/>
    <w:rsid w:val="0053135D"/>
    <w:rsid w:val="00531DD3"/>
    <w:rsid w:val="00532BD4"/>
    <w:rsid w:val="00532C52"/>
    <w:rsid w:val="00533E29"/>
    <w:rsid w:val="005344D0"/>
    <w:rsid w:val="005347B0"/>
    <w:rsid w:val="00534EAD"/>
    <w:rsid w:val="0053605B"/>
    <w:rsid w:val="0053641F"/>
    <w:rsid w:val="00536B9D"/>
    <w:rsid w:val="00536D92"/>
    <w:rsid w:val="005411E1"/>
    <w:rsid w:val="005415FE"/>
    <w:rsid w:val="00541C16"/>
    <w:rsid w:val="00541CD5"/>
    <w:rsid w:val="0054209D"/>
    <w:rsid w:val="00542BF2"/>
    <w:rsid w:val="005437A8"/>
    <w:rsid w:val="005439DC"/>
    <w:rsid w:val="00543F2C"/>
    <w:rsid w:val="00544146"/>
    <w:rsid w:val="0054417A"/>
    <w:rsid w:val="005456E8"/>
    <w:rsid w:val="005458B7"/>
    <w:rsid w:val="00545FF4"/>
    <w:rsid w:val="00546435"/>
    <w:rsid w:val="005467F6"/>
    <w:rsid w:val="00547867"/>
    <w:rsid w:val="00547FA4"/>
    <w:rsid w:val="0055087D"/>
    <w:rsid w:val="0055127F"/>
    <w:rsid w:val="0055177D"/>
    <w:rsid w:val="00551A7D"/>
    <w:rsid w:val="00552C88"/>
    <w:rsid w:val="00553589"/>
    <w:rsid w:val="00553CF2"/>
    <w:rsid w:val="00553D4C"/>
    <w:rsid w:val="00554A2B"/>
    <w:rsid w:val="00554F9A"/>
    <w:rsid w:val="005554AD"/>
    <w:rsid w:val="00555AD9"/>
    <w:rsid w:val="00555BBD"/>
    <w:rsid w:val="00556054"/>
    <w:rsid w:val="00556762"/>
    <w:rsid w:val="005567EE"/>
    <w:rsid w:val="00556A7B"/>
    <w:rsid w:val="00557026"/>
    <w:rsid w:val="005574D5"/>
    <w:rsid w:val="00557EF5"/>
    <w:rsid w:val="00557F0C"/>
    <w:rsid w:val="00560DA8"/>
    <w:rsid w:val="005614B4"/>
    <w:rsid w:val="00561519"/>
    <w:rsid w:val="00561EEA"/>
    <w:rsid w:val="00562110"/>
    <w:rsid w:val="00562545"/>
    <w:rsid w:val="005627C0"/>
    <w:rsid w:val="00562859"/>
    <w:rsid w:val="00562A76"/>
    <w:rsid w:val="0056314F"/>
    <w:rsid w:val="0056340A"/>
    <w:rsid w:val="005638E7"/>
    <w:rsid w:val="00563C4C"/>
    <w:rsid w:val="00563F86"/>
    <w:rsid w:val="00564162"/>
    <w:rsid w:val="005641DE"/>
    <w:rsid w:val="005644DB"/>
    <w:rsid w:val="00565B6B"/>
    <w:rsid w:val="00566970"/>
    <w:rsid w:val="0056699F"/>
    <w:rsid w:val="00566E3A"/>
    <w:rsid w:val="00566FB5"/>
    <w:rsid w:val="0056722D"/>
    <w:rsid w:val="00567AEC"/>
    <w:rsid w:val="00570546"/>
    <w:rsid w:val="00571FFC"/>
    <w:rsid w:val="005720A3"/>
    <w:rsid w:val="00572B78"/>
    <w:rsid w:val="00572BF4"/>
    <w:rsid w:val="00573045"/>
    <w:rsid w:val="0057411D"/>
    <w:rsid w:val="00574179"/>
    <w:rsid w:val="00574928"/>
    <w:rsid w:val="00574B16"/>
    <w:rsid w:val="005752C5"/>
    <w:rsid w:val="00575E9B"/>
    <w:rsid w:val="00577BB9"/>
    <w:rsid w:val="0058017E"/>
    <w:rsid w:val="005804FF"/>
    <w:rsid w:val="00580C02"/>
    <w:rsid w:val="00580D9F"/>
    <w:rsid w:val="00580E86"/>
    <w:rsid w:val="0058133B"/>
    <w:rsid w:val="0058147A"/>
    <w:rsid w:val="00581934"/>
    <w:rsid w:val="0058247D"/>
    <w:rsid w:val="00583187"/>
    <w:rsid w:val="00583A1D"/>
    <w:rsid w:val="00583A91"/>
    <w:rsid w:val="00584635"/>
    <w:rsid w:val="00584E59"/>
    <w:rsid w:val="00585132"/>
    <w:rsid w:val="00585148"/>
    <w:rsid w:val="00585D50"/>
    <w:rsid w:val="0058621E"/>
    <w:rsid w:val="00586272"/>
    <w:rsid w:val="0058666A"/>
    <w:rsid w:val="00586FBC"/>
    <w:rsid w:val="00587434"/>
    <w:rsid w:val="00587842"/>
    <w:rsid w:val="005900C4"/>
    <w:rsid w:val="0059048B"/>
    <w:rsid w:val="005909C8"/>
    <w:rsid w:val="0059121C"/>
    <w:rsid w:val="0059237A"/>
    <w:rsid w:val="005929B7"/>
    <w:rsid w:val="005935B5"/>
    <w:rsid w:val="00593D62"/>
    <w:rsid w:val="00594E3E"/>
    <w:rsid w:val="00594EC2"/>
    <w:rsid w:val="005952A2"/>
    <w:rsid w:val="0059534F"/>
    <w:rsid w:val="00595901"/>
    <w:rsid w:val="005959A8"/>
    <w:rsid w:val="005960C3"/>
    <w:rsid w:val="00596364"/>
    <w:rsid w:val="0059646D"/>
    <w:rsid w:val="005969F3"/>
    <w:rsid w:val="00597043"/>
    <w:rsid w:val="005A0008"/>
    <w:rsid w:val="005A171C"/>
    <w:rsid w:val="005A19EC"/>
    <w:rsid w:val="005A25E6"/>
    <w:rsid w:val="005A2854"/>
    <w:rsid w:val="005A2DD4"/>
    <w:rsid w:val="005A30CF"/>
    <w:rsid w:val="005A3125"/>
    <w:rsid w:val="005A38B8"/>
    <w:rsid w:val="005A3E9B"/>
    <w:rsid w:val="005A3ED7"/>
    <w:rsid w:val="005A43AD"/>
    <w:rsid w:val="005A5088"/>
    <w:rsid w:val="005A6299"/>
    <w:rsid w:val="005A6398"/>
    <w:rsid w:val="005A66DF"/>
    <w:rsid w:val="005A6FA1"/>
    <w:rsid w:val="005A72F4"/>
    <w:rsid w:val="005A7AE1"/>
    <w:rsid w:val="005B004B"/>
    <w:rsid w:val="005B012D"/>
    <w:rsid w:val="005B0B77"/>
    <w:rsid w:val="005B0DC5"/>
    <w:rsid w:val="005B10E0"/>
    <w:rsid w:val="005B1E53"/>
    <w:rsid w:val="005B2337"/>
    <w:rsid w:val="005B2518"/>
    <w:rsid w:val="005B25DC"/>
    <w:rsid w:val="005B31CA"/>
    <w:rsid w:val="005B3446"/>
    <w:rsid w:val="005B347C"/>
    <w:rsid w:val="005B354F"/>
    <w:rsid w:val="005B35E5"/>
    <w:rsid w:val="005B3B29"/>
    <w:rsid w:val="005B3C7E"/>
    <w:rsid w:val="005B4496"/>
    <w:rsid w:val="005B4B2B"/>
    <w:rsid w:val="005B56D2"/>
    <w:rsid w:val="005B5F2B"/>
    <w:rsid w:val="005B7030"/>
    <w:rsid w:val="005B7569"/>
    <w:rsid w:val="005B7FA2"/>
    <w:rsid w:val="005C0EAB"/>
    <w:rsid w:val="005C13A4"/>
    <w:rsid w:val="005C180D"/>
    <w:rsid w:val="005C1B4A"/>
    <w:rsid w:val="005C236C"/>
    <w:rsid w:val="005C2623"/>
    <w:rsid w:val="005C26B9"/>
    <w:rsid w:val="005C34F7"/>
    <w:rsid w:val="005C49D4"/>
    <w:rsid w:val="005C5290"/>
    <w:rsid w:val="005C5DC6"/>
    <w:rsid w:val="005D013F"/>
    <w:rsid w:val="005D0414"/>
    <w:rsid w:val="005D043A"/>
    <w:rsid w:val="005D0C85"/>
    <w:rsid w:val="005D0F23"/>
    <w:rsid w:val="005D10C4"/>
    <w:rsid w:val="005D19D6"/>
    <w:rsid w:val="005D1A77"/>
    <w:rsid w:val="005D1DAE"/>
    <w:rsid w:val="005D3081"/>
    <w:rsid w:val="005D3E8F"/>
    <w:rsid w:val="005D447B"/>
    <w:rsid w:val="005D5749"/>
    <w:rsid w:val="005D584F"/>
    <w:rsid w:val="005D5B0F"/>
    <w:rsid w:val="005D6C48"/>
    <w:rsid w:val="005D7028"/>
    <w:rsid w:val="005D7A1E"/>
    <w:rsid w:val="005E1471"/>
    <w:rsid w:val="005E1A96"/>
    <w:rsid w:val="005E1EF7"/>
    <w:rsid w:val="005E2849"/>
    <w:rsid w:val="005E2D48"/>
    <w:rsid w:val="005E332A"/>
    <w:rsid w:val="005E3693"/>
    <w:rsid w:val="005E3C5F"/>
    <w:rsid w:val="005E4D4C"/>
    <w:rsid w:val="005E5033"/>
    <w:rsid w:val="005E5704"/>
    <w:rsid w:val="005E580D"/>
    <w:rsid w:val="005E600F"/>
    <w:rsid w:val="005E6B09"/>
    <w:rsid w:val="005E78AE"/>
    <w:rsid w:val="005E7E86"/>
    <w:rsid w:val="005F0377"/>
    <w:rsid w:val="005F1C3C"/>
    <w:rsid w:val="005F28E0"/>
    <w:rsid w:val="005F3A7E"/>
    <w:rsid w:val="005F4233"/>
    <w:rsid w:val="005F45E5"/>
    <w:rsid w:val="005F4B8D"/>
    <w:rsid w:val="005F5386"/>
    <w:rsid w:val="005F6270"/>
    <w:rsid w:val="005F7D03"/>
    <w:rsid w:val="00600233"/>
    <w:rsid w:val="00600BFF"/>
    <w:rsid w:val="00601B9A"/>
    <w:rsid w:val="006020B8"/>
    <w:rsid w:val="0060364C"/>
    <w:rsid w:val="00603902"/>
    <w:rsid w:val="00603A27"/>
    <w:rsid w:val="0060436C"/>
    <w:rsid w:val="00604E23"/>
    <w:rsid w:val="00605194"/>
    <w:rsid w:val="0060526D"/>
    <w:rsid w:val="0060541C"/>
    <w:rsid w:val="0060548F"/>
    <w:rsid w:val="006054FD"/>
    <w:rsid w:val="00606583"/>
    <w:rsid w:val="00606889"/>
    <w:rsid w:val="00607250"/>
    <w:rsid w:val="006073D0"/>
    <w:rsid w:val="0060778E"/>
    <w:rsid w:val="006077EC"/>
    <w:rsid w:val="00610DC3"/>
    <w:rsid w:val="0061126E"/>
    <w:rsid w:val="00611764"/>
    <w:rsid w:val="00611EF2"/>
    <w:rsid w:val="006125FC"/>
    <w:rsid w:val="00612B18"/>
    <w:rsid w:val="00612BBD"/>
    <w:rsid w:val="00613457"/>
    <w:rsid w:val="006138D4"/>
    <w:rsid w:val="00613A34"/>
    <w:rsid w:val="00613A60"/>
    <w:rsid w:val="00613B54"/>
    <w:rsid w:val="00613C43"/>
    <w:rsid w:val="00614A84"/>
    <w:rsid w:val="0061506E"/>
    <w:rsid w:val="0061552F"/>
    <w:rsid w:val="006155E2"/>
    <w:rsid w:val="006156D7"/>
    <w:rsid w:val="006158BE"/>
    <w:rsid w:val="00615D2E"/>
    <w:rsid w:val="00615DF0"/>
    <w:rsid w:val="00616755"/>
    <w:rsid w:val="00617695"/>
    <w:rsid w:val="006200EC"/>
    <w:rsid w:val="006205AB"/>
    <w:rsid w:val="00620782"/>
    <w:rsid w:val="00620D34"/>
    <w:rsid w:val="00621D24"/>
    <w:rsid w:val="0062202D"/>
    <w:rsid w:val="006221B4"/>
    <w:rsid w:val="006224E2"/>
    <w:rsid w:val="0062252E"/>
    <w:rsid w:val="006225ED"/>
    <w:rsid w:val="006227B3"/>
    <w:rsid w:val="006229B0"/>
    <w:rsid w:val="00623431"/>
    <w:rsid w:val="0062351C"/>
    <w:rsid w:val="00623625"/>
    <w:rsid w:val="00623AB8"/>
    <w:rsid w:val="00624846"/>
    <w:rsid w:val="00624CE9"/>
    <w:rsid w:val="00624E4D"/>
    <w:rsid w:val="00625252"/>
    <w:rsid w:val="00625F75"/>
    <w:rsid w:val="00626079"/>
    <w:rsid w:val="00626122"/>
    <w:rsid w:val="00627AA4"/>
    <w:rsid w:val="00627DEF"/>
    <w:rsid w:val="006301E8"/>
    <w:rsid w:val="006306B2"/>
    <w:rsid w:val="00630EC0"/>
    <w:rsid w:val="0063109A"/>
    <w:rsid w:val="0063340D"/>
    <w:rsid w:val="006335D7"/>
    <w:rsid w:val="00633F21"/>
    <w:rsid w:val="00633F98"/>
    <w:rsid w:val="006340D5"/>
    <w:rsid w:val="006351FF"/>
    <w:rsid w:val="0063523F"/>
    <w:rsid w:val="006354E8"/>
    <w:rsid w:val="006359C5"/>
    <w:rsid w:val="00635AC8"/>
    <w:rsid w:val="00636024"/>
    <w:rsid w:val="00636922"/>
    <w:rsid w:val="0063704C"/>
    <w:rsid w:val="006370DD"/>
    <w:rsid w:val="00637106"/>
    <w:rsid w:val="00637843"/>
    <w:rsid w:val="00637A51"/>
    <w:rsid w:val="00640066"/>
    <w:rsid w:val="006405DF"/>
    <w:rsid w:val="00640688"/>
    <w:rsid w:val="00640F79"/>
    <w:rsid w:val="006411DA"/>
    <w:rsid w:val="0064163D"/>
    <w:rsid w:val="00641B69"/>
    <w:rsid w:val="00641DA9"/>
    <w:rsid w:val="00642305"/>
    <w:rsid w:val="006444AB"/>
    <w:rsid w:val="006444B0"/>
    <w:rsid w:val="00644620"/>
    <w:rsid w:val="006452BF"/>
    <w:rsid w:val="00646BBD"/>
    <w:rsid w:val="006475ED"/>
    <w:rsid w:val="00647ECC"/>
    <w:rsid w:val="00647F45"/>
    <w:rsid w:val="006504CB"/>
    <w:rsid w:val="00650A86"/>
    <w:rsid w:val="00650C1E"/>
    <w:rsid w:val="00651247"/>
    <w:rsid w:val="0065129E"/>
    <w:rsid w:val="006534B9"/>
    <w:rsid w:val="00653FE8"/>
    <w:rsid w:val="0065452A"/>
    <w:rsid w:val="00656E26"/>
    <w:rsid w:val="00657C6F"/>
    <w:rsid w:val="00660919"/>
    <w:rsid w:val="00660C28"/>
    <w:rsid w:val="00660DF5"/>
    <w:rsid w:val="00661683"/>
    <w:rsid w:val="00661C84"/>
    <w:rsid w:val="00662E1D"/>
    <w:rsid w:val="006630E9"/>
    <w:rsid w:val="00663358"/>
    <w:rsid w:val="006639B3"/>
    <w:rsid w:val="00663BBD"/>
    <w:rsid w:val="006645C4"/>
    <w:rsid w:val="00664897"/>
    <w:rsid w:val="00664AF9"/>
    <w:rsid w:val="00665DED"/>
    <w:rsid w:val="00666340"/>
    <w:rsid w:val="00667E9F"/>
    <w:rsid w:val="00670284"/>
    <w:rsid w:val="0067048F"/>
    <w:rsid w:val="00670580"/>
    <w:rsid w:val="0067073E"/>
    <w:rsid w:val="00670EDF"/>
    <w:rsid w:val="00670FB6"/>
    <w:rsid w:val="0067107E"/>
    <w:rsid w:val="0067140A"/>
    <w:rsid w:val="0067196B"/>
    <w:rsid w:val="0067197B"/>
    <w:rsid w:val="00671D1F"/>
    <w:rsid w:val="00671D38"/>
    <w:rsid w:val="006722EE"/>
    <w:rsid w:val="006724C9"/>
    <w:rsid w:val="00672FD8"/>
    <w:rsid w:val="0067393D"/>
    <w:rsid w:val="0067397A"/>
    <w:rsid w:val="006741EF"/>
    <w:rsid w:val="006748E5"/>
    <w:rsid w:val="00674AD5"/>
    <w:rsid w:val="00675A45"/>
    <w:rsid w:val="00675CBE"/>
    <w:rsid w:val="00677A72"/>
    <w:rsid w:val="00680C8A"/>
    <w:rsid w:val="00680CFD"/>
    <w:rsid w:val="00682D24"/>
    <w:rsid w:val="00682E60"/>
    <w:rsid w:val="00682F7A"/>
    <w:rsid w:val="00683B32"/>
    <w:rsid w:val="00683E83"/>
    <w:rsid w:val="006840B2"/>
    <w:rsid w:val="00685234"/>
    <w:rsid w:val="00685F9D"/>
    <w:rsid w:val="0068631A"/>
    <w:rsid w:val="006877EE"/>
    <w:rsid w:val="00690005"/>
    <w:rsid w:val="00690154"/>
    <w:rsid w:val="0069054D"/>
    <w:rsid w:val="006905A8"/>
    <w:rsid w:val="00690C13"/>
    <w:rsid w:val="006919DD"/>
    <w:rsid w:val="00692ABE"/>
    <w:rsid w:val="00693208"/>
    <w:rsid w:val="006934F4"/>
    <w:rsid w:val="00693716"/>
    <w:rsid w:val="006942BD"/>
    <w:rsid w:val="006952E1"/>
    <w:rsid w:val="0069554E"/>
    <w:rsid w:val="0069596F"/>
    <w:rsid w:val="00695A8B"/>
    <w:rsid w:val="00695D43"/>
    <w:rsid w:val="00695E21"/>
    <w:rsid w:val="00695E57"/>
    <w:rsid w:val="006960D1"/>
    <w:rsid w:val="00696AA4"/>
    <w:rsid w:val="00697086"/>
    <w:rsid w:val="00697A5A"/>
    <w:rsid w:val="006A021D"/>
    <w:rsid w:val="006A03C1"/>
    <w:rsid w:val="006A06DA"/>
    <w:rsid w:val="006A0C30"/>
    <w:rsid w:val="006A0F6C"/>
    <w:rsid w:val="006A13BC"/>
    <w:rsid w:val="006A1B69"/>
    <w:rsid w:val="006A21B3"/>
    <w:rsid w:val="006A2E22"/>
    <w:rsid w:val="006A3528"/>
    <w:rsid w:val="006A3BB9"/>
    <w:rsid w:val="006A467B"/>
    <w:rsid w:val="006A70F8"/>
    <w:rsid w:val="006B050A"/>
    <w:rsid w:val="006B097E"/>
    <w:rsid w:val="006B0D99"/>
    <w:rsid w:val="006B1028"/>
    <w:rsid w:val="006B1221"/>
    <w:rsid w:val="006B143C"/>
    <w:rsid w:val="006B15EA"/>
    <w:rsid w:val="006B1C75"/>
    <w:rsid w:val="006B1F14"/>
    <w:rsid w:val="006B224C"/>
    <w:rsid w:val="006B22A9"/>
    <w:rsid w:val="006B23DC"/>
    <w:rsid w:val="006B27F4"/>
    <w:rsid w:val="006B31F8"/>
    <w:rsid w:val="006B37D3"/>
    <w:rsid w:val="006B3DA7"/>
    <w:rsid w:val="006B3FC4"/>
    <w:rsid w:val="006B441F"/>
    <w:rsid w:val="006B4AC1"/>
    <w:rsid w:val="006B5817"/>
    <w:rsid w:val="006B5D16"/>
    <w:rsid w:val="006B5FC9"/>
    <w:rsid w:val="006B608C"/>
    <w:rsid w:val="006B7CA2"/>
    <w:rsid w:val="006C0448"/>
    <w:rsid w:val="006C04D1"/>
    <w:rsid w:val="006C05E0"/>
    <w:rsid w:val="006C0602"/>
    <w:rsid w:val="006C1174"/>
    <w:rsid w:val="006C1E4E"/>
    <w:rsid w:val="006C223F"/>
    <w:rsid w:val="006C23D2"/>
    <w:rsid w:val="006C2541"/>
    <w:rsid w:val="006C26D7"/>
    <w:rsid w:val="006C2B10"/>
    <w:rsid w:val="006C30C6"/>
    <w:rsid w:val="006C32C1"/>
    <w:rsid w:val="006C3998"/>
    <w:rsid w:val="006C3999"/>
    <w:rsid w:val="006C4596"/>
    <w:rsid w:val="006C472F"/>
    <w:rsid w:val="006C5289"/>
    <w:rsid w:val="006C5451"/>
    <w:rsid w:val="006C5DA3"/>
    <w:rsid w:val="006C636B"/>
    <w:rsid w:val="006C6513"/>
    <w:rsid w:val="006C690D"/>
    <w:rsid w:val="006C6B17"/>
    <w:rsid w:val="006C7759"/>
    <w:rsid w:val="006C7865"/>
    <w:rsid w:val="006C78A4"/>
    <w:rsid w:val="006C78AE"/>
    <w:rsid w:val="006D03A1"/>
    <w:rsid w:val="006D091F"/>
    <w:rsid w:val="006D0EB1"/>
    <w:rsid w:val="006D150B"/>
    <w:rsid w:val="006D1ADC"/>
    <w:rsid w:val="006D1AF8"/>
    <w:rsid w:val="006D25A5"/>
    <w:rsid w:val="006D2767"/>
    <w:rsid w:val="006D2CEA"/>
    <w:rsid w:val="006D3749"/>
    <w:rsid w:val="006D38D4"/>
    <w:rsid w:val="006D3F35"/>
    <w:rsid w:val="006D5109"/>
    <w:rsid w:val="006D52A6"/>
    <w:rsid w:val="006D7ACD"/>
    <w:rsid w:val="006E0684"/>
    <w:rsid w:val="006E1C06"/>
    <w:rsid w:val="006E1CDA"/>
    <w:rsid w:val="006E1CE4"/>
    <w:rsid w:val="006E1D7B"/>
    <w:rsid w:val="006E255D"/>
    <w:rsid w:val="006E2C33"/>
    <w:rsid w:val="006E3380"/>
    <w:rsid w:val="006E39DF"/>
    <w:rsid w:val="006E3A29"/>
    <w:rsid w:val="006E3F04"/>
    <w:rsid w:val="006E4B15"/>
    <w:rsid w:val="006E4FFA"/>
    <w:rsid w:val="006E5F73"/>
    <w:rsid w:val="006E61E0"/>
    <w:rsid w:val="006E650A"/>
    <w:rsid w:val="006E6767"/>
    <w:rsid w:val="006F03D9"/>
    <w:rsid w:val="006F1B80"/>
    <w:rsid w:val="006F1ED2"/>
    <w:rsid w:val="006F2060"/>
    <w:rsid w:val="006F2133"/>
    <w:rsid w:val="006F2F34"/>
    <w:rsid w:val="006F33DF"/>
    <w:rsid w:val="006F343E"/>
    <w:rsid w:val="006F41A2"/>
    <w:rsid w:val="006F452D"/>
    <w:rsid w:val="006F496E"/>
    <w:rsid w:val="006F4B20"/>
    <w:rsid w:val="006F4C66"/>
    <w:rsid w:val="006F5242"/>
    <w:rsid w:val="006F5630"/>
    <w:rsid w:val="006F5DC0"/>
    <w:rsid w:val="006F5E3C"/>
    <w:rsid w:val="006F6D31"/>
    <w:rsid w:val="006F76B6"/>
    <w:rsid w:val="006F7D42"/>
    <w:rsid w:val="00700209"/>
    <w:rsid w:val="00700ED6"/>
    <w:rsid w:val="007010BE"/>
    <w:rsid w:val="007013D1"/>
    <w:rsid w:val="0070206C"/>
    <w:rsid w:val="00702099"/>
    <w:rsid w:val="0070319B"/>
    <w:rsid w:val="007034CD"/>
    <w:rsid w:val="0070365A"/>
    <w:rsid w:val="007037F4"/>
    <w:rsid w:val="0070446D"/>
    <w:rsid w:val="007047B2"/>
    <w:rsid w:val="0070498B"/>
    <w:rsid w:val="007054CE"/>
    <w:rsid w:val="00705857"/>
    <w:rsid w:val="007062C9"/>
    <w:rsid w:val="007065D1"/>
    <w:rsid w:val="007066C7"/>
    <w:rsid w:val="00706B1E"/>
    <w:rsid w:val="00706B79"/>
    <w:rsid w:val="00706BD0"/>
    <w:rsid w:val="00706C26"/>
    <w:rsid w:val="0070733E"/>
    <w:rsid w:val="0070739A"/>
    <w:rsid w:val="007073BC"/>
    <w:rsid w:val="00707C95"/>
    <w:rsid w:val="00707F6A"/>
    <w:rsid w:val="007107E6"/>
    <w:rsid w:val="0071118F"/>
    <w:rsid w:val="007111D0"/>
    <w:rsid w:val="00711949"/>
    <w:rsid w:val="00711B0F"/>
    <w:rsid w:val="00711BDB"/>
    <w:rsid w:val="00712107"/>
    <w:rsid w:val="00712654"/>
    <w:rsid w:val="007129FD"/>
    <w:rsid w:val="00712E0C"/>
    <w:rsid w:val="0071333F"/>
    <w:rsid w:val="007134B2"/>
    <w:rsid w:val="007147F4"/>
    <w:rsid w:val="00714AF1"/>
    <w:rsid w:val="00715AFB"/>
    <w:rsid w:val="00716062"/>
    <w:rsid w:val="0071670A"/>
    <w:rsid w:val="00716F84"/>
    <w:rsid w:val="007205B6"/>
    <w:rsid w:val="00720D63"/>
    <w:rsid w:val="00721070"/>
    <w:rsid w:val="007214C8"/>
    <w:rsid w:val="007216D8"/>
    <w:rsid w:val="0072251A"/>
    <w:rsid w:val="00722AEC"/>
    <w:rsid w:val="00723BAA"/>
    <w:rsid w:val="00723D60"/>
    <w:rsid w:val="00724A01"/>
    <w:rsid w:val="00724B7F"/>
    <w:rsid w:val="00725211"/>
    <w:rsid w:val="00725362"/>
    <w:rsid w:val="0072543F"/>
    <w:rsid w:val="007254B1"/>
    <w:rsid w:val="00725A55"/>
    <w:rsid w:val="00725E0F"/>
    <w:rsid w:val="00725FFD"/>
    <w:rsid w:val="00726C52"/>
    <w:rsid w:val="007278D7"/>
    <w:rsid w:val="00727E05"/>
    <w:rsid w:val="00727FC3"/>
    <w:rsid w:val="00730859"/>
    <w:rsid w:val="007310C3"/>
    <w:rsid w:val="0073176C"/>
    <w:rsid w:val="00731944"/>
    <w:rsid w:val="007322C1"/>
    <w:rsid w:val="0073336F"/>
    <w:rsid w:val="007335D6"/>
    <w:rsid w:val="00733C86"/>
    <w:rsid w:val="00733E7F"/>
    <w:rsid w:val="0073423E"/>
    <w:rsid w:val="007348F7"/>
    <w:rsid w:val="00735493"/>
    <w:rsid w:val="00735FF9"/>
    <w:rsid w:val="00736B3C"/>
    <w:rsid w:val="00736DB2"/>
    <w:rsid w:val="00737A06"/>
    <w:rsid w:val="00737E08"/>
    <w:rsid w:val="00737EA6"/>
    <w:rsid w:val="00740170"/>
    <w:rsid w:val="00740387"/>
    <w:rsid w:val="00740973"/>
    <w:rsid w:val="00740BAB"/>
    <w:rsid w:val="00740C96"/>
    <w:rsid w:val="00741148"/>
    <w:rsid w:val="0074173F"/>
    <w:rsid w:val="00741BE4"/>
    <w:rsid w:val="00742A2D"/>
    <w:rsid w:val="00742CED"/>
    <w:rsid w:val="00742EA1"/>
    <w:rsid w:val="0074339E"/>
    <w:rsid w:val="00743495"/>
    <w:rsid w:val="007443DB"/>
    <w:rsid w:val="00744662"/>
    <w:rsid w:val="0074519B"/>
    <w:rsid w:val="007455EF"/>
    <w:rsid w:val="0074616D"/>
    <w:rsid w:val="007465C2"/>
    <w:rsid w:val="00747379"/>
    <w:rsid w:val="007474B9"/>
    <w:rsid w:val="00747525"/>
    <w:rsid w:val="007476D7"/>
    <w:rsid w:val="0075027C"/>
    <w:rsid w:val="007505E0"/>
    <w:rsid w:val="0075079A"/>
    <w:rsid w:val="00750F62"/>
    <w:rsid w:val="007512C2"/>
    <w:rsid w:val="00751878"/>
    <w:rsid w:val="00751D69"/>
    <w:rsid w:val="00753504"/>
    <w:rsid w:val="0075393B"/>
    <w:rsid w:val="00754748"/>
    <w:rsid w:val="00755294"/>
    <w:rsid w:val="00756C0E"/>
    <w:rsid w:val="00756C24"/>
    <w:rsid w:val="007571D0"/>
    <w:rsid w:val="00757524"/>
    <w:rsid w:val="00757CF6"/>
    <w:rsid w:val="00760B23"/>
    <w:rsid w:val="0076123D"/>
    <w:rsid w:val="0076162C"/>
    <w:rsid w:val="007616E7"/>
    <w:rsid w:val="007622BB"/>
    <w:rsid w:val="00762494"/>
    <w:rsid w:val="00762C5A"/>
    <w:rsid w:val="00763542"/>
    <w:rsid w:val="00763CB8"/>
    <w:rsid w:val="007651E5"/>
    <w:rsid w:val="00765EF1"/>
    <w:rsid w:val="0076618F"/>
    <w:rsid w:val="007666A2"/>
    <w:rsid w:val="007672D1"/>
    <w:rsid w:val="00770211"/>
    <w:rsid w:val="007703A3"/>
    <w:rsid w:val="00770784"/>
    <w:rsid w:val="00770CB7"/>
    <w:rsid w:val="007715D3"/>
    <w:rsid w:val="0077168F"/>
    <w:rsid w:val="0077226C"/>
    <w:rsid w:val="007726CF"/>
    <w:rsid w:val="00772ECF"/>
    <w:rsid w:val="0077418D"/>
    <w:rsid w:val="007749CD"/>
    <w:rsid w:val="00775A2D"/>
    <w:rsid w:val="00775D74"/>
    <w:rsid w:val="00776A18"/>
    <w:rsid w:val="00776B57"/>
    <w:rsid w:val="00776EBB"/>
    <w:rsid w:val="0077770A"/>
    <w:rsid w:val="0077793A"/>
    <w:rsid w:val="00781BB7"/>
    <w:rsid w:val="00781D32"/>
    <w:rsid w:val="007823A8"/>
    <w:rsid w:val="0078250A"/>
    <w:rsid w:val="00782563"/>
    <w:rsid w:val="00782664"/>
    <w:rsid w:val="00782AD3"/>
    <w:rsid w:val="00782CD5"/>
    <w:rsid w:val="007838DB"/>
    <w:rsid w:val="00783B77"/>
    <w:rsid w:val="00783D64"/>
    <w:rsid w:val="00783D6E"/>
    <w:rsid w:val="00784CF2"/>
    <w:rsid w:val="00785096"/>
    <w:rsid w:val="00785147"/>
    <w:rsid w:val="0078595B"/>
    <w:rsid w:val="00785ED4"/>
    <w:rsid w:val="00786018"/>
    <w:rsid w:val="00786CE4"/>
    <w:rsid w:val="0078735D"/>
    <w:rsid w:val="007908E1"/>
    <w:rsid w:val="00790B1A"/>
    <w:rsid w:val="00790FFD"/>
    <w:rsid w:val="00791ACA"/>
    <w:rsid w:val="00792462"/>
    <w:rsid w:val="00792546"/>
    <w:rsid w:val="007926D3"/>
    <w:rsid w:val="00792927"/>
    <w:rsid w:val="00792CCA"/>
    <w:rsid w:val="0079386F"/>
    <w:rsid w:val="007939FA"/>
    <w:rsid w:val="007944CD"/>
    <w:rsid w:val="00794AEB"/>
    <w:rsid w:val="00794B2C"/>
    <w:rsid w:val="00794EBF"/>
    <w:rsid w:val="00794EE3"/>
    <w:rsid w:val="00795704"/>
    <w:rsid w:val="007959C4"/>
    <w:rsid w:val="00795FF9"/>
    <w:rsid w:val="007966DE"/>
    <w:rsid w:val="00796AD0"/>
    <w:rsid w:val="00796AF6"/>
    <w:rsid w:val="00796F7B"/>
    <w:rsid w:val="00797074"/>
    <w:rsid w:val="00797210"/>
    <w:rsid w:val="007A0643"/>
    <w:rsid w:val="007A080B"/>
    <w:rsid w:val="007A0B64"/>
    <w:rsid w:val="007A0F20"/>
    <w:rsid w:val="007A1605"/>
    <w:rsid w:val="007A29CA"/>
    <w:rsid w:val="007A2AAD"/>
    <w:rsid w:val="007A2BA0"/>
    <w:rsid w:val="007A2D9C"/>
    <w:rsid w:val="007A2FE9"/>
    <w:rsid w:val="007A33E8"/>
    <w:rsid w:val="007A342F"/>
    <w:rsid w:val="007A3724"/>
    <w:rsid w:val="007A3C5A"/>
    <w:rsid w:val="007A4A7F"/>
    <w:rsid w:val="007A64D0"/>
    <w:rsid w:val="007A6B84"/>
    <w:rsid w:val="007B09B4"/>
    <w:rsid w:val="007B0EE3"/>
    <w:rsid w:val="007B1C96"/>
    <w:rsid w:val="007B23B5"/>
    <w:rsid w:val="007B2E7F"/>
    <w:rsid w:val="007B37E7"/>
    <w:rsid w:val="007B4D32"/>
    <w:rsid w:val="007B5AF6"/>
    <w:rsid w:val="007B5B71"/>
    <w:rsid w:val="007B622C"/>
    <w:rsid w:val="007B624D"/>
    <w:rsid w:val="007B7A20"/>
    <w:rsid w:val="007C004D"/>
    <w:rsid w:val="007C0339"/>
    <w:rsid w:val="007C1186"/>
    <w:rsid w:val="007C1CDE"/>
    <w:rsid w:val="007C1E4C"/>
    <w:rsid w:val="007C1F11"/>
    <w:rsid w:val="007C2583"/>
    <w:rsid w:val="007C2B25"/>
    <w:rsid w:val="007C2BD3"/>
    <w:rsid w:val="007C33B4"/>
    <w:rsid w:val="007C3D7F"/>
    <w:rsid w:val="007C41EC"/>
    <w:rsid w:val="007C44B9"/>
    <w:rsid w:val="007C4E4C"/>
    <w:rsid w:val="007C51AC"/>
    <w:rsid w:val="007C618F"/>
    <w:rsid w:val="007C635C"/>
    <w:rsid w:val="007C66D2"/>
    <w:rsid w:val="007C6D56"/>
    <w:rsid w:val="007C74D5"/>
    <w:rsid w:val="007C7651"/>
    <w:rsid w:val="007C7754"/>
    <w:rsid w:val="007C7F59"/>
    <w:rsid w:val="007D047E"/>
    <w:rsid w:val="007D08BB"/>
    <w:rsid w:val="007D1828"/>
    <w:rsid w:val="007D1DED"/>
    <w:rsid w:val="007D1FF6"/>
    <w:rsid w:val="007D2351"/>
    <w:rsid w:val="007D4390"/>
    <w:rsid w:val="007D51AC"/>
    <w:rsid w:val="007D5569"/>
    <w:rsid w:val="007D63A0"/>
    <w:rsid w:val="007D6B28"/>
    <w:rsid w:val="007D711C"/>
    <w:rsid w:val="007D74AB"/>
    <w:rsid w:val="007D7575"/>
    <w:rsid w:val="007E09DF"/>
    <w:rsid w:val="007E1265"/>
    <w:rsid w:val="007E1DD8"/>
    <w:rsid w:val="007E297E"/>
    <w:rsid w:val="007E3005"/>
    <w:rsid w:val="007E340F"/>
    <w:rsid w:val="007E4A8C"/>
    <w:rsid w:val="007E4D4C"/>
    <w:rsid w:val="007E5946"/>
    <w:rsid w:val="007E61F5"/>
    <w:rsid w:val="007E6444"/>
    <w:rsid w:val="007E6637"/>
    <w:rsid w:val="007E711D"/>
    <w:rsid w:val="007E718F"/>
    <w:rsid w:val="007E7302"/>
    <w:rsid w:val="007E799C"/>
    <w:rsid w:val="007F0269"/>
    <w:rsid w:val="007F054C"/>
    <w:rsid w:val="007F0873"/>
    <w:rsid w:val="007F0FBF"/>
    <w:rsid w:val="007F1ABC"/>
    <w:rsid w:val="007F2274"/>
    <w:rsid w:val="007F2B75"/>
    <w:rsid w:val="007F2BD4"/>
    <w:rsid w:val="007F3232"/>
    <w:rsid w:val="007F3A96"/>
    <w:rsid w:val="007F3B14"/>
    <w:rsid w:val="007F3DA5"/>
    <w:rsid w:val="007F4019"/>
    <w:rsid w:val="007F457F"/>
    <w:rsid w:val="007F465E"/>
    <w:rsid w:val="007F4D8C"/>
    <w:rsid w:val="007F503C"/>
    <w:rsid w:val="007F5889"/>
    <w:rsid w:val="007F62B9"/>
    <w:rsid w:val="007F67C7"/>
    <w:rsid w:val="007F6DCA"/>
    <w:rsid w:val="007F7BC4"/>
    <w:rsid w:val="007F7E7E"/>
    <w:rsid w:val="008007D5"/>
    <w:rsid w:val="00801FD2"/>
    <w:rsid w:val="00802BC4"/>
    <w:rsid w:val="00802CDD"/>
    <w:rsid w:val="00803FF0"/>
    <w:rsid w:val="0080480F"/>
    <w:rsid w:val="00804D8D"/>
    <w:rsid w:val="008051AD"/>
    <w:rsid w:val="00806C2B"/>
    <w:rsid w:val="00807867"/>
    <w:rsid w:val="00807EA9"/>
    <w:rsid w:val="008102BB"/>
    <w:rsid w:val="00810353"/>
    <w:rsid w:val="008103A0"/>
    <w:rsid w:val="00810589"/>
    <w:rsid w:val="00810A68"/>
    <w:rsid w:val="0081141E"/>
    <w:rsid w:val="00811E82"/>
    <w:rsid w:val="00812274"/>
    <w:rsid w:val="008128CC"/>
    <w:rsid w:val="00812A6B"/>
    <w:rsid w:val="00812C38"/>
    <w:rsid w:val="0081312E"/>
    <w:rsid w:val="008137B4"/>
    <w:rsid w:val="008138CF"/>
    <w:rsid w:val="008146F0"/>
    <w:rsid w:val="00815115"/>
    <w:rsid w:val="0081788D"/>
    <w:rsid w:val="008178EF"/>
    <w:rsid w:val="00817C7D"/>
    <w:rsid w:val="00817DB4"/>
    <w:rsid w:val="00821F50"/>
    <w:rsid w:val="008229CC"/>
    <w:rsid w:val="008235C1"/>
    <w:rsid w:val="00823F30"/>
    <w:rsid w:val="008243F6"/>
    <w:rsid w:val="0082511E"/>
    <w:rsid w:val="00825D45"/>
    <w:rsid w:val="00825D58"/>
    <w:rsid w:val="00826036"/>
    <w:rsid w:val="008267D5"/>
    <w:rsid w:val="00826BC7"/>
    <w:rsid w:val="008270FC"/>
    <w:rsid w:val="00830246"/>
    <w:rsid w:val="00830A5B"/>
    <w:rsid w:val="00830AC6"/>
    <w:rsid w:val="00832517"/>
    <w:rsid w:val="0083263E"/>
    <w:rsid w:val="008333D3"/>
    <w:rsid w:val="00833479"/>
    <w:rsid w:val="00834EB4"/>
    <w:rsid w:val="00836950"/>
    <w:rsid w:val="0083728C"/>
    <w:rsid w:val="00837BF0"/>
    <w:rsid w:val="008406D5"/>
    <w:rsid w:val="00841227"/>
    <w:rsid w:val="00841C00"/>
    <w:rsid w:val="00842166"/>
    <w:rsid w:val="008424E1"/>
    <w:rsid w:val="00842581"/>
    <w:rsid w:val="0084258B"/>
    <w:rsid w:val="00842F1C"/>
    <w:rsid w:val="00843657"/>
    <w:rsid w:val="008437E7"/>
    <w:rsid w:val="00843A25"/>
    <w:rsid w:val="008443C1"/>
    <w:rsid w:val="00844535"/>
    <w:rsid w:val="008448C1"/>
    <w:rsid w:val="00845087"/>
    <w:rsid w:val="008454C3"/>
    <w:rsid w:val="00845534"/>
    <w:rsid w:val="008458FF"/>
    <w:rsid w:val="008462E1"/>
    <w:rsid w:val="00846460"/>
    <w:rsid w:val="0084759C"/>
    <w:rsid w:val="0085031C"/>
    <w:rsid w:val="008509A9"/>
    <w:rsid w:val="0085180F"/>
    <w:rsid w:val="00851D16"/>
    <w:rsid w:val="00852D3F"/>
    <w:rsid w:val="00853332"/>
    <w:rsid w:val="00853557"/>
    <w:rsid w:val="00853CF4"/>
    <w:rsid w:val="00853F95"/>
    <w:rsid w:val="00854018"/>
    <w:rsid w:val="0085455D"/>
    <w:rsid w:val="00854B1A"/>
    <w:rsid w:val="0085582D"/>
    <w:rsid w:val="008558F9"/>
    <w:rsid w:val="0085663D"/>
    <w:rsid w:val="00856A92"/>
    <w:rsid w:val="00856C1E"/>
    <w:rsid w:val="008576E5"/>
    <w:rsid w:val="008579E6"/>
    <w:rsid w:val="00860016"/>
    <w:rsid w:val="00860957"/>
    <w:rsid w:val="00860F24"/>
    <w:rsid w:val="0086146D"/>
    <w:rsid w:val="008615A0"/>
    <w:rsid w:val="00861834"/>
    <w:rsid w:val="00861C76"/>
    <w:rsid w:val="008625D4"/>
    <w:rsid w:val="00862CBA"/>
    <w:rsid w:val="008635E9"/>
    <w:rsid w:val="00863F60"/>
    <w:rsid w:val="008640E8"/>
    <w:rsid w:val="0086436A"/>
    <w:rsid w:val="00864531"/>
    <w:rsid w:val="0086598A"/>
    <w:rsid w:val="0086684A"/>
    <w:rsid w:val="008679F7"/>
    <w:rsid w:val="00867D23"/>
    <w:rsid w:val="00867D6B"/>
    <w:rsid w:val="00867D6E"/>
    <w:rsid w:val="008702BA"/>
    <w:rsid w:val="00870331"/>
    <w:rsid w:val="008708A0"/>
    <w:rsid w:val="00870A57"/>
    <w:rsid w:val="00871CE7"/>
    <w:rsid w:val="0087261B"/>
    <w:rsid w:val="0087285E"/>
    <w:rsid w:val="0087297D"/>
    <w:rsid w:val="00872AF7"/>
    <w:rsid w:val="00872D74"/>
    <w:rsid w:val="00873A8D"/>
    <w:rsid w:val="00873B50"/>
    <w:rsid w:val="00873D78"/>
    <w:rsid w:val="00875919"/>
    <w:rsid w:val="008759B7"/>
    <w:rsid w:val="0087611D"/>
    <w:rsid w:val="00876983"/>
    <w:rsid w:val="00876EE6"/>
    <w:rsid w:val="008771F9"/>
    <w:rsid w:val="00877A20"/>
    <w:rsid w:val="00877C33"/>
    <w:rsid w:val="0088074E"/>
    <w:rsid w:val="00881211"/>
    <w:rsid w:val="00881252"/>
    <w:rsid w:val="0088168B"/>
    <w:rsid w:val="00881B8C"/>
    <w:rsid w:val="008820F5"/>
    <w:rsid w:val="008821E5"/>
    <w:rsid w:val="00882F5B"/>
    <w:rsid w:val="00883121"/>
    <w:rsid w:val="0088344D"/>
    <w:rsid w:val="0088387E"/>
    <w:rsid w:val="00883D80"/>
    <w:rsid w:val="00883EA9"/>
    <w:rsid w:val="008844AE"/>
    <w:rsid w:val="00885048"/>
    <w:rsid w:val="00885088"/>
    <w:rsid w:val="00885AFD"/>
    <w:rsid w:val="00886166"/>
    <w:rsid w:val="0088647C"/>
    <w:rsid w:val="00886F9E"/>
    <w:rsid w:val="008870C0"/>
    <w:rsid w:val="008873C0"/>
    <w:rsid w:val="008875CB"/>
    <w:rsid w:val="0088795B"/>
    <w:rsid w:val="00887FAE"/>
    <w:rsid w:val="0089007A"/>
    <w:rsid w:val="0089025F"/>
    <w:rsid w:val="00890BA5"/>
    <w:rsid w:val="00891E67"/>
    <w:rsid w:val="00891F5F"/>
    <w:rsid w:val="008927E9"/>
    <w:rsid w:val="008927EB"/>
    <w:rsid w:val="00893365"/>
    <w:rsid w:val="008934AF"/>
    <w:rsid w:val="0089354B"/>
    <w:rsid w:val="00893C70"/>
    <w:rsid w:val="00893D02"/>
    <w:rsid w:val="00893EDB"/>
    <w:rsid w:val="00894013"/>
    <w:rsid w:val="00894A41"/>
    <w:rsid w:val="00895693"/>
    <w:rsid w:val="0089593A"/>
    <w:rsid w:val="00895D90"/>
    <w:rsid w:val="00896003"/>
    <w:rsid w:val="00896071"/>
    <w:rsid w:val="008962AF"/>
    <w:rsid w:val="00896734"/>
    <w:rsid w:val="00897D69"/>
    <w:rsid w:val="008A08AE"/>
    <w:rsid w:val="008A1742"/>
    <w:rsid w:val="008A1AA2"/>
    <w:rsid w:val="008A29A8"/>
    <w:rsid w:val="008A2F52"/>
    <w:rsid w:val="008A31FE"/>
    <w:rsid w:val="008A3B6A"/>
    <w:rsid w:val="008A49D8"/>
    <w:rsid w:val="008A4A74"/>
    <w:rsid w:val="008A562A"/>
    <w:rsid w:val="008A598E"/>
    <w:rsid w:val="008A5C07"/>
    <w:rsid w:val="008A67D7"/>
    <w:rsid w:val="008A7343"/>
    <w:rsid w:val="008A7570"/>
    <w:rsid w:val="008A7ED6"/>
    <w:rsid w:val="008B05C3"/>
    <w:rsid w:val="008B0D4A"/>
    <w:rsid w:val="008B1D2D"/>
    <w:rsid w:val="008B25F5"/>
    <w:rsid w:val="008B29C9"/>
    <w:rsid w:val="008B3856"/>
    <w:rsid w:val="008B39B0"/>
    <w:rsid w:val="008B3A15"/>
    <w:rsid w:val="008B4E95"/>
    <w:rsid w:val="008B5E2E"/>
    <w:rsid w:val="008B611E"/>
    <w:rsid w:val="008B6385"/>
    <w:rsid w:val="008B69C4"/>
    <w:rsid w:val="008B6EFB"/>
    <w:rsid w:val="008B6F93"/>
    <w:rsid w:val="008B75EC"/>
    <w:rsid w:val="008B7B17"/>
    <w:rsid w:val="008C097C"/>
    <w:rsid w:val="008C0BB2"/>
    <w:rsid w:val="008C0F98"/>
    <w:rsid w:val="008C1A07"/>
    <w:rsid w:val="008C2C98"/>
    <w:rsid w:val="008C2DDB"/>
    <w:rsid w:val="008C3503"/>
    <w:rsid w:val="008C3A42"/>
    <w:rsid w:val="008C44E7"/>
    <w:rsid w:val="008C4573"/>
    <w:rsid w:val="008C5291"/>
    <w:rsid w:val="008C5628"/>
    <w:rsid w:val="008C566C"/>
    <w:rsid w:val="008C639D"/>
    <w:rsid w:val="008C65CA"/>
    <w:rsid w:val="008C6860"/>
    <w:rsid w:val="008C6AE5"/>
    <w:rsid w:val="008C7FC3"/>
    <w:rsid w:val="008D0059"/>
    <w:rsid w:val="008D03C5"/>
    <w:rsid w:val="008D0744"/>
    <w:rsid w:val="008D07FB"/>
    <w:rsid w:val="008D0E6D"/>
    <w:rsid w:val="008D1823"/>
    <w:rsid w:val="008D1AFB"/>
    <w:rsid w:val="008D1D47"/>
    <w:rsid w:val="008D31CE"/>
    <w:rsid w:val="008D3444"/>
    <w:rsid w:val="008D35EE"/>
    <w:rsid w:val="008D3F88"/>
    <w:rsid w:val="008D475C"/>
    <w:rsid w:val="008D476C"/>
    <w:rsid w:val="008D480C"/>
    <w:rsid w:val="008D48F7"/>
    <w:rsid w:val="008D49E8"/>
    <w:rsid w:val="008D4BA8"/>
    <w:rsid w:val="008D51D5"/>
    <w:rsid w:val="008D5312"/>
    <w:rsid w:val="008D5EB0"/>
    <w:rsid w:val="008D6F74"/>
    <w:rsid w:val="008D6FE7"/>
    <w:rsid w:val="008D7339"/>
    <w:rsid w:val="008D744D"/>
    <w:rsid w:val="008D77D3"/>
    <w:rsid w:val="008D7BC6"/>
    <w:rsid w:val="008E0B41"/>
    <w:rsid w:val="008E0C61"/>
    <w:rsid w:val="008E1E51"/>
    <w:rsid w:val="008E28C2"/>
    <w:rsid w:val="008E29F8"/>
    <w:rsid w:val="008E401F"/>
    <w:rsid w:val="008E45E9"/>
    <w:rsid w:val="008E597A"/>
    <w:rsid w:val="008E5A1C"/>
    <w:rsid w:val="008E60F0"/>
    <w:rsid w:val="008E66A4"/>
    <w:rsid w:val="008E6B4A"/>
    <w:rsid w:val="008E6C8A"/>
    <w:rsid w:val="008E6DFF"/>
    <w:rsid w:val="008E73EE"/>
    <w:rsid w:val="008E7C47"/>
    <w:rsid w:val="008E7E70"/>
    <w:rsid w:val="008F141C"/>
    <w:rsid w:val="008F18BD"/>
    <w:rsid w:val="008F1AFC"/>
    <w:rsid w:val="008F2517"/>
    <w:rsid w:val="008F2D97"/>
    <w:rsid w:val="008F3026"/>
    <w:rsid w:val="008F334D"/>
    <w:rsid w:val="008F3594"/>
    <w:rsid w:val="008F4289"/>
    <w:rsid w:val="008F53C4"/>
    <w:rsid w:val="008F5D06"/>
    <w:rsid w:val="008F6148"/>
    <w:rsid w:val="008F653F"/>
    <w:rsid w:val="008F72A0"/>
    <w:rsid w:val="008F75F2"/>
    <w:rsid w:val="00900244"/>
    <w:rsid w:val="00900DFA"/>
    <w:rsid w:val="00901291"/>
    <w:rsid w:val="00902998"/>
    <w:rsid w:val="00902AE7"/>
    <w:rsid w:val="00902F59"/>
    <w:rsid w:val="009032C5"/>
    <w:rsid w:val="00903DF1"/>
    <w:rsid w:val="00904D89"/>
    <w:rsid w:val="0090503E"/>
    <w:rsid w:val="009050C3"/>
    <w:rsid w:val="009051BC"/>
    <w:rsid w:val="00905EB1"/>
    <w:rsid w:val="0090696D"/>
    <w:rsid w:val="00906993"/>
    <w:rsid w:val="00907C1D"/>
    <w:rsid w:val="00910367"/>
    <w:rsid w:val="009106A8"/>
    <w:rsid w:val="00910F27"/>
    <w:rsid w:val="0091166F"/>
    <w:rsid w:val="00911A53"/>
    <w:rsid w:val="009123E6"/>
    <w:rsid w:val="0091511D"/>
    <w:rsid w:val="009153F0"/>
    <w:rsid w:val="00915B7B"/>
    <w:rsid w:val="00916209"/>
    <w:rsid w:val="00916B4E"/>
    <w:rsid w:val="00917E06"/>
    <w:rsid w:val="00920478"/>
    <w:rsid w:val="009208AA"/>
    <w:rsid w:val="00921252"/>
    <w:rsid w:val="00921257"/>
    <w:rsid w:val="00921729"/>
    <w:rsid w:val="00921EA4"/>
    <w:rsid w:val="009224B1"/>
    <w:rsid w:val="0092261F"/>
    <w:rsid w:val="0092270C"/>
    <w:rsid w:val="00922A26"/>
    <w:rsid w:val="00922E2A"/>
    <w:rsid w:val="0092364F"/>
    <w:rsid w:val="00923895"/>
    <w:rsid w:val="00924AF8"/>
    <w:rsid w:val="009251FA"/>
    <w:rsid w:val="00925D52"/>
    <w:rsid w:val="00926060"/>
    <w:rsid w:val="009262C4"/>
    <w:rsid w:val="00926E71"/>
    <w:rsid w:val="00926F1B"/>
    <w:rsid w:val="00927B2E"/>
    <w:rsid w:val="00927B82"/>
    <w:rsid w:val="00930B77"/>
    <w:rsid w:val="00930CFD"/>
    <w:rsid w:val="00932475"/>
    <w:rsid w:val="00932A29"/>
    <w:rsid w:val="00933341"/>
    <w:rsid w:val="00933548"/>
    <w:rsid w:val="009336AC"/>
    <w:rsid w:val="00933D75"/>
    <w:rsid w:val="00934233"/>
    <w:rsid w:val="009349F2"/>
    <w:rsid w:val="009354B5"/>
    <w:rsid w:val="0093753E"/>
    <w:rsid w:val="00937CBC"/>
    <w:rsid w:val="0094044A"/>
    <w:rsid w:val="0094076E"/>
    <w:rsid w:val="00940BCC"/>
    <w:rsid w:val="009411E9"/>
    <w:rsid w:val="00941FA5"/>
    <w:rsid w:val="00941FE8"/>
    <w:rsid w:val="00942266"/>
    <w:rsid w:val="009423D4"/>
    <w:rsid w:val="00942511"/>
    <w:rsid w:val="00942768"/>
    <w:rsid w:val="0094282B"/>
    <w:rsid w:val="00942849"/>
    <w:rsid w:val="00942C2E"/>
    <w:rsid w:val="009432E2"/>
    <w:rsid w:val="00943343"/>
    <w:rsid w:val="009433AB"/>
    <w:rsid w:val="009438D0"/>
    <w:rsid w:val="009446E2"/>
    <w:rsid w:val="00944EF2"/>
    <w:rsid w:val="0094659F"/>
    <w:rsid w:val="00946E24"/>
    <w:rsid w:val="00947649"/>
    <w:rsid w:val="00950204"/>
    <w:rsid w:val="009502FF"/>
    <w:rsid w:val="0095126A"/>
    <w:rsid w:val="00952CBD"/>
    <w:rsid w:val="00955E13"/>
    <w:rsid w:val="009561AD"/>
    <w:rsid w:val="00956525"/>
    <w:rsid w:val="00956B0C"/>
    <w:rsid w:val="00956B40"/>
    <w:rsid w:val="00957117"/>
    <w:rsid w:val="0095730D"/>
    <w:rsid w:val="00957632"/>
    <w:rsid w:val="0095784A"/>
    <w:rsid w:val="009600B4"/>
    <w:rsid w:val="00960A70"/>
    <w:rsid w:val="0096175E"/>
    <w:rsid w:val="00961F13"/>
    <w:rsid w:val="009629AB"/>
    <w:rsid w:val="00962DC7"/>
    <w:rsid w:val="009633CD"/>
    <w:rsid w:val="00963CD7"/>
    <w:rsid w:val="00963F49"/>
    <w:rsid w:val="009642EF"/>
    <w:rsid w:val="009643B9"/>
    <w:rsid w:val="00964FD3"/>
    <w:rsid w:val="0096535F"/>
    <w:rsid w:val="00965BFA"/>
    <w:rsid w:val="00966470"/>
    <w:rsid w:val="00966779"/>
    <w:rsid w:val="00966859"/>
    <w:rsid w:val="00966D62"/>
    <w:rsid w:val="0096707D"/>
    <w:rsid w:val="009670D6"/>
    <w:rsid w:val="0096716D"/>
    <w:rsid w:val="00967AC5"/>
    <w:rsid w:val="00970AF1"/>
    <w:rsid w:val="00970B05"/>
    <w:rsid w:val="00970B18"/>
    <w:rsid w:val="00970C79"/>
    <w:rsid w:val="009712F6"/>
    <w:rsid w:val="009722B3"/>
    <w:rsid w:val="00972821"/>
    <w:rsid w:val="00973C5B"/>
    <w:rsid w:val="00973DD6"/>
    <w:rsid w:val="009742AC"/>
    <w:rsid w:val="00974874"/>
    <w:rsid w:val="00975ABF"/>
    <w:rsid w:val="00976175"/>
    <w:rsid w:val="0097641F"/>
    <w:rsid w:val="009767C7"/>
    <w:rsid w:val="0097759A"/>
    <w:rsid w:val="00977A78"/>
    <w:rsid w:val="00977C83"/>
    <w:rsid w:val="00977CAB"/>
    <w:rsid w:val="00980299"/>
    <w:rsid w:val="009802D8"/>
    <w:rsid w:val="009807EF"/>
    <w:rsid w:val="009807F0"/>
    <w:rsid w:val="00980ECB"/>
    <w:rsid w:val="00981080"/>
    <w:rsid w:val="0098187E"/>
    <w:rsid w:val="00982989"/>
    <w:rsid w:val="00982B8E"/>
    <w:rsid w:val="00982F00"/>
    <w:rsid w:val="00984A02"/>
    <w:rsid w:val="00984A7B"/>
    <w:rsid w:val="00984CB8"/>
    <w:rsid w:val="00985360"/>
    <w:rsid w:val="00986043"/>
    <w:rsid w:val="009860EC"/>
    <w:rsid w:val="00986CBC"/>
    <w:rsid w:val="00986FF7"/>
    <w:rsid w:val="009874AE"/>
    <w:rsid w:val="00987B26"/>
    <w:rsid w:val="00990770"/>
    <w:rsid w:val="00991B90"/>
    <w:rsid w:val="0099222D"/>
    <w:rsid w:val="0099253D"/>
    <w:rsid w:val="0099270B"/>
    <w:rsid w:val="00992A42"/>
    <w:rsid w:val="0099379F"/>
    <w:rsid w:val="00994427"/>
    <w:rsid w:val="0099482A"/>
    <w:rsid w:val="00995315"/>
    <w:rsid w:val="0099533D"/>
    <w:rsid w:val="009953FC"/>
    <w:rsid w:val="00995460"/>
    <w:rsid w:val="00995589"/>
    <w:rsid w:val="009957FD"/>
    <w:rsid w:val="00997E2E"/>
    <w:rsid w:val="009A059E"/>
    <w:rsid w:val="009A0863"/>
    <w:rsid w:val="009A0987"/>
    <w:rsid w:val="009A143D"/>
    <w:rsid w:val="009A1B9D"/>
    <w:rsid w:val="009A2E61"/>
    <w:rsid w:val="009A3464"/>
    <w:rsid w:val="009A3520"/>
    <w:rsid w:val="009A35C8"/>
    <w:rsid w:val="009A3699"/>
    <w:rsid w:val="009A3E19"/>
    <w:rsid w:val="009A5756"/>
    <w:rsid w:val="009A5B53"/>
    <w:rsid w:val="009A63D1"/>
    <w:rsid w:val="009A784A"/>
    <w:rsid w:val="009B0AAD"/>
    <w:rsid w:val="009B0F4D"/>
    <w:rsid w:val="009B1522"/>
    <w:rsid w:val="009B15CE"/>
    <w:rsid w:val="009B174A"/>
    <w:rsid w:val="009B1F6F"/>
    <w:rsid w:val="009B2475"/>
    <w:rsid w:val="009B3029"/>
    <w:rsid w:val="009B3770"/>
    <w:rsid w:val="009B44C3"/>
    <w:rsid w:val="009B4A5F"/>
    <w:rsid w:val="009B571D"/>
    <w:rsid w:val="009B5773"/>
    <w:rsid w:val="009B5B76"/>
    <w:rsid w:val="009B68B2"/>
    <w:rsid w:val="009B69F1"/>
    <w:rsid w:val="009B6B30"/>
    <w:rsid w:val="009B6F02"/>
    <w:rsid w:val="009B7004"/>
    <w:rsid w:val="009B7699"/>
    <w:rsid w:val="009B7EF9"/>
    <w:rsid w:val="009C0440"/>
    <w:rsid w:val="009C06D8"/>
    <w:rsid w:val="009C0AE9"/>
    <w:rsid w:val="009C0B56"/>
    <w:rsid w:val="009C189E"/>
    <w:rsid w:val="009C1B1F"/>
    <w:rsid w:val="009C2981"/>
    <w:rsid w:val="009C2CD2"/>
    <w:rsid w:val="009C3201"/>
    <w:rsid w:val="009C3339"/>
    <w:rsid w:val="009C41ED"/>
    <w:rsid w:val="009C49C6"/>
    <w:rsid w:val="009C4A97"/>
    <w:rsid w:val="009C4DA5"/>
    <w:rsid w:val="009C5187"/>
    <w:rsid w:val="009C55B2"/>
    <w:rsid w:val="009C5D1C"/>
    <w:rsid w:val="009C5E0C"/>
    <w:rsid w:val="009C6254"/>
    <w:rsid w:val="009C6353"/>
    <w:rsid w:val="009C69F1"/>
    <w:rsid w:val="009C7EEB"/>
    <w:rsid w:val="009D0B88"/>
    <w:rsid w:val="009D0DA8"/>
    <w:rsid w:val="009D102C"/>
    <w:rsid w:val="009D105C"/>
    <w:rsid w:val="009D1CF3"/>
    <w:rsid w:val="009D3A71"/>
    <w:rsid w:val="009D6511"/>
    <w:rsid w:val="009D6557"/>
    <w:rsid w:val="009D70CE"/>
    <w:rsid w:val="009D761F"/>
    <w:rsid w:val="009E037F"/>
    <w:rsid w:val="009E0901"/>
    <w:rsid w:val="009E0F96"/>
    <w:rsid w:val="009E189F"/>
    <w:rsid w:val="009E18DC"/>
    <w:rsid w:val="009E1DF3"/>
    <w:rsid w:val="009E1F71"/>
    <w:rsid w:val="009E3B9F"/>
    <w:rsid w:val="009E3CC6"/>
    <w:rsid w:val="009E3F14"/>
    <w:rsid w:val="009E4A7F"/>
    <w:rsid w:val="009E5F83"/>
    <w:rsid w:val="009E7AB1"/>
    <w:rsid w:val="009F0BE1"/>
    <w:rsid w:val="009F1482"/>
    <w:rsid w:val="009F16F6"/>
    <w:rsid w:val="009F170D"/>
    <w:rsid w:val="009F1775"/>
    <w:rsid w:val="009F2409"/>
    <w:rsid w:val="009F2502"/>
    <w:rsid w:val="009F2805"/>
    <w:rsid w:val="009F2883"/>
    <w:rsid w:val="009F2923"/>
    <w:rsid w:val="009F36A3"/>
    <w:rsid w:val="009F37E2"/>
    <w:rsid w:val="009F46E7"/>
    <w:rsid w:val="009F5623"/>
    <w:rsid w:val="009F5660"/>
    <w:rsid w:val="009F586C"/>
    <w:rsid w:val="009F5EF9"/>
    <w:rsid w:val="009F633B"/>
    <w:rsid w:val="009F65C9"/>
    <w:rsid w:val="009F6673"/>
    <w:rsid w:val="009F6D8A"/>
    <w:rsid w:val="009F6DC0"/>
    <w:rsid w:val="009F725A"/>
    <w:rsid w:val="009F7980"/>
    <w:rsid w:val="00A00190"/>
    <w:rsid w:val="00A00E61"/>
    <w:rsid w:val="00A01589"/>
    <w:rsid w:val="00A01651"/>
    <w:rsid w:val="00A01BF4"/>
    <w:rsid w:val="00A0207C"/>
    <w:rsid w:val="00A02438"/>
    <w:rsid w:val="00A02873"/>
    <w:rsid w:val="00A02FFD"/>
    <w:rsid w:val="00A035ED"/>
    <w:rsid w:val="00A037B8"/>
    <w:rsid w:val="00A03827"/>
    <w:rsid w:val="00A04AC6"/>
    <w:rsid w:val="00A055B2"/>
    <w:rsid w:val="00A0654C"/>
    <w:rsid w:val="00A06929"/>
    <w:rsid w:val="00A06E38"/>
    <w:rsid w:val="00A0739A"/>
    <w:rsid w:val="00A07A5F"/>
    <w:rsid w:val="00A07A64"/>
    <w:rsid w:val="00A10A85"/>
    <w:rsid w:val="00A115B0"/>
    <w:rsid w:val="00A12295"/>
    <w:rsid w:val="00A12F73"/>
    <w:rsid w:val="00A13030"/>
    <w:rsid w:val="00A130D3"/>
    <w:rsid w:val="00A13355"/>
    <w:rsid w:val="00A13474"/>
    <w:rsid w:val="00A138CB"/>
    <w:rsid w:val="00A14098"/>
    <w:rsid w:val="00A140ED"/>
    <w:rsid w:val="00A1439E"/>
    <w:rsid w:val="00A14FBB"/>
    <w:rsid w:val="00A15860"/>
    <w:rsid w:val="00A16312"/>
    <w:rsid w:val="00A166C7"/>
    <w:rsid w:val="00A16A5C"/>
    <w:rsid w:val="00A171C5"/>
    <w:rsid w:val="00A17F54"/>
    <w:rsid w:val="00A20A82"/>
    <w:rsid w:val="00A20B3E"/>
    <w:rsid w:val="00A215F0"/>
    <w:rsid w:val="00A21657"/>
    <w:rsid w:val="00A2182C"/>
    <w:rsid w:val="00A21FD5"/>
    <w:rsid w:val="00A22B12"/>
    <w:rsid w:val="00A2313E"/>
    <w:rsid w:val="00A23238"/>
    <w:rsid w:val="00A2327F"/>
    <w:rsid w:val="00A23418"/>
    <w:rsid w:val="00A23592"/>
    <w:rsid w:val="00A23960"/>
    <w:rsid w:val="00A23E26"/>
    <w:rsid w:val="00A25DA9"/>
    <w:rsid w:val="00A26616"/>
    <w:rsid w:val="00A26877"/>
    <w:rsid w:val="00A27139"/>
    <w:rsid w:val="00A274DD"/>
    <w:rsid w:val="00A277AD"/>
    <w:rsid w:val="00A27DDC"/>
    <w:rsid w:val="00A3095C"/>
    <w:rsid w:val="00A30E4D"/>
    <w:rsid w:val="00A312E6"/>
    <w:rsid w:val="00A31567"/>
    <w:rsid w:val="00A31945"/>
    <w:rsid w:val="00A319E0"/>
    <w:rsid w:val="00A3259C"/>
    <w:rsid w:val="00A32EC9"/>
    <w:rsid w:val="00A33522"/>
    <w:rsid w:val="00A3469E"/>
    <w:rsid w:val="00A34870"/>
    <w:rsid w:val="00A3494E"/>
    <w:rsid w:val="00A34A2E"/>
    <w:rsid w:val="00A3500A"/>
    <w:rsid w:val="00A35021"/>
    <w:rsid w:val="00A356DC"/>
    <w:rsid w:val="00A357C3"/>
    <w:rsid w:val="00A36DF1"/>
    <w:rsid w:val="00A3718B"/>
    <w:rsid w:val="00A37757"/>
    <w:rsid w:val="00A37F17"/>
    <w:rsid w:val="00A40CBD"/>
    <w:rsid w:val="00A4136B"/>
    <w:rsid w:val="00A4139E"/>
    <w:rsid w:val="00A413DC"/>
    <w:rsid w:val="00A416DF"/>
    <w:rsid w:val="00A41DE3"/>
    <w:rsid w:val="00A4200D"/>
    <w:rsid w:val="00A42094"/>
    <w:rsid w:val="00A42887"/>
    <w:rsid w:val="00A42C01"/>
    <w:rsid w:val="00A42E35"/>
    <w:rsid w:val="00A43D38"/>
    <w:rsid w:val="00A44247"/>
    <w:rsid w:val="00A44FB0"/>
    <w:rsid w:val="00A4555C"/>
    <w:rsid w:val="00A473C7"/>
    <w:rsid w:val="00A50555"/>
    <w:rsid w:val="00A506D6"/>
    <w:rsid w:val="00A50BF1"/>
    <w:rsid w:val="00A50C12"/>
    <w:rsid w:val="00A514D6"/>
    <w:rsid w:val="00A51BC9"/>
    <w:rsid w:val="00A51C22"/>
    <w:rsid w:val="00A52060"/>
    <w:rsid w:val="00A522AC"/>
    <w:rsid w:val="00A523DD"/>
    <w:rsid w:val="00A527B1"/>
    <w:rsid w:val="00A52851"/>
    <w:rsid w:val="00A52FBA"/>
    <w:rsid w:val="00A53371"/>
    <w:rsid w:val="00A5367B"/>
    <w:rsid w:val="00A53A1E"/>
    <w:rsid w:val="00A53C01"/>
    <w:rsid w:val="00A53C8D"/>
    <w:rsid w:val="00A54531"/>
    <w:rsid w:val="00A54E01"/>
    <w:rsid w:val="00A55458"/>
    <w:rsid w:val="00A55CAA"/>
    <w:rsid w:val="00A5607F"/>
    <w:rsid w:val="00A5636B"/>
    <w:rsid w:val="00A5639A"/>
    <w:rsid w:val="00A564B4"/>
    <w:rsid w:val="00A5663E"/>
    <w:rsid w:val="00A56771"/>
    <w:rsid w:val="00A56BDA"/>
    <w:rsid w:val="00A600F4"/>
    <w:rsid w:val="00A60952"/>
    <w:rsid w:val="00A6153E"/>
    <w:rsid w:val="00A6241D"/>
    <w:rsid w:val="00A624BA"/>
    <w:rsid w:val="00A630ED"/>
    <w:rsid w:val="00A63846"/>
    <w:rsid w:val="00A63FB9"/>
    <w:rsid w:val="00A64860"/>
    <w:rsid w:val="00A6497C"/>
    <w:rsid w:val="00A64A90"/>
    <w:rsid w:val="00A66443"/>
    <w:rsid w:val="00A67982"/>
    <w:rsid w:val="00A67A4B"/>
    <w:rsid w:val="00A67DBB"/>
    <w:rsid w:val="00A701F4"/>
    <w:rsid w:val="00A70AD2"/>
    <w:rsid w:val="00A71D0D"/>
    <w:rsid w:val="00A7213E"/>
    <w:rsid w:val="00A72236"/>
    <w:rsid w:val="00A72941"/>
    <w:rsid w:val="00A72D5F"/>
    <w:rsid w:val="00A730F7"/>
    <w:rsid w:val="00A73163"/>
    <w:rsid w:val="00A733F9"/>
    <w:rsid w:val="00A739BC"/>
    <w:rsid w:val="00A7473E"/>
    <w:rsid w:val="00A80CC5"/>
    <w:rsid w:val="00A81AF8"/>
    <w:rsid w:val="00A81CEC"/>
    <w:rsid w:val="00A81D16"/>
    <w:rsid w:val="00A81FE7"/>
    <w:rsid w:val="00A82178"/>
    <w:rsid w:val="00A826DF"/>
    <w:rsid w:val="00A82A47"/>
    <w:rsid w:val="00A82FBD"/>
    <w:rsid w:val="00A832FB"/>
    <w:rsid w:val="00A8330C"/>
    <w:rsid w:val="00A834FC"/>
    <w:rsid w:val="00A838D1"/>
    <w:rsid w:val="00A84001"/>
    <w:rsid w:val="00A84912"/>
    <w:rsid w:val="00A84C61"/>
    <w:rsid w:val="00A854D9"/>
    <w:rsid w:val="00A86FC4"/>
    <w:rsid w:val="00A92236"/>
    <w:rsid w:val="00A92D75"/>
    <w:rsid w:val="00A92E14"/>
    <w:rsid w:val="00A93724"/>
    <w:rsid w:val="00A94409"/>
    <w:rsid w:val="00A944C7"/>
    <w:rsid w:val="00A9565D"/>
    <w:rsid w:val="00A97A33"/>
    <w:rsid w:val="00A97ADE"/>
    <w:rsid w:val="00AA0059"/>
    <w:rsid w:val="00AA0285"/>
    <w:rsid w:val="00AA0546"/>
    <w:rsid w:val="00AA2448"/>
    <w:rsid w:val="00AA2A90"/>
    <w:rsid w:val="00AA2C07"/>
    <w:rsid w:val="00AA389E"/>
    <w:rsid w:val="00AA4B26"/>
    <w:rsid w:val="00AA5180"/>
    <w:rsid w:val="00AA7C27"/>
    <w:rsid w:val="00AB04E0"/>
    <w:rsid w:val="00AB13CE"/>
    <w:rsid w:val="00AB1486"/>
    <w:rsid w:val="00AB155F"/>
    <w:rsid w:val="00AB1EAB"/>
    <w:rsid w:val="00AB20EA"/>
    <w:rsid w:val="00AB22F0"/>
    <w:rsid w:val="00AB23B2"/>
    <w:rsid w:val="00AB278A"/>
    <w:rsid w:val="00AB2B87"/>
    <w:rsid w:val="00AB2B9D"/>
    <w:rsid w:val="00AB32A3"/>
    <w:rsid w:val="00AB3B41"/>
    <w:rsid w:val="00AB459A"/>
    <w:rsid w:val="00AB4A10"/>
    <w:rsid w:val="00AB4F50"/>
    <w:rsid w:val="00AB5924"/>
    <w:rsid w:val="00AB6898"/>
    <w:rsid w:val="00AB6E81"/>
    <w:rsid w:val="00AB70E0"/>
    <w:rsid w:val="00AC1052"/>
    <w:rsid w:val="00AC1512"/>
    <w:rsid w:val="00AC17DB"/>
    <w:rsid w:val="00AC2415"/>
    <w:rsid w:val="00AC3008"/>
    <w:rsid w:val="00AC30D2"/>
    <w:rsid w:val="00AC345C"/>
    <w:rsid w:val="00AC37E9"/>
    <w:rsid w:val="00AC44C5"/>
    <w:rsid w:val="00AC54C0"/>
    <w:rsid w:val="00AC5BC0"/>
    <w:rsid w:val="00AC6496"/>
    <w:rsid w:val="00AC67DD"/>
    <w:rsid w:val="00AC68BD"/>
    <w:rsid w:val="00AC7429"/>
    <w:rsid w:val="00AC75B6"/>
    <w:rsid w:val="00AC7F3C"/>
    <w:rsid w:val="00AD00F6"/>
    <w:rsid w:val="00AD020E"/>
    <w:rsid w:val="00AD088D"/>
    <w:rsid w:val="00AD0AAA"/>
    <w:rsid w:val="00AD142E"/>
    <w:rsid w:val="00AD14AB"/>
    <w:rsid w:val="00AD15D1"/>
    <w:rsid w:val="00AD251A"/>
    <w:rsid w:val="00AD2893"/>
    <w:rsid w:val="00AD2981"/>
    <w:rsid w:val="00AD2AE0"/>
    <w:rsid w:val="00AD2B51"/>
    <w:rsid w:val="00AD3717"/>
    <w:rsid w:val="00AD3C97"/>
    <w:rsid w:val="00AD44C7"/>
    <w:rsid w:val="00AD4DA1"/>
    <w:rsid w:val="00AD4E89"/>
    <w:rsid w:val="00AD5536"/>
    <w:rsid w:val="00AD5F8F"/>
    <w:rsid w:val="00AD61D8"/>
    <w:rsid w:val="00AD62C3"/>
    <w:rsid w:val="00AD71D6"/>
    <w:rsid w:val="00AD7C28"/>
    <w:rsid w:val="00AD7EE9"/>
    <w:rsid w:val="00AE0978"/>
    <w:rsid w:val="00AE0CCD"/>
    <w:rsid w:val="00AE0D29"/>
    <w:rsid w:val="00AE1174"/>
    <w:rsid w:val="00AE18FE"/>
    <w:rsid w:val="00AE1A21"/>
    <w:rsid w:val="00AE224F"/>
    <w:rsid w:val="00AE28DB"/>
    <w:rsid w:val="00AE46A6"/>
    <w:rsid w:val="00AE4A97"/>
    <w:rsid w:val="00AE4BB6"/>
    <w:rsid w:val="00AE50FC"/>
    <w:rsid w:val="00AE577F"/>
    <w:rsid w:val="00AE57C8"/>
    <w:rsid w:val="00AE5AAD"/>
    <w:rsid w:val="00AE5DC1"/>
    <w:rsid w:val="00AE6089"/>
    <w:rsid w:val="00AE640B"/>
    <w:rsid w:val="00AE6AA1"/>
    <w:rsid w:val="00AE74DC"/>
    <w:rsid w:val="00AF0126"/>
    <w:rsid w:val="00AF035E"/>
    <w:rsid w:val="00AF07BA"/>
    <w:rsid w:val="00AF0D75"/>
    <w:rsid w:val="00AF157D"/>
    <w:rsid w:val="00AF1DC9"/>
    <w:rsid w:val="00AF2F18"/>
    <w:rsid w:val="00AF3811"/>
    <w:rsid w:val="00AF51E8"/>
    <w:rsid w:val="00AF5A0C"/>
    <w:rsid w:val="00AF7AC1"/>
    <w:rsid w:val="00AF7DAE"/>
    <w:rsid w:val="00B001A4"/>
    <w:rsid w:val="00B00218"/>
    <w:rsid w:val="00B002BE"/>
    <w:rsid w:val="00B01468"/>
    <w:rsid w:val="00B018DE"/>
    <w:rsid w:val="00B0227C"/>
    <w:rsid w:val="00B024DD"/>
    <w:rsid w:val="00B02F2F"/>
    <w:rsid w:val="00B03220"/>
    <w:rsid w:val="00B03FA6"/>
    <w:rsid w:val="00B045E5"/>
    <w:rsid w:val="00B05989"/>
    <w:rsid w:val="00B05FBE"/>
    <w:rsid w:val="00B0659F"/>
    <w:rsid w:val="00B069F6"/>
    <w:rsid w:val="00B06F4C"/>
    <w:rsid w:val="00B06F79"/>
    <w:rsid w:val="00B07F31"/>
    <w:rsid w:val="00B1055D"/>
    <w:rsid w:val="00B10AD8"/>
    <w:rsid w:val="00B10F1D"/>
    <w:rsid w:val="00B127FB"/>
    <w:rsid w:val="00B12E5F"/>
    <w:rsid w:val="00B134CB"/>
    <w:rsid w:val="00B14246"/>
    <w:rsid w:val="00B14CD5"/>
    <w:rsid w:val="00B156C5"/>
    <w:rsid w:val="00B15DE5"/>
    <w:rsid w:val="00B16676"/>
    <w:rsid w:val="00B16FC3"/>
    <w:rsid w:val="00B17367"/>
    <w:rsid w:val="00B17613"/>
    <w:rsid w:val="00B208CC"/>
    <w:rsid w:val="00B20D12"/>
    <w:rsid w:val="00B210E5"/>
    <w:rsid w:val="00B211D3"/>
    <w:rsid w:val="00B21A6E"/>
    <w:rsid w:val="00B21AD1"/>
    <w:rsid w:val="00B222ED"/>
    <w:rsid w:val="00B227D0"/>
    <w:rsid w:val="00B2297C"/>
    <w:rsid w:val="00B23057"/>
    <w:rsid w:val="00B237D7"/>
    <w:rsid w:val="00B23C15"/>
    <w:rsid w:val="00B24074"/>
    <w:rsid w:val="00B24119"/>
    <w:rsid w:val="00B243C7"/>
    <w:rsid w:val="00B24698"/>
    <w:rsid w:val="00B24AD1"/>
    <w:rsid w:val="00B24BA0"/>
    <w:rsid w:val="00B255C1"/>
    <w:rsid w:val="00B25AD2"/>
    <w:rsid w:val="00B25C37"/>
    <w:rsid w:val="00B25FE8"/>
    <w:rsid w:val="00B26341"/>
    <w:rsid w:val="00B266F5"/>
    <w:rsid w:val="00B267C3"/>
    <w:rsid w:val="00B269F0"/>
    <w:rsid w:val="00B27020"/>
    <w:rsid w:val="00B2775E"/>
    <w:rsid w:val="00B30481"/>
    <w:rsid w:val="00B308A9"/>
    <w:rsid w:val="00B30DF9"/>
    <w:rsid w:val="00B3203A"/>
    <w:rsid w:val="00B322BD"/>
    <w:rsid w:val="00B325EC"/>
    <w:rsid w:val="00B333D3"/>
    <w:rsid w:val="00B33553"/>
    <w:rsid w:val="00B34185"/>
    <w:rsid w:val="00B36C59"/>
    <w:rsid w:val="00B371E1"/>
    <w:rsid w:val="00B374E0"/>
    <w:rsid w:val="00B37793"/>
    <w:rsid w:val="00B3791C"/>
    <w:rsid w:val="00B37AD8"/>
    <w:rsid w:val="00B40BC0"/>
    <w:rsid w:val="00B41857"/>
    <w:rsid w:val="00B420C8"/>
    <w:rsid w:val="00B4216B"/>
    <w:rsid w:val="00B42459"/>
    <w:rsid w:val="00B43109"/>
    <w:rsid w:val="00B433E3"/>
    <w:rsid w:val="00B435E7"/>
    <w:rsid w:val="00B4360F"/>
    <w:rsid w:val="00B43A25"/>
    <w:rsid w:val="00B44503"/>
    <w:rsid w:val="00B46021"/>
    <w:rsid w:val="00B47D87"/>
    <w:rsid w:val="00B50068"/>
    <w:rsid w:val="00B5069F"/>
    <w:rsid w:val="00B513C1"/>
    <w:rsid w:val="00B516F1"/>
    <w:rsid w:val="00B51788"/>
    <w:rsid w:val="00B5334C"/>
    <w:rsid w:val="00B53569"/>
    <w:rsid w:val="00B535A6"/>
    <w:rsid w:val="00B53D17"/>
    <w:rsid w:val="00B54CA2"/>
    <w:rsid w:val="00B54EDB"/>
    <w:rsid w:val="00B553D3"/>
    <w:rsid w:val="00B56560"/>
    <w:rsid w:val="00B56865"/>
    <w:rsid w:val="00B56F7F"/>
    <w:rsid w:val="00B578BB"/>
    <w:rsid w:val="00B57B2D"/>
    <w:rsid w:val="00B57DB3"/>
    <w:rsid w:val="00B57F21"/>
    <w:rsid w:val="00B60292"/>
    <w:rsid w:val="00B60764"/>
    <w:rsid w:val="00B60822"/>
    <w:rsid w:val="00B612E9"/>
    <w:rsid w:val="00B615FD"/>
    <w:rsid w:val="00B61B24"/>
    <w:rsid w:val="00B62BBF"/>
    <w:rsid w:val="00B62BD4"/>
    <w:rsid w:val="00B630F5"/>
    <w:rsid w:val="00B63327"/>
    <w:rsid w:val="00B63A98"/>
    <w:rsid w:val="00B6575C"/>
    <w:rsid w:val="00B65943"/>
    <w:rsid w:val="00B659D5"/>
    <w:rsid w:val="00B65CF1"/>
    <w:rsid w:val="00B66293"/>
    <w:rsid w:val="00B66A00"/>
    <w:rsid w:val="00B66B51"/>
    <w:rsid w:val="00B702BC"/>
    <w:rsid w:val="00B7074D"/>
    <w:rsid w:val="00B70A9A"/>
    <w:rsid w:val="00B70B79"/>
    <w:rsid w:val="00B70D6F"/>
    <w:rsid w:val="00B710C4"/>
    <w:rsid w:val="00B71AF3"/>
    <w:rsid w:val="00B73418"/>
    <w:rsid w:val="00B73E0C"/>
    <w:rsid w:val="00B74598"/>
    <w:rsid w:val="00B746E7"/>
    <w:rsid w:val="00B75105"/>
    <w:rsid w:val="00B761F6"/>
    <w:rsid w:val="00B7739C"/>
    <w:rsid w:val="00B77FEF"/>
    <w:rsid w:val="00B80123"/>
    <w:rsid w:val="00B8052B"/>
    <w:rsid w:val="00B805D7"/>
    <w:rsid w:val="00B80C37"/>
    <w:rsid w:val="00B81531"/>
    <w:rsid w:val="00B81B15"/>
    <w:rsid w:val="00B822CA"/>
    <w:rsid w:val="00B82548"/>
    <w:rsid w:val="00B8276A"/>
    <w:rsid w:val="00B82DC7"/>
    <w:rsid w:val="00B82DE0"/>
    <w:rsid w:val="00B83095"/>
    <w:rsid w:val="00B8316B"/>
    <w:rsid w:val="00B83437"/>
    <w:rsid w:val="00B83991"/>
    <w:rsid w:val="00B8455B"/>
    <w:rsid w:val="00B84F6F"/>
    <w:rsid w:val="00B855CB"/>
    <w:rsid w:val="00B85983"/>
    <w:rsid w:val="00B8746F"/>
    <w:rsid w:val="00B874A5"/>
    <w:rsid w:val="00B879A4"/>
    <w:rsid w:val="00B87CD0"/>
    <w:rsid w:val="00B87F6B"/>
    <w:rsid w:val="00B90853"/>
    <w:rsid w:val="00B90A31"/>
    <w:rsid w:val="00B91660"/>
    <w:rsid w:val="00B918CF"/>
    <w:rsid w:val="00B91F3D"/>
    <w:rsid w:val="00B92E89"/>
    <w:rsid w:val="00B938F3"/>
    <w:rsid w:val="00B94B71"/>
    <w:rsid w:val="00B94FA5"/>
    <w:rsid w:val="00B9723E"/>
    <w:rsid w:val="00B9733D"/>
    <w:rsid w:val="00B977A5"/>
    <w:rsid w:val="00B978D4"/>
    <w:rsid w:val="00BA0D7D"/>
    <w:rsid w:val="00BA1CDE"/>
    <w:rsid w:val="00BA2177"/>
    <w:rsid w:val="00BA23EB"/>
    <w:rsid w:val="00BA269D"/>
    <w:rsid w:val="00BA28B4"/>
    <w:rsid w:val="00BA2B2F"/>
    <w:rsid w:val="00BA2B33"/>
    <w:rsid w:val="00BA2D4C"/>
    <w:rsid w:val="00BA3F7E"/>
    <w:rsid w:val="00BA4AEA"/>
    <w:rsid w:val="00BA4EFD"/>
    <w:rsid w:val="00BA57B4"/>
    <w:rsid w:val="00BA6596"/>
    <w:rsid w:val="00BA7694"/>
    <w:rsid w:val="00BA7ABA"/>
    <w:rsid w:val="00BA7BFE"/>
    <w:rsid w:val="00BB0B45"/>
    <w:rsid w:val="00BB1906"/>
    <w:rsid w:val="00BB1A9F"/>
    <w:rsid w:val="00BB2199"/>
    <w:rsid w:val="00BB3081"/>
    <w:rsid w:val="00BB3741"/>
    <w:rsid w:val="00BB3BAC"/>
    <w:rsid w:val="00BB4F81"/>
    <w:rsid w:val="00BB71F4"/>
    <w:rsid w:val="00BB72F9"/>
    <w:rsid w:val="00BB7FBB"/>
    <w:rsid w:val="00BC0727"/>
    <w:rsid w:val="00BC0DC8"/>
    <w:rsid w:val="00BC0F7E"/>
    <w:rsid w:val="00BC1508"/>
    <w:rsid w:val="00BC2968"/>
    <w:rsid w:val="00BC4D4D"/>
    <w:rsid w:val="00BC5A1D"/>
    <w:rsid w:val="00BC5AE7"/>
    <w:rsid w:val="00BC5E2A"/>
    <w:rsid w:val="00BC5FB5"/>
    <w:rsid w:val="00BC66F0"/>
    <w:rsid w:val="00BC7359"/>
    <w:rsid w:val="00BC75DA"/>
    <w:rsid w:val="00BD092D"/>
    <w:rsid w:val="00BD0B01"/>
    <w:rsid w:val="00BD1460"/>
    <w:rsid w:val="00BD1FAB"/>
    <w:rsid w:val="00BD2234"/>
    <w:rsid w:val="00BD2F11"/>
    <w:rsid w:val="00BD3964"/>
    <w:rsid w:val="00BD3B27"/>
    <w:rsid w:val="00BD3D12"/>
    <w:rsid w:val="00BD4540"/>
    <w:rsid w:val="00BD4984"/>
    <w:rsid w:val="00BD4B6B"/>
    <w:rsid w:val="00BD4CB0"/>
    <w:rsid w:val="00BD4D2B"/>
    <w:rsid w:val="00BD5BDA"/>
    <w:rsid w:val="00BD5C6E"/>
    <w:rsid w:val="00BD60A5"/>
    <w:rsid w:val="00BD6857"/>
    <w:rsid w:val="00BD6FB3"/>
    <w:rsid w:val="00BD6FCB"/>
    <w:rsid w:val="00BE2382"/>
    <w:rsid w:val="00BE2BF8"/>
    <w:rsid w:val="00BE396B"/>
    <w:rsid w:val="00BE3AE9"/>
    <w:rsid w:val="00BE3F5C"/>
    <w:rsid w:val="00BE45A8"/>
    <w:rsid w:val="00BE4AB0"/>
    <w:rsid w:val="00BE519C"/>
    <w:rsid w:val="00BE57EE"/>
    <w:rsid w:val="00BE5924"/>
    <w:rsid w:val="00BE640F"/>
    <w:rsid w:val="00BE6873"/>
    <w:rsid w:val="00BE68CF"/>
    <w:rsid w:val="00BE698B"/>
    <w:rsid w:val="00BE69F1"/>
    <w:rsid w:val="00BE6CB8"/>
    <w:rsid w:val="00BE6DA0"/>
    <w:rsid w:val="00BE6EAB"/>
    <w:rsid w:val="00BE7125"/>
    <w:rsid w:val="00BE72AB"/>
    <w:rsid w:val="00BE73D2"/>
    <w:rsid w:val="00BE7789"/>
    <w:rsid w:val="00BE7BD2"/>
    <w:rsid w:val="00BE7CDB"/>
    <w:rsid w:val="00BF11B8"/>
    <w:rsid w:val="00BF1DC6"/>
    <w:rsid w:val="00BF1EAD"/>
    <w:rsid w:val="00BF430A"/>
    <w:rsid w:val="00BF4571"/>
    <w:rsid w:val="00BF4E4E"/>
    <w:rsid w:val="00BF4F8F"/>
    <w:rsid w:val="00BF50B5"/>
    <w:rsid w:val="00BF52FE"/>
    <w:rsid w:val="00BF608F"/>
    <w:rsid w:val="00BF6D83"/>
    <w:rsid w:val="00BF6FB2"/>
    <w:rsid w:val="00BF755B"/>
    <w:rsid w:val="00C0030E"/>
    <w:rsid w:val="00C00358"/>
    <w:rsid w:val="00C00C8D"/>
    <w:rsid w:val="00C00F86"/>
    <w:rsid w:val="00C0119B"/>
    <w:rsid w:val="00C03C15"/>
    <w:rsid w:val="00C03D82"/>
    <w:rsid w:val="00C03DDF"/>
    <w:rsid w:val="00C0509A"/>
    <w:rsid w:val="00C0537A"/>
    <w:rsid w:val="00C0537B"/>
    <w:rsid w:val="00C061F7"/>
    <w:rsid w:val="00C065CC"/>
    <w:rsid w:val="00C06C89"/>
    <w:rsid w:val="00C0736F"/>
    <w:rsid w:val="00C076C0"/>
    <w:rsid w:val="00C07E0B"/>
    <w:rsid w:val="00C10466"/>
    <w:rsid w:val="00C10AA7"/>
    <w:rsid w:val="00C10E6D"/>
    <w:rsid w:val="00C11142"/>
    <w:rsid w:val="00C12102"/>
    <w:rsid w:val="00C127C1"/>
    <w:rsid w:val="00C12849"/>
    <w:rsid w:val="00C12FED"/>
    <w:rsid w:val="00C133C7"/>
    <w:rsid w:val="00C13A35"/>
    <w:rsid w:val="00C14130"/>
    <w:rsid w:val="00C14369"/>
    <w:rsid w:val="00C147F4"/>
    <w:rsid w:val="00C1483C"/>
    <w:rsid w:val="00C14BBB"/>
    <w:rsid w:val="00C14E6C"/>
    <w:rsid w:val="00C14EC8"/>
    <w:rsid w:val="00C15B59"/>
    <w:rsid w:val="00C15C34"/>
    <w:rsid w:val="00C15FFE"/>
    <w:rsid w:val="00C1629E"/>
    <w:rsid w:val="00C171BF"/>
    <w:rsid w:val="00C1722F"/>
    <w:rsid w:val="00C17694"/>
    <w:rsid w:val="00C17853"/>
    <w:rsid w:val="00C2109B"/>
    <w:rsid w:val="00C21AB9"/>
    <w:rsid w:val="00C21E07"/>
    <w:rsid w:val="00C22507"/>
    <w:rsid w:val="00C226F5"/>
    <w:rsid w:val="00C2287E"/>
    <w:rsid w:val="00C22F1E"/>
    <w:rsid w:val="00C23B90"/>
    <w:rsid w:val="00C23E1C"/>
    <w:rsid w:val="00C247E9"/>
    <w:rsid w:val="00C251C0"/>
    <w:rsid w:val="00C2524C"/>
    <w:rsid w:val="00C25268"/>
    <w:rsid w:val="00C25319"/>
    <w:rsid w:val="00C2698D"/>
    <w:rsid w:val="00C2701F"/>
    <w:rsid w:val="00C27A3B"/>
    <w:rsid w:val="00C27BEE"/>
    <w:rsid w:val="00C27CF6"/>
    <w:rsid w:val="00C3007E"/>
    <w:rsid w:val="00C3008E"/>
    <w:rsid w:val="00C32721"/>
    <w:rsid w:val="00C32B66"/>
    <w:rsid w:val="00C33915"/>
    <w:rsid w:val="00C348AF"/>
    <w:rsid w:val="00C349A2"/>
    <w:rsid w:val="00C34AD2"/>
    <w:rsid w:val="00C35551"/>
    <w:rsid w:val="00C356B7"/>
    <w:rsid w:val="00C36902"/>
    <w:rsid w:val="00C37094"/>
    <w:rsid w:val="00C3712C"/>
    <w:rsid w:val="00C372C7"/>
    <w:rsid w:val="00C37D00"/>
    <w:rsid w:val="00C37F9E"/>
    <w:rsid w:val="00C40D7A"/>
    <w:rsid w:val="00C41446"/>
    <w:rsid w:val="00C414BE"/>
    <w:rsid w:val="00C41851"/>
    <w:rsid w:val="00C41BE6"/>
    <w:rsid w:val="00C4222F"/>
    <w:rsid w:val="00C43477"/>
    <w:rsid w:val="00C43B39"/>
    <w:rsid w:val="00C43C3B"/>
    <w:rsid w:val="00C440B2"/>
    <w:rsid w:val="00C4538B"/>
    <w:rsid w:val="00C458B1"/>
    <w:rsid w:val="00C45A7D"/>
    <w:rsid w:val="00C46D7D"/>
    <w:rsid w:val="00C470BE"/>
    <w:rsid w:val="00C5006A"/>
    <w:rsid w:val="00C50089"/>
    <w:rsid w:val="00C50B6E"/>
    <w:rsid w:val="00C51A3D"/>
    <w:rsid w:val="00C51FEE"/>
    <w:rsid w:val="00C5204C"/>
    <w:rsid w:val="00C52D2B"/>
    <w:rsid w:val="00C52F7F"/>
    <w:rsid w:val="00C530A6"/>
    <w:rsid w:val="00C534E7"/>
    <w:rsid w:val="00C53B37"/>
    <w:rsid w:val="00C54008"/>
    <w:rsid w:val="00C54226"/>
    <w:rsid w:val="00C54380"/>
    <w:rsid w:val="00C54ACE"/>
    <w:rsid w:val="00C54F9D"/>
    <w:rsid w:val="00C556A6"/>
    <w:rsid w:val="00C55AF0"/>
    <w:rsid w:val="00C56A62"/>
    <w:rsid w:val="00C56FA1"/>
    <w:rsid w:val="00C57F78"/>
    <w:rsid w:val="00C57F9A"/>
    <w:rsid w:val="00C6042B"/>
    <w:rsid w:val="00C6045C"/>
    <w:rsid w:val="00C6058A"/>
    <w:rsid w:val="00C609DD"/>
    <w:rsid w:val="00C60B01"/>
    <w:rsid w:val="00C60CD1"/>
    <w:rsid w:val="00C61CC2"/>
    <w:rsid w:val="00C61CE5"/>
    <w:rsid w:val="00C61F20"/>
    <w:rsid w:val="00C62EC0"/>
    <w:rsid w:val="00C6343C"/>
    <w:rsid w:val="00C63A0E"/>
    <w:rsid w:val="00C63A84"/>
    <w:rsid w:val="00C63C87"/>
    <w:rsid w:val="00C63E26"/>
    <w:rsid w:val="00C64B44"/>
    <w:rsid w:val="00C64D26"/>
    <w:rsid w:val="00C65E1C"/>
    <w:rsid w:val="00C67013"/>
    <w:rsid w:val="00C67108"/>
    <w:rsid w:val="00C672E6"/>
    <w:rsid w:val="00C67F48"/>
    <w:rsid w:val="00C701FF"/>
    <w:rsid w:val="00C70CFA"/>
    <w:rsid w:val="00C718EA"/>
    <w:rsid w:val="00C72779"/>
    <w:rsid w:val="00C7282C"/>
    <w:rsid w:val="00C72965"/>
    <w:rsid w:val="00C729E1"/>
    <w:rsid w:val="00C74F9D"/>
    <w:rsid w:val="00C751FF"/>
    <w:rsid w:val="00C754BF"/>
    <w:rsid w:val="00C75851"/>
    <w:rsid w:val="00C760C8"/>
    <w:rsid w:val="00C7639F"/>
    <w:rsid w:val="00C76527"/>
    <w:rsid w:val="00C769E3"/>
    <w:rsid w:val="00C774AD"/>
    <w:rsid w:val="00C77C61"/>
    <w:rsid w:val="00C80304"/>
    <w:rsid w:val="00C804DC"/>
    <w:rsid w:val="00C80550"/>
    <w:rsid w:val="00C80BF6"/>
    <w:rsid w:val="00C80E27"/>
    <w:rsid w:val="00C80E2C"/>
    <w:rsid w:val="00C811B8"/>
    <w:rsid w:val="00C8151F"/>
    <w:rsid w:val="00C816E2"/>
    <w:rsid w:val="00C8267E"/>
    <w:rsid w:val="00C82B58"/>
    <w:rsid w:val="00C82BD4"/>
    <w:rsid w:val="00C83752"/>
    <w:rsid w:val="00C8378A"/>
    <w:rsid w:val="00C837C6"/>
    <w:rsid w:val="00C83A96"/>
    <w:rsid w:val="00C83B69"/>
    <w:rsid w:val="00C84563"/>
    <w:rsid w:val="00C845F2"/>
    <w:rsid w:val="00C84748"/>
    <w:rsid w:val="00C85A7B"/>
    <w:rsid w:val="00C873C0"/>
    <w:rsid w:val="00C8753B"/>
    <w:rsid w:val="00C919DF"/>
    <w:rsid w:val="00C92912"/>
    <w:rsid w:val="00C92A14"/>
    <w:rsid w:val="00C92C80"/>
    <w:rsid w:val="00C93A1C"/>
    <w:rsid w:val="00C94593"/>
    <w:rsid w:val="00C949E3"/>
    <w:rsid w:val="00C94CC8"/>
    <w:rsid w:val="00C952A7"/>
    <w:rsid w:val="00C958E5"/>
    <w:rsid w:val="00C96731"/>
    <w:rsid w:val="00C96886"/>
    <w:rsid w:val="00C968C7"/>
    <w:rsid w:val="00C97463"/>
    <w:rsid w:val="00C97824"/>
    <w:rsid w:val="00C97C29"/>
    <w:rsid w:val="00CA0973"/>
    <w:rsid w:val="00CA0EA9"/>
    <w:rsid w:val="00CA0EFA"/>
    <w:rsid w:val="00CA0F35"/>
    <w:rsid w:val="00CA161C"/>
    <w:rsid w:val="00CA18F9"/>
    <w:rsid w:val="00CA1E15"/>
    <w:rsid w:val="00CA294D"/>
    <w:rsid w:val="00CA2E53"/>
    <w:rsid w:val="00CA3461"/>
    <w:rsid w:val="00CA4338"/>
    <w:rsid w:val="00CA4A2F"/>
    <w:rsid w:val="00CA4A54"/>
    <w:rsid w:val="00CA4EEF"/>
    <w:rsid w:val="00CA4F69"/>
    <w:rsid w:val="00CA4F7D"/>
    <w:rsid w:val="00CA632D"/>
    <w:rsid w:val="00CA6D1C"/>
    <w:rsid w:val="00CA7133"/>
    <w:rsid w:val="00CA71A2"/>
    <w:rsid w:val="00CA7961"/>
    <w:rsid w:val="00CA7A2C"/>
    <w:rsid w:val="00CA7A7E"/>
    <w:rsid w:val="00CA7FCA"/>
    <w:rsid w:val="00CB17A9"/>
    <w:rsid w:val="00CB1C12"/>
    <w:rsid w:val="00CB1E31"/>
    <w:rsid w:val="00CB2A88"/>
    <w:rsid w:val="00CB367B"/>
    <w:rsid w:val="00CB391C"/>
    <w:rsid w:val="00CB3FDA"/>
    <w:rsid w:val="00CB3FFC"/>
    <w:rsid w:val="00CB4DF9"/>
    <w:rsid w:val="00CB4E7D"/>
    <w:rsid w:val="00CB57ED"/>
    <w:rsid w:val="00CB62D1"/>
    <w:rsid w:val="00CB6A72"/>
    <w:rsid w:val="00CB7C63"/>
    <w:rsid w:val="00CB7C7D"/>
    <w:rsid w:val="00CB7C8E"/>
    <w:rsid w:val="00CC0255"/>
    <w:rsid w:val="00CC0361"/>
    <w:rsid w:val="00CC15A2"/>
    <w:rsid w:val="00CC15A8"/>
    <w:rsid w:val="00CC164B"/>
    <w:rsid w:val="00CC28E1"/>
    <w:rsid w:val="00CC2AA5"/>
    <w:rsid w:val="00CC2E8A"/>
    <w:rsid w:val="00CC41AA"/>
    <w:rsid w:val="00CC423A"/>
    <w:rsid w:val="00CC4D79"/>
    <w:rsid w:val="00CC5220"/>
    <w:rsid w:val="00CC5A65"/>
    <w:rsid w:val="00CC5CB6"/>
    <w:rsid w:val="00CC5DA8"/>
    <w:rsid w:val="00CC6278"/>
    <w:rsid w:val="00CC69C5"/>
    <w:rsid w:val="00CC6DC3"/>
    <w:rsid w:val="00CC73E2"/>
    <w:rsid w:val="00CC743C"/>
    <w:rsid w:val="00CC7AD0"/>
    <w:rsid w:val="00CD10E4"/>
    <w:rsid w:val="00CD1648"/>
    <w:rsid w:val="00CD1A72"/>
    <w:rsid w:val="00CD22CE"/>
    <w:rsid w:val="00CD2F9A"/>
    <w:rsid w:val="00CD3679"/>
    <w:rsid w:val="00CD4E81"/>
    <w:rsid w:val="00CD6779"/>
    <w:rsid w:val="00CE08C3"/>
    <w:rsid w:val="00CE1691"/>
    <w:rsid w:val="00CE1711"/>
    <w:rsid w:val="00CE1C19"/>
    <w:rsid w:val="00CE23B3"/>
    <w:rsid w:val="00CE2574"/>
    <w:rsid w:val="00CE2BBD"/>
    <w:rsid w:val="00CE2BD0"/>
    <w:rsid w:val="00CE3E10"/>
    <w:rsid w:val="00CE4AA4"/>
    <w:rsid w:val="00CE4B9B"/>
    <w:rsid w:val="00CE4C54"/>
    <w:rsid w:val="00CE5336"/>
    <w:rsid w:val="00CE542F"/>
    <w:rsid w:val="00CE5833"/>
    <w:rsid w:val="00CE58CA"/>
    <w:rsid w:val="00CE5D48"/>
    <w:rsid w:val="00CE6703"/>
    <w:rsid w:val="00CE6835"/>
    <w:rsid w:val="00CE741A"/>
    <w:rsid w:val="00CE7D7E"/>
    <w:rsid w:val="00CF0149"/>
    <w:rsid w:val="00CF01FA"/>
    <w:rsid w:val="00CF024B"/>
    <w:rsid w:val="00CF0BD9"/>
    <w:rsid w:val="00CF15B1"/>
    <w:rsid w:val="00CF28E2"/>
    <w:rsid w:val="00CF2EA3"/>
    <w:rsid w:val="00CF3026"/>
    <w:rsid w:val="00CF35BE"/>
    <w:rsid w:val="00CF3987"/>
    <w:rsid w:val="00CF3C30"/>
    <w:rsid w:val="00CF3F01"/>
    <w:rsid w:val="00CF46CC"/>
    <w:rsid w:val="00CF4B09"/>
    <w:rsid w:val="00CF4C0F"/>
    <w:rsid w:val="00CF57D7"/>
    <w:rsid w:val="00CF58C6"/>
    <w:rsid w:val="00CF5E4A"/>
    <w:rsid w:val="00CF5F3C"/>
    <w:rsid w:val="00CF6F64"/>
    <w:rsid w:val="00D00018"/>
    <w:rsid w:val="00D01E80"/>
    <w:rsid w:val="00D0215A"/>
    <w:rsid w:val="00D02705"/>
    <w:rsid w:val="00D02DB3"/>
    <w:rsid w:val="00D02E19"/>
    <w:rsid w:val="00D02E27"/>
    <w:rsid w:val="00D03C60"/>
    <w:rsid w:val="00D04442"/>
    <w:rsid w:val="00D04BA7"/>
    <w:rsid w:val="00D04F41"/>
    <w:rsid w:val="00D05C07"/>
    <w:rsid w:val="00D066D7"/>
    <w:rsid w:val="00D06932"/>
    <w:rsid w:val="00D07003"/>
    <w:rsid w:val="00D0702A"/>
    <w:rsid w:val="00D071AC"/>
    <w:rsid w:val="00D07A81"/>
    <w:rsid w:val="00D07CB1"/>
    <w:rsid w:val="00D10FDC"/>
    <w:rsid w:val="00D1170C"/>
    <w:rsid w:val="00D11835"/>
    <w:rsid w:val="00D11D69"/>
    <w:rsid w:val="00D125AA"/>
    <w:rsid w:val="00D132A3"/>
    <w:rsid w:val="00D132CE"/>
    <w:rsid w:val="00D139F8"/>
    <w:rsid w:val="00D140D6"/>
    <w:rsid w:val="00D1432A"/>
    <w:rsid w:val="00D148AE"/>
    <w:rsid w:val="00D14EA9"/>
    <w:rsid w:val="00D16D50"/>
    <w:rsid w:val="00D16FB1"/>
    <w:rsid w:val="00D1761A"/>
    <w:rsid w:val="00D17C70"/>
    <w:rsid w:val="00D202EA"/>
    <w:rsid w:val="00D206DD"/>
    <w:rsid w:val="00D2090B"/>
    <w:rsid w:val="00D20E57"/>
    <w:rsid w:val="00D21000"/>
    <w:rsid w:val="00D2162D"/>
    <w:rsid w:val="00D217DD"/>
    <w:rsid w:val="00D21848"/>
    <w:rsid w:val="00D21ED0"/>
    <w:rsid w:val="00D22699"/>
    <w:rsid w:val="00D226F5"/>
    <w:rsid w:val="00D228D8"/>
    <w:rsid w:val="00D2290E"/>
    <w:rsid w:val="00D2359C"/>
    <w:rsid w:val="00D241D2"/>
    <w:rsid w:val="00D24DD2"/>
    <w:rsid w:val="00D2515B"/>
    <w:rsid w:val="00D25850"/>
    <w:rsid w:val="00D26F28"/>
    <w:rsid w:val="00D300A1"/>
    <w:rsid w:val="00D302EC"/>
    <w:rsid w:val="00D314E8"/>
    <w:rsid w:val="00D31752"/>
    <w:rsid w:val="00D31782"/>
    <w:rsid w:val="00D321A8"/>
    <w:rsid w:val="00D32A1B"/>
    <w:rsid w:val="00D33137"/>
    <w:rsid w:val="00D3315C"/>
    <w:rsid w:val="00D336EA"/>
    <w:rsid w:val="00D33990"/>
    <w:rsid w:val="00D33BD4"/>
    <w:rsid w:val="00D34121"/>
    <w:rsid w:val="00D344BE"/>
    <w:rsid w:val="00D34B3F"/>
    <w:rsid w:val="00D35983"/>
    <w:rsid w:val="00D35A11"/>
    <w:rsid w:val="00D361BE"/>
    <w:rsid w:val="00D36E97"/>
    <w:rsid w:val="00D40197"/>
    <w:rsid w:val="00D402BB"/>
    <w:rsid w:val="00D42239"/>
    <w:rsid w:val="00D43223"/>
    <w:rsid w:val="00D43E63"/>
    <w:rsid w:val="00D44648"/>
    <w:rsid w:val="00D447B4"/>
    <w:rsid w:val="00D453F2"/>
    <w:rsid w:val="00D4584D"/>
    <w:rsid w:val="00D46A73"/>
    <w:rsid w:val="00D470F5"/>
    <w:rsid w:val="00D471B0"/>
    <w:rsid w:val="00D472CB"/>
    <w:rsid w:val="00D47821"/>
    <w:rsid w:val="00D47A01"/>
    <w:rsid w:val="00D47BFB"/>
    <w:rsid w:val="00D50327"/>
    <w:rsid w:val="00D50DA1"/>
    <w:rsid w:val="00D50DF3"/>
    <w:rsid w:val="00D5103F"/>
    <w:rsid w:val="00D527B4"/>
    <w:rsid w:val="00D52865"/>
    <w:rsid w:val="00D52D60"/>
    <w:rsid w:val="00D533C4"/>
    <w:rsid w:val="00D53647"/>
    <w:rsid w:val="00D537F4"/>
    <w:rsid w:val="00D53A3C"/>
    <w:rsid w:val="00D53C7B"/>
    <w:rsid w:val="00D544B4"/>
    <w:rsid w:val="00D54B73"/>
    <w:rsid w:val="00D55472"/>
    <w:rsid w:val="00D55529"/>
    <w:rsid w:val="00D56192"/>
    <w:rsid w:val="00D57143"/>
    <w:rsid w:val="00D572BF"/>
    <w:rsid w:val="00D57B0A"/>
    <w:rsid w:val="00D60625"/>
    <w:rsid w:val="00D615E8"/>
    <w:rsid w:val="00D61885"/>
    <w:rsid w:val="00D631E9"/>
    <w:rsid w:val="00D63B1A"/>
    <w:rsid w:val="00D63B50"/>
    <w:rsid w:val="00D647B8"/>
    <w:rsid w:val="00D64EBC"/>
    <w:rsid w:val="00D65B5B"/>
    <w:rsid w:val="00D65E89"/>
    <w:rsid w:val="00D65F39"/>
    <w:rsid w:val="00D67124"/>
    <w:rsid w:val="00D672A0"/>
    <w:rsid w:val="00D67E9F"/>
    <w:rsid w:val="00D703EA"/>
    <w:rsid w:val="00D703F9"/>
    <w:rsid w:val="00D70EA4"/>
    <w:rsid w:val="00D724F9"/>
    <w:rsid w:val="00D731C5"/>
    <w:rsid w:val="00D74061"/>
    <w:rsid w:val="00D741EE"/>
    <w:rsid w:val="00D7434C"/>
    <w:rsid w:val="00D75B1E"/>
    <w:rsid w:val="00D75E64"/>
    <w:rsid w:val="00D76147"/>
    <w:rsid w:val="00D7647B"/>
    <w:rsid w:val="00D764A1"/>
    <w:rsid w:val="00D76F74"/>
    <w:rsid w:val="00D77126"/>
    <w:rsid w:val="00D774F8"/>
    <w:rsid w:val="00D77BC0"/>
    <w:rsid w:val="00D80210"/>
    <w:rsid w:val="00D809FF"/>
    <w:rsid w:val="00D80A4E"/>
    <w:rsid w:val="00D812C5"/>
    <w:rsid w:val="00D8175E"/>
    <w:rsid w:val="00D8183E"/>
    <w:rsid w:val="00D818A1"/>
    <w:rsid w:val="00D819E6"/>
    <w:rsid w:val="00D81A9B"/>
    <w:rsid w:val="00D81B34"/>
    <w:rsid w:val="00D8291F"/>
    <w:rsid w:val="00D82CFE"/>
    <w:rsid w:val="00D830BE"/>
    <w:rsid w:val="00D83249"/>
    <w:rsid w:val="00D83B47"/>
    <w:rsid w:val="00D83DB5"/>
    <w:rsid w:val="00D8447B"/>
    <w:rsid w:val="00D8498B"/>
    <w:rsid w:val="00D84EEC"/>
    <w:rsid w:val="00D8551F"/>
    <w:rsid w:val="00D86490"/>
    <w:rsid w:val="00D86EC7"/>
    <w:rsid w:val="00D873F3"/>
    <w:rsid w:val="00D87DA3"/>
    <w:rsid w:val="00D87E46"/>
    <w:rsid w:val="00D87FEC"/>
    <w:rsid w:val="00D9048C"/>
    <w:rsid w:val="00D904E2"/>
    <w:rsid w:val="00D91658"/>
    <w:rsid w:val="00D93D67"/>
    <w:rsid w:val="00D94033"/>
    <w:rsid w:val="00D9412E"/>
    <w:rsid w:val="00D943EB"/>
    <w:rsid w:val="00D97158"/>
    <w:rsid w:val="00DA09DB"/>
    <w:rsid w:val="00DA1876"/>
    <w:rsid w:val="00DA1B58"/>
    <w:rsid w:val="00DA1FF6"/>
    <w:rsid w:val="00DA209B"/>
    <w:rsid w:val="00DA2982"/>
    <w:rsid w:val="00DA4561"/>
    <w:rsid w:val="00DA46EC"/>
    <w:rsid w:val="00DA6528"/>
    <w:rsid w:val="00DA679E"/>
    <w:rsid w:val="00DA7AA9"/>
    <w:rsid w:val="00DA7ACD"/>
    <w:rsid w:val="00DB0814"/>
    <w:rsid w:val="00DB1C3C"/>
    <w:rsid w:val="00DB1ECE"/>
    <w:rsid w:val="00DB29F9"/>
    <w:rsid w:val="00DB30DA"/>
    <w:rsid w:val="00DB38D2"/>
    <w:rsid w:val="00DB4088"/>
    <w:rsid w:val="00DB5110"/>
    <w:rsid w:val="00DB6C8F"/>
    <w:rsid w:val="00DB7828"/>
    <w:rsid w:val="00DB7FF7"/>
    <w:rsid w:val="00DC0A6D"/>
    <w:rsid w:val="00DC0FFA"/>
    <w:rsid w:val="00DC2240"/>
    <w:rsid w:val="00DC33C7"/>
    <w:rsid w:val="00DC35E6"/>
    <w:rsid w:val="00DC46FD"/>
    <w:rsid w:val="00DC4D6F"/>
    <w:rsid w:val="00DC5C5D"/>
    <w:rsid w:val="00DC629B"/>
    <w:rsid w:val="00DC62E6"/>
    <w:rsid w:val="00DC67D9"/>
    <w:rsid w:val="00DC6AF8"/>
    <w:rsid w:val="00DC6B3F"/>
    <w:rsid w:val="00DC6F84"/>
    <w:rsid w:val="00DC7485"/>
    <w:rsid w:val="00DC78EE"/>
    <w:rsid w:val="00DC7943"/>
    <w:rsid w:val="00DC7CF3"/>
    <w:rsid w:val="00DC7D25"/>
    <w:rsid w:val="00DC7DDD"/>
    <w:rsid w:val="00DD0127"/>
    <w:rsid w:val="00DD1B93"/>
    <w:rsid w:val="00DD1DDE"/>
    <w:rsid w:val="00DD3F98"/>
    <w:rsid w:val="00DD4138"/>
    <w:rsid w:val="00DD49AF"/>
    <w:rsid w:val="00DD513C"/>
    <w:rsid w:val="00DD579A"/>
    <w:rsid w:val="00DD5CF0"/>
    <w:rsid w:val="00DD746E"/>
    <w:rsid w:val="00DD7893"/>
    <w:rsid w:val="00DE10DB"/>
    <w:rsid w:val="00DE1260"/>
    <w:rsid w:val="00DE203D"/>
    <w:rsid w:val="00DE26C1"/>
    <w:rsid w:val="00DE28AD"/>
    <w:rsid w:val="00DE2FB1"/>
    <w:rsid w:val="00DE3168"/>
    <w:rsid w:val="00DE364C"/>
    <w:rsid w:val="00DE3762"/>
    <w:rsid w:val="00DE42BD"/>
    <w:rsid w:val="00DE5D18"/>
    <w:rsid w:val="00DE5F7D"/>
    <w:rsid w:val="00DE605F"/>
    <w:rsid w:val="00DE6AC9"/>
    <w:rsid w:val="00DE6C81"/>
    <w:rsid w:val="00DE6DB3"/>
    <w:rsid w:val="00DE6EF2"/>
    <w:rsid w:val="00DE71FC"/>
    <w:rsid w:val="00DE745A"/>
    <w:rsid w:val="00DE7D29"/>
    <w:rsid w:val="00DE7EA4"/>
    <w:rsid w:val="00DF001A"/>
    <w:rsid w:val="00DF0552"/>
    <w:rsid w:val="00DF0770"/>
    <w:rsid w:val="00DF1776"/>
    <w:rsid w:val="00DF1B3D"/>
    <w:rsid w:val="00DF2699"/>
    <w:rsid w:val="00DF2968"/>
    <w:rsid w:val="00DF2A33"/>
    <w:rsid w:val="00DF3456"/>
    <w:rsid w:val="00DF357B"/>
    <w:rsid w:val="00DF35D3"/>
    <w:rsid w:val="00DF36DF"/>
    <w:rsid w:val="00DF50A9"/>
    <w:rsid w:val="00DF5DE0"/>
    <w:rsid w:val="00DF639B"/>
    <w:rsid w:val="00DF6466"/>
    <w:rsid w:val="00DF64D3"/>
    <w:rsid w:val="00DF6FFD"/>
    <w:rsid w:val="00DF7C0E"/>
    <w:rsid w:val="00DF7EFF"/>
    <w:rsid w:val="00E00506"/>
    <w:rsid w:val="00E00ECA"/>
    <w:rsid w:val="00E013BB"/>
    <w:rsid w:val="00E018D7"/>
    <w:rsid w:val="00E01B3C"/>
    <w:rsid w:val="00E01DAC"/>
    <w:rsid w:val="00E02CC2"/>
    <w:rsid w:val="00E03A10"/>
    <w:rsid w:val="00E03B5A"/>
    <w:rsid w:val="00E05D1D"/>
    <w:rsid w:val="00E05E92"/>
    <w:rsid w:val="00E06987"/>
    <w:rsid w:val="00E06F9F"/>
    <w:rsid w:val="00E07216"/>
    <w:rsid w:val="00E072EC"/>
    <w:rsid w:val="00E076D1"/>
    <w:rsid w:val="00E07903"/>
    <w:rsid w:val="00E079A3"/>
    <w:rsid w:val="00E07EDD"/>
    <w:rsid w:val="00E1216C"/>
    <w:rsid w:val="00E122CA"/>
    <w:rsid w:val="00E125CC"/>
    <w:rsid w:val="00E128BB"/>
    <w:rsid w:val="00E13A7F"/>
    <w:rsid w:val="00E13B83"/>
    <w:rsid w:val="00E13E52"/>
    <w:rsid w:val="00E14C3C"/>
    <w:rsid w:val="00E14C44"/>
    <w:rsid w:val="00E15129"/>
    <w:rsid w:val="00E15676"/>
    <w:rsid w:val="00E15C6B"/>
    <w:rsid w:val="00E16C0C"/>
    <w:rsid w:val="00E16C6B"/>
    <w:rsid w:val="00E17026"/>
    <w:rsid w:val="00E206BE"/>
    <w:rsid w:val="00E20E1F"/>
    <w:rsid w:val="00E21980"/>
    <w:rsid w:val="00E229DF"/>
    <w:rsid w:val="00E23B7D"/>
    <w:rsid w:val="00E25320"/>
    <w:rsid w:val="00E25932"/>
    <w:rsid w:val="00E25BDD"/>
    <w:rsid w:val="00E25EA1"/>
    <w:rsid w:val="00E26521"/>
    <w:rsid w:val="00E266A6"/>
    <w:rsid w:val="00E27053"/>
    <w:rsid w:val="00E272EE"/>
    <w:rsid w:val="00E27A37"/>
    <w:rsid w:val="00E3084D"/>
    <w:rsid w:val="00E30E55"/>
    <w:rsid w:val="00E31403"/>
    <w:rsid w:val="00E31716"/>
    <w:rsid w:val="00E324A3"/>
    <w:rsid w:val="00E32766"/>
    <w:rsid w:val="00E32C10"/>
    <w:rsid w:val="00E3382C"/>
    <w:rsid w:val="00E339A2"/>
    <w:rsid w:val="00E35694"/>
    <w:rsid w:val="00E35B66"/>
    <w:rsid w:val="00E36A58"/>
    <w:rsid w:val="00E36D31"/>
    <w:rsid w:val="00E37059"/>
    <w:rsid w:val="00E374E3"/>
    <w:rsid w:val="00E376C6"/>
    <w:rsid w:val="00E37B9A"/>
    <w:rsid w:val="00E4019A"/>
    <w:rsid w:val="00E406EE"/>
    <w:rsid w:val="00E40C00"/>
    <w:rsid w:val="00E40CCA"/>
    <w:rsid w:val="00E40E25"/>
    <w:rsid w:val="00E4121E"/>
    <w:rsid w:val="00E414DE"/>
    <w:rsid w:val="00E421A3"/>
    <w:rsid w:val="00E423BB"/>
    <w:rsid w:val="00E42BEA"/>
    <w:rsid w:val="00E4442F"/>
    <w:rsid w:val="00E44717"/>
    <w:rsid w:val="00E44DFE"/>
    <w:rsid w:val="00E45266"/>
    <w:rsid w:val="00E45BAF"/>
    <w:rsid w:val="00E45C3B"/>
    <w:rsid w:val="00E45E73"/>
    <w:rsid w:val="00E4662C"/>
    <w:rsid w:val="00E468BE"/>
    <w:rsid w:val="00E4771C"/>
    <w:rsid w:val="00E47BF7"/>
    <w:rsid w:val="00E501F2"/>
    <w:rsid w:val="00E50647"/>
    <w:rsid w:val="00E50DCD"/>
    <w:rsid w:val="00E50DD5"/>
    <w:rsid w:val="00E50F44"/>
    <w:rsid w:val="00E524E5"/>
    <w:rsid w:val="00E52AE3"/>
    <w:rsid w:val="00E532DE"/>
    <w:rsid w:val="00E53380"/>
    <w:rsid w:val="00E54583"/>
    <w:rsid w:val="00E54A2D"/>
    <w:rsid w:val="00E54AD8"/>
    <w:rsid w:val="00E54D01"/>
    <w:rsid w:val="00E54F6C"/>
    <w:rsid w:val="00E54FD4"/>
    <w:rsid w:val="00E5597A"/>
    <w:rsid w:val="00E55A3D"/>
    <w:rsid w:val="00E56DF4"/>
    <w:rsid w:val="00E572F1"/>
    <w:rsid w:val="00E573FB"/>
    <w:rsid w:val="00E5794A"/>
    <w:rsid w:val="00E57EA2"/>
    <w:rsid w:val="00E6044F"/>
    <w:rsid w:val="00E61712"/>
    <w:rsid w:val="00E62D74"/>
    <w:rsid w:val="00E630D0"/>
    <w:rsid w:val="00E63EFF"/>
    <w:rsid w:val="00E657FF"/>
    <w:rsid w:val="00E664F7"/>
    <w:rsid w:val="00E66D61"/>
    <w:rsid w:val="00E67A88"/>
    <w:rsid w:val="00E67BB1"/>
    <w:rsid w:val="00E67CED"/>
    <w:rsid w:val="00E67DFE"/>
    <w:rsid w:val="00E7019C"/>
    <w:rsid w:val="00E707DD"/>
    <w:rsid w:val="00E70B83"/>
    <w:rsid w:val="00E70EFE"/>
    <w:rsid w:val="00E7103A"/>
    <w:rsid w:val="00E71112"/>
    <w:rsid w:val="00E7130D"/>
    <w:rsid w:val="00E71561"/>
    <w:rsid w:val="00E71C05"/>
    <w:rsid w:val="00E72324"/>
    <w:rsid w:val="00E73721"/>
    <w:rsid w:val="00E73C76"/>
    <w:rsid w:val="00E74822"/>
    <w:rsid w:val="00E7511A"/>
    <w:rsid w:val="00E7529B"/>
    <w:rsid w:val="00E754AE"/>
    <w:rsid w:val="00E75AA8"/>
    <w:rsid w:val="00E77018"/>
    <w:rsid w:val="00E7748B"/>
    <w:rsid w:val="00E774E5"/>
    <w:rsid w:val="00E779D3"/>
    <w:rsid w:val="00E77B96"/>
    <w:rsid w:val="00E77D7E"/>
    <w:rsid w:val="00E80CCD"/>
    <w:rsid w:val="00E8100A"/>
    <w:rsid w:val="00E812FE"/>
    <w:rsid w:val="00E81794"/>
    <w:rsid w:val="00E81B13"/>
    <w:rsid w:val="00E82825"/>
    <w:rsid w:val="00E82AD5"/>
    <w:rsid w:val="00E82BA9"/>
    <w:rsid w:val="00E83BCB"/>
    <w:rsid w:val="00E84495"/>
    <w:rsid w:val="00E8477F"/>
    <w:rsid w:val="00E851F7"/>
    <w:rsid w:val="00E86225"/>
    <w:rsid w:val="00E86475"/>
    <w:rsid w:val="00E87102"/>
    <w:rsid w:val="00E87149"/>
    <w:rsid w:val="00E87D92"/>
    <w:rsid w:val="00E90025"/>
    <w:rsid w:val="00E90616"/>
    <w:rsid w:val="00E90EA5"/>
    <w:rsid w:val="00E9349A"/>
    <w:rsid w:val="00E93AC2"/>
    <w:rsid w:val="00E93ED7"/>
    <w:rsid w:val="00E942C7"/>
    <w:rsid w:val="00E9434F"/>
    <w:rsid w:val="00E9485D"/>
    <w:rsid w:val="00E95129"/>
    <w:rsid w:val="00E96957"/>
    <w:rsid w:val="00E96E2D"/>
    <w:rsid w:val="00E9714D"/>
    <w:rsid w:val="00E972EC"/>
    <w:rsid w:val="00E979B1"/>
    <w:rsid w:val="00E97AF6"/>
    <w:rsid w:val="00EA0576"/>
    <w:rsid w:val="00EA07C4"/>
    <w:rsid w:val="00EA0C6C"/>
    <w:rsid w:val="00EA137D"/>
    <w:rsid w:val="00EA1459"/>
    <w:rsid w:val="00EA1FC7"/>
    <w:rsid w:val="00EA2549"/>
    <w:rsid w:val="00EA2C19"/>
    <w:rsid w:val="00EA30EE"/>
    <w:rsid w:val="00EA3450"/>
    <w:rsid w:val="00EA3D33"/>
    <w:rsid w:val="00EA505E"/>
    <w:rsid w:val="00EA532E"/>
    <w:rsid w:val="00EA53FA"/>
    <w:rsid w:val="00EA63A5"/>
    <w:rsid w:val="00EA63EE"/>
    <w:rsid w:val="00EA6EF9"/>
    <w:rsid w:val="00EA6F2D"/>
    <w:rsid w:val="00EA7377"/>
    <w:rsid w:val="00EA7400"/>
    <w:rsid w:val="00EB01DE"/>
    <w:rsid w:val="00EB0DC2"/>
    <w:rsid w:val="00EB0EEE"/>
    <w:rsid w:val="00EB1079"/>
    <w:rsid w:val="00EB17C8"/>
    <w:rsid w:val="00EB1A29"/>
    <w:rsid w:val="00EB1D27"/>
    <w:rsid w:val="00EB3219"/>
    <w:rsid w:val="00EB35F3"/>
    <w:rsid w:val="00EB3D80"/>
    <w:rsid w:val="00EB3F64"/>
    <w:rsid w:val="00EB4C8C"/>
    <w:rsid w:val="00EB4CC8"/>
    <w:rsid w:val="00EB5116"/>
    <w:rsid w:val="00EB5A77"/>
    <w:rsid w:val="00EB62EE"/>
    <w:rsid w:val="00EB7119"/>
    <w:rsid w:val="00EB7184"/>
    <w:rsid w:val="00EC040D"/>
    <w:rsid w:val="00EC0760"/>
    <w:rsid w:val="00EC0924"/>
    <w:rsid w:val="00EC0A29"/>
    <w:rsid w:val="00EC0AC3"/>
    <w:rsid w:val="00EC0DEB"/>
    <w:rsid w:val="00EC2AC9"/>
    <w:rsid w:val="00EC2EF2"/>
    <w:rsid w:val="00EC37BF"/>
    <w:rsid w:val="00EC3B07"/>
    <w:rsid w:val="00EC4BFE"/>
    <w:rsid w:val="00EC5597"/>
    <w:rsid w:val="00EC589F"/>
    <w:rsid w:val="00EC5F34"/>
    <w:rsid w:val="00EC61B3"/>
    <w:rsid w:val="00EC6A62"/>
    <w:rsid w:val="00EC700D"/>
    <w:rsid w:val="00EC77C9"/>
    <w:rsid w:val="00EC7960"/>
    <w:rsid w:val="00ED03AB"/>
    <w:rsid w:val="00ED0723"/>
    <w:rsid w:val="00ED0A70"/>
    <w:rsid w:val="00ED14D9"/>
    <w:rsid w:val="00ED1527"/>
    <w:rsid w:val="00ED1808"/>
    <w:rsid w:val="00ED185E"/>
    <w:rsid w:val="00ED2B22"/>
    <w:rsid w:val="00ED363A"/>
    <w:rsid w:val="00ED3E7F"/>
    <w:rsid w:val="00ED4918"/>
    <w:rsid w:val="00ED4A65"/>
    <w:rsid w:val="00ED4C4F"/>
    <w:rsid w:val="00ED6E01"/>
    <w:rsid w:val="00ED7064"/>
    <w:rsid w:val="00ED75A1"/>
    <w:rsid w:val="00ED768F"/>
    <w:rsid w:val="00EE00DF"/>
    <w:rsid w:val="00EE0349"/>
    <w:rsid w:val="00EE09E6"/>
    <w:rsid w:val="00EE0AA7"/>
    <w:rsid w:val="00EE10AA"/>
    <w:rsid w:val="00EE1AF3"/>
    <w:rsid w:val="00EE2110"/>
    <w:rsid w:val="00EE22B4"/>
    <w:rsid w:val="00EE2599"/>
    <w:rsid w:val="00EE267C"/>
    <w:rsid w:val="00EE2D11"/>
    <w:rsid w:val="00EE30D2"/>
    <w:rsid w:val="00EE3487"/>
    <w:rsid w:val="00EE3B86"/>
    <w:rsid w:val="00EE4256"/>
    <w:rsid w:val="00EE48B0"/>
    <w:rsid w:val="00EE58C5"/>
    <w:rsid w:val="00EE5D1F"/>
    <w:rsid w:val="00EE63F1"/>
    <w:rsid w:val="00EE6F49"/>
    <w:rsid w:val="00EE77C5"/>
    <w:rsid w:val="00EE7E00"/>
    <w:rsid w:val="00EF04F7"/>
    <w:rsid w:val="00EF0958"/>
    <w:rsid w:val="00EF0D4B"/>
    <w:rsid w:val="00EF1775"/>
    <w:rsid w:val="00EF17F4"/>
    <w:rsid w:val="00EF20E4"/>
    <w:rsid w:val="00EF28AA"/>
    <w:rsid w:val="00EF5901"/>
    <w:rsid w:val="00EF5F5A"/>
    <w:rsid w:val="00EF62EE"/>
    <w:rsid w:val="00EF66F2"/>
    <w:rsid w:val="00EF77E9"/>
    <w:rsid w:val="00EF7B85"/>
    <w:rsid w:val="00EF7C63"/>
    <w:rsid w:val="00F00D8F"/>
    <w:rsid w:val="00F01067"/>
    <w:rsid w:val="00F01CC4"/>
    <w:rsid w:val="00F01DE0"/>
    <w:rsid w:val="00F023FB"/>
    <w:rsid w:val="00F02E78"/>
    <w:rsid w:val="00F0329C"/>
    <w:rsid w:val="00F033B8"/>
    <w:rsid w:val="00F035D4"/>
    <w:rsid w:val="00F03EAB"/>
    <w:rsid w:val="00F04055"/>
    <w:rsid w:val="00F04733"/>
    <w:rsid w:val="00F04918"/>
    <w:rsid w:val="00F0494F"/>
    <w:rsid w:val="00F04D66"/>
    <w:rsid w:val="00F04E2C"/>
    <w:rsid w:val="00F04ED3"/>
    <w:rsid w:val="00F069A3"/>
    <w:rsid w:val="00F0703B"/>
    <w:rsid w:val="00F07D75"/>
    <w:rsid w:val="00F10104"/>
    <w:rsid w:val="00F104AB"/>
    <w:rsid w:val="00F107AB"/>
    <w:rsid w:val="00F10838"/>
    <w:rsid w:val="00F10E37"/>
    <w:rsid w:val="00F117AB"/>
    <w:rsid w:val="00F117BA"/>
    <w:rsid w:val="00F122BD"/>
    <w:rsid w:val="00F127A3"/>
    <w:rsid w:val="00F1299D"/>
    <w:rsid w:val="00F12F1C"/>
    <w:rsid w:val="00F13E60"/>
    <w:rsid w:val="00F147A9"/>
    <w:rsid w:val="00F14A30"/>
    <w:rsid w:val="00F14C5F"/>
    <w:rsid w:val="00F14EF1"/>
    <w:rsid w:val="00F14FB4"/>
    <w:rsid w:val="00F151DD"/>
    <w:rsid w:val="00F16465"/>
    <w:rsid w:val="00F16F49"/>
    <w:rsid w:val="00F17C1A"/>
    <w:rsid w:val="00F17CA3"/>
    <w:rsid w:val="00F20C30"/>
    <w:rsid w:val="00F20C80"/>
    <w:rsid w:val="00F21862"/>
    <w:rsid w:val="00F22A44"/>
    <w:rsid w:val="00F23C36"/>
    <w:rsid w:val="00F241AD"/>
    <w:rsid w:val="00F24B91"/>
    <w:rsid w:val="00F24DC0"/>
    <w:rsid w:val="00F258D3"/>
    <w:rsid w:val="00F26022"/>
    <w:rsid w:val="00F261D1"/>
    <w:rsid w:val="00F26B32"/>
    <w:rsid w:val="00F26C51"/>
    <w:rsid w:val="00F27800"/>
    <w:rsid w:val="00F27970"/>
    <w:rsid w:val="00F30058"/>
    <w:rsid w:val="00F30777"/>
    <w:rsid w:val="00F3140E"/>
    <w:rsid w:val="00F3191E"/>
    <w:rsid w:val="00F31925"/>
    <w:rsid w:val="00F325E2"/>
    <w:rsid w:val="00F32E30"/>
    <w:rsid w:val="00F333CA"/>
    <w:rsid w:val="00F33FD7"/>
    <w:rsid w:val="00F3403A"/>
    <w:rsid w:val="00F3432C"/>
    <w:rsid w:val="00F3455E"/>
    <w:rsid w:val="00F34FBE"/>
    <w:rsid w:val="00F35BC3"/>
    <w:rsid w:val="00F375F1"/>
    <w:rsid w:val="00F377F4"/>
    <w:rsid w:val="00F37AED"/>
    <w:rsid w:val="00F37C4D"/>
    <w:rsid w:val="00F415D6"/>
    <w:rsid w:val="00F41787"/>
    <w:rsid w:val="00F41AE3"/>
    <w:rsid w:val="00F41BBF"/>
    <w:rsid w:val="00F426BF"/>
    <w:rsid w:val="00F4283F"/>
    <w:rsid w:val="00F428F5"/>
    <w:rsid w:val="00F42B18"/>
    <w:rsid w:val="00F43AF8"/>
    <w:rsid w:val="00F44639"/>
    <w:rsid w:val="00F44A2D"/>
    <w:rsid w:val="00F45517"/>
    <w:rsid w:val="00F45A7C"/>
    <w:rsid w:val="00F45B34"/>
    <w:rsid w:val="00F45CEE"/>
    <w:rsid w:val="00F45F7B"/>
    <w:rsid w:val="00F4696F"/>
    <w:rsid w:val="00F47613"/>
    <w:rsid w:val="00F501B3"/>
    <w:rsid w:val="00F5021C"/>
    <w:rsid w:val="00F505D2"/>
    <w:rsid w:val="00F523E8"/>
    <w:rsid w:val="00F52A2A"/>
    <w:rsid w:val="00F53422"/>
    <w:rsid w:val="00F53B0F"/>
    <w:rsid w:val="00F53CCA"/>
    <w:rsid w:val="00F54068"/>
    <w:rsid w:val="00F54B60"/>
    <w:rsid w:val="00F55062"/>
    <w:rsid w:val="00F55C3B"/>
    <w:rsid w:val="00F55D3F"/>
    <w:rsid w:val="00F56A69"/>
    <w:rsid w:val="00F57693"/>
    <w:rsid w:val="00F61283"/>
    <w:rsid w:val="00F61316"/>
    <w:rsid w:val="00F617A4"/>
    <w:rsid w:val="00F619F7"/>
    <w:rsid w:val="00F61E17"/>
    <w:rsid w:val="00F6292F"/>
    <w:rsid w:val="00F6314A"/>
    <w:rsid w:val="00F63613"/>
    <w:rsid w:val="00F63E9A"/>
    <w:rsid w:val="00F64B16"/>
    <w:rsid w:val="00F64C95"/>
    <w:rsid w:val="00F6501C"/>
    <w:rsid w:val="00F67265"/>
    <w:rsid w:val="00F708D0"/>
    <w:rsid w:val="00F71345"/>
    <w:rsid w:val="00F71761"/>
    <w:rsid w:val="00F73209"/>
    <w:rsid w:val="00F7409B"/>
    <w:rsid w:val="00F744BE"/>
    <w:rsid w:val="00F7472D"/>
    <w:rsid w:val="00F75553"/>
    <w:rsid w:val="00F75813"/>
    <w:rsid w:val="00F758E5"/>
    <w:rsid w:val="00F75D0A"/>
    <w:rsid w:val="00F7643A"/>
    <w:rsid w:val="00F76CD6"/>
    <w:rsid w:val="00F77031"/>
    <w:rsid w:val="00F7758E"/>
    <w:rsid w:val="00F7783E"/>
    <w:rsid w:val="00F802C1"/>
    <w:rsid w:val="00F802CF"/>
    <w:rsid w:val="00F8048F"/>
    <w:rsid w:val="00F805AC"/>
    <w:rsid w:val="00F8134B"/>
    <w:rsid w:val="00F81B1B"/>
    <w:rsid w:val="00F81B33"/>
    <w:rsid w:val="00F81B59"/>
    <w:rsid w:val="00F82D9D"/>
    <w:rsid w:val="00F83205"/>
    <w:rsid w:val="00F832FC"/>
    <w:rsid w:val="00F83350"/>
    <w:rsid w:val="00F8386B"/>
    <w:rsid w:val="00F83D75"/>
    <w:rsid w:val="00F84D2A"/>
    <w:rsid w:val="00F84F6C"/>
    <w:rsid w:val="00F8591A"/>
    <w:rsid w:val="00F86387"/>
    <w:rsid w:val="00F8652A"/>
    <w:rsid w:val="00F86E93"/>
    <w:rsid w:val="00F878A0"/>
    <w:rsid w:val="00F878B3"/>
    <w:rsid w:val="00F87F1B"/>
    <w:rsid w:val="00F9015E"/>
    <w:rsid w:val="00F91BCF"/>
    <w:rsid w:val="00F92DAD"/>
    <w:rsid w:val="00F92FD3"/>
    <w:rsid w:val="00F9398C"/>
    <w:rsid w:val="00F93B34"/>
    <w:rsid w:val="00F93FA4"/>
    <w:rsid w:val="00F944AC"/>
    <w:rsid w:val="00F9450C"/>
    <w:rsid w:val="00F95FDD"/>
    <w:rsid w:val="00F97028"/>
    <w:rsid w:val="00F97110"/>
    <w:rsid w:val="00F97398"/>
    <w:rsid w:val="00F97541"/>
    <w:rsid w:val="00F97C5D"/>
    <w:rsid w:val="00FA003F"/>
    <w:rsid w:val="00FA0F76"/>
    <w:rsid w:val="00FA1621"/>
    <w:rsid w:val="00FA21B9"/>
    <w:rsid w:val="00FA2974"/>
    <w:rsid w:val="00FA30A8"/>
    <w:rsid w:val="00FA3C63"/>
    <w:rsid w:val="00FA48BA"/>
    <w:rsid w:val="00FA4E20"/>
    <w:rsid w:val="00FA4F1B"/>
    <w:rsid w:val="00FA50B4"/>
    <w:rsid w:val="00FA62BD"/>
    <w:rsid w:val="00FA63A4"/>
    <w:rsid w:val="00FA6651"/>
    <w:rsid w:val="00FA6707"/>
    <w:rsid w:val="00FA73E8"/>
    <w:rsid w:val="00FA7C98"/>
    <w:rsid w:val="00FA7E48"/>
    <w:rsid w:val="00FB020D"/>
    <w:rsid w:val="00FB0345"/>
    <w:rsid w:val="00FB03E7"/>
    <w:rsid w:val="00FB0898"/>
    <w:rsid w:val="00FB0B8D"/>
    <w:rsid w:val="00FB1634"/>
    <w:rsid w:val="00FB193F"/>
    <w:rsid w:val="00FB1E82"/>
    <w:rsid w:val="00FB2897"/>
    <w:rsid w:val="00FB2F08"/>
    <w:rsid w:val="00FB305E"/>
    <w:rsid w:val="00FB32BF"/>
    <w:rsid w:val="00FB4933"/>
    <w:rsid w:val="00FB4A77"/>
    <w:rsid w:val="00FB5AAC"/>
    <w:rsid w:val="00FB5C47"/>
    <w:rsid w:val="00FB6C64"/>
    <w:rsid w:val="00FB6FF5"/>
    <w:rsid w:val="00FB7057"/>
    <w:rsid w:val="00FB70E0"/>
    <w:rsid w:val="00FB73CA"/>
    <w:rsid w:val="00FB74A9"/>
    <w:rsid w:val="00FB7940"/>
    <w:rsid w:val="00FB79A3"/>
    <w:rsid w:val="00FC17BA"/>
    <w:rsid w:val="00FC276C"/>
    <w:rsid w:val="00FC29BE"/>
    <w:rsid w:val="00FC32BF"/>
    <w:rsid w:val="00FC3ABE"/>
    <w:rsid w:val="00FC4419"/>
    <w:rsid w:val="00FC45AB"/>
    <w:rsid w:val="00FC49F9"/>
    <w:rsid w:val="00FC5866"/>
    <w:rsid w:val="00FC5A80"/>
    <w:rsid w:val="00FC654F"/>
    <w:rsid w:val="00FC73D1"/>
    <w:rsid w:val="00FC7D3A"/>
    <w:rsid w:val="00FD05EC"/>
    <w:rsid w:val="00FD0C16"/>
    <w:rsid w:val="00FD2882"/>
    <w:rsid w:val="00FD3328"/>
    <w:rsid w:val="00FD39F7"/>
    <w:rsid w:val="00FD3A9A"/>
    <w:rsid w:val="00FD3BA4"/>
    <w:rsid w:val="00FD3D51"/>
    <w:rsid w:val="00FD3FA7"/>
    <w:rsid w:val="00FD4172"/>
    <w:rsid w:val="00FD5059"/>
    <w:rsid w:val="00FD5061"/>
    <w:rsid w:val="00FD5629"/>
    <w:rsid w:val="00FD5D5D"/>
    <w:rsid w:val="00FD5FED"/>
    <w:rsid w:val="00FD64DE"/>
    <w:rsid w:val="00FD6A15"/>
    <w:rsid w:val="00FD6D4F"/>
    <w:rsid w:val="00FD6E97"/>
    <w:rsid w:val="00FD7120"/>
    <w:rsid w:val="00FD788B"/>
    <w:rsid w:val="00FD7979"/>
    <w:rsid w:val="00FD7D9A"/>
    <w:rsid w:val="00FE00D4"/>
    <w:rsid w:val="00FE013E"/>
    <w:rsid w:val="00FE06D3"/>
    <w:rsid w:val="00FE0FED"/>
    <w:rsid w:val="00FE108D"/>
    <w:rsid w:val="00FE1C54"/>
    <w:rsid w:val="00FE1D9B"/>
    <w:rsid w:val="00FE367C"/>
    <w:rsid w:val="00FE4ED1"/>
    <w:rsid w:val="00FE4F75"/>
    <w:rsid w:val="00FE61CE"/>
    <w:rsid w:val="00FE7206"/>
    <w:rsid w:val="00FE7527"/>
    <w:rsid w:val="00FE76FE"/>
    <w:rsid w:val="00FE7A16"/>
    <w:rsid w:val="00FE7A7A"/>
    <w:rsid w:val="00FF0D68"/>
    <w:rsid w:val="00FF11FF"/>
    <w:rsid w:val="00FF1BF9"/>
    <w:rsid w:val="00FF1C57"/>
    <w:rsid w:val="00FF2AAE"/>
    <w:rsid w:val="00FF321A"/>
    <w:rsid w:val="00FF33AD"/>
    <w:rsid w:val="00FF343B"/>
    <w:rsid w:val="00FF37E6"/>
    <w:rsid w:val="00FF3994"/>
    <w:rsid w:val="00FF3C31"/>
    <w:rsid w:val="00FF4141"/>
    <w:rsid w:val="00FF45D4"/>
    <w:rsid w:val="00FF492B"/>
    <w:rsid w:val="00FF4AF3"/>
    <w:rsid w:val="00FF50A5"/>
    <w:rsid w:val="00FF6231"/>
    <w:rsid w:val="00FF634A"/>
    <w:rsid w:val="00FF640C"/>
    <w:rsid w:val="00FF6903"/>
    <w:rsid w:val="00FF713A"/>
    <w:rsid w:val="01EF572E"/>
    <w:rsid w:val="023F0A87"/>
    <w:rsid w:val="02E57CDF"/>
    <w:rsid w:val="02FE20CD"/>
    <w:rsid w:val="039B1947"/>
    <w:rsid w:val="03E31491"/>
    <w:rsid w:val="041B0A5C"/>
    <w:rsid w:val="045F303F"/>
    <w:rsid w:val="04684643"/>
    <w:rsid w:val="05B71FA9"/>
    <w:rsid w:val="05EC6528"/>
    <w:rsid w:val="060914B4"/>
    <w:rsid w:val="063D4CBA"/>
    <w:rsid w:val="06604E4C"/>
    <w:rsid w:val="06810789"/>
    <w:rsid w:val="071202E7"/>
    <w:rsid w:val="07E723EF"/>
    <w:rsid w:val="07FE2B6F"/>
    <w:rsid w:val="08253C58"/>
    <w:rsid w:val="084F5179"/>
    <w:rsid w:val="087D67FC"/>
    <w:rsid w:val="0885365D"/>
    <w:rsid w:val="089003ED"/>
    <w:rsid w:val="08962DA7"/>
    <w:rsid w:val="09000350"/>
    <w:rsid w:val="095B73E3"/>
    <w:rsid w:val="096D1D5A"/>
    <w:rsid w:val="09FD2EFE"/>
    <w:rsid w:val="0A4578BB"/>
    <w:rsid w:val="0AB15091"/>
    <w:rsid w:val="0AFA02DB"/>
    <w:rsid w:val="0B1D1B70"/>
    <w:rsid w:val="0B1D55F8"/>
    <w:rsid w:val="0BA006BB"/>
    <w:rsid w:val="0BAD326F"/>
    <w:rsid w:val="0C053EB4"/>
    <w:rsid w:val="0C2F21A2"/>
    <w:rsid w:val="0CF87B8D"/>
    <w:rsid w:val="0D470B14"/>
    <w:rsid w:val="0E2A646C"/>
    <w:rsid w:val="0EF43EAD"/>
    <w:rsid w:val="1139194B"/>
    <w:rsid w:val="115A1B44"/>
    <w:rsid w:val="11B26D50"/>
    <w:rsid w:val="11CF1B13"/>
    <w:rsid w:val="11FC5168"/>
    <w:rsid w:val="12465803"/>
    <w:rsid w:val="127128F3"/>
    <w:rsid w:val="129151CC"/>
    <w:rsid w:val="12A460C1"/>
    <w:rsid w:val="12C30C3D"/>
    <w:rsid w:val="12EA441C"/>
    <w:rsid w:val="131C2708"/>
    <w:rsid w:val="13925E00"/>
    <w:rsid w:val="13D701AD"/>
    <w:rsid w:val="13DF3855"/>
    <w:rsid w:val="14305E5E"/>
    <w:rsid w:val="15664AE6"/>
    <w:rsid w:val="161B669A"/>
    <w:rsid w:val="16CA1CAB"/>
    <w:rsid w:val="175E2CE2"/>
    <w:rsid w:val="17894A4B"/>
    <w:rsid w:val="18AD2173"/>
    <w:rsid w:val="18B2778A"/>
    <w:rsid w:val="19B260C7"/>
    <w:rsid w:val="19D63004"/>
    <w:rsid w:val="1A6C6FD6"/>
    <w:rsid w:val="1A967EBE"/>
    <w:rsid w:val="1B2A2CD8"/>
    <w:rsid w:val="1B6C00C4"/>
    <w:rsid w:val="1B9B61B6"/>
    <w:rsid w:val="1C7B3292"/>
    <w:rsid w:val="1CA373A1"/>
    <w:rsid w:val="1D6B7F07"/>
    <w:rsid w:val="1D795F19"/>
    <w:rsid w:val="1E0B5D9D"/>
    <w:rsid w:val="1E272254"/>
    <w:rsid w:val="1E336318"/>
    <w:rsid w:val="1E6A4C4C"/>
    <w:rsid w:val="1E7601ED"/>
    <w:rsid w:val="1ECB1A04"/>
    <w:rsid w:val="1EE203E4"/>
    <w:rsid w:val="1EFB31D4"/>
    <w:rsid w:val="1F2A4721"/>
    <w:rsid w:val="1F950F0E"/>
    <w:rsid w:val="20007812"/>
    <w:rsid w:val="200B5929"/>
    <w:rsid w:val="20370574"/>
    <w:rsid w:val="20722C6F"/>
    <w:rsid w:val="20765541"/>
    <w:rsid w:val="20C8677A"/>
    <w:rsid w:val="2164183D"/>
    <w:rsid w:val="21854D51"/>
    <w:rsid w:val="21A10EA0"/>
    <w:rsid w:val="22280ABD"/>
    <w:rsid w:val="22B20386"/>
    <w:rsid w:val="22F8048F"/>
    <w:rsid w:val="232A616E"/>
    <w:rsid w:val="23E74394"/>
    <w:rsid w:val="25334925"/>
    <w:rsid w:val="25DC0DBB"/>
    <w:rsid w:val="265E2CFF"/>
    <w:rsid w:val="266D2343"/>
    <w:rsid w:val="27A64343"/>
    <w:rsid w:val="28642123"/>
    <w:rsid w:val="29DB3E72"/>
    <w:rsid w:val="2A946CEF"/>
    <w:rsid w:val="2B6548B5"/>
    <w:rsid w:val="2C1F62D1"/>
    <w:rsid w:val="2C22032B"/>
    <w:rsid w:val="2C716146"/>
    <w:rsid w:val="2D32459D"/>
    <w:rsid w:val="2D856DC3"/>
    <w:rsid w:val="2D94105E"/>
    <w:rsid w:val="2D973E05"/>
    <w:rsid w:val="2E6C1D31"/>
    <w:rsid w:val="2E910F9C"/>
    <w:rsid w:val="2F0A66A0"/>
    <w:rsid w:val="2FA47241"/>
    <w:rsid w:val="2FB41BE1"/>
    <w:rsid w:val="2FE31B3C"/>
    <w:rsid w:val="305B1982"/>
    <w:rsid w:val="30A027B7"/>
    <w:rsid w:val="30CB71E3"/>
    <w:rsid w:val="30F77FD8"/>
    <w:rsid w:val="31E00383"/>
    <w:rsid w:val="31E74D13"/>
    <w:rsid w:val="32074A52"/>
    <w:rsid w:val="326C2B28"/>
    <w:rsid w:val="326E4B18"/>
    <w:rsid w:val="32A55811"/>
    <w:rsid w:val="337C6572"/>
    <w:rsid w:val="33F374F1"/>
    <w:rsid w:val="34443AB5"/>
    <w:rsid w:val="34652711"/>
    <w:rsid w:val="34931DC5"/>
    <w:rsid w:val="34AB0137"/>
    <w:rsid w:val="34B54432"/>
    <w:rsid w:val="34BF51F2"/>
    <w:rsid w:val="34D523DE"/>
    <w:rsid w:val="34F43BD5"/>
    <w:rsid w:val="35832941"/>
    <w:rsid w:val="35A37AA1"/>
    <w:rsid w:val="36C50DF1"/>
    <w:rsid w:val="36E36908"/>
    <w:rsid w:val="36EF1119"/>
    <w:rsid w:val="374B5143"/>
    <w:rsid w:val="37D50947"/>
    <w:rsid w:val="37E1109A"/>
    <w:rsid w:val="3843545B"/>
    <w:rsid w:val="38F44D1F"/>
    <w:rsid w:val="392D2A94"/>
    <w:rsid w:val="39F5535E"/>
    <w:rsid w:val="39FE7083"/>
    <w:rsid w:val="3A466A7B"/>
    <w:rsid w:val="3A8D72B7"/>
    <w:rsid w:val="3ACF11D7"/>
    <w:rsid w:val="3C0D6158"/>
    <w:rsid w:val="3C364BD2"/>
    <w:rsid w:val="3C65032A"/>
    <w:rsid w:val="3C826FD0"/>
    <w:rsid w:val="3CE8111C"/>
    <w:rsid w:val="3CF641AF"/>
    <w:rsid w:val="3D0830CE"/>
    <w:rsid w:val="3D615D36"/>
    <w:rsid w:val="3D622CCB"/>
    <w:rsid w:val="3D9848F1"/>
    <w:rsid w:val="3E0B0D27"/>
    <w:rsid w:val="3E546BCB"/>
    <w:rsid w:val="3F512FA9"/>
    <w:rsid w:val="3F80388E"/>
    <w:rsid w:val="3F8769CB"/>
    <w:rsid w:val="3FDF2EC6"/>
    <w:rsid w:val="3FF12E5A"/>
    <w:rsid w:val="3FFA5C38"/>
    <w:rsid w:val="40150F02"/>
    <w:rsid w:val="40357B2D"/>
    <w:rsid w:val="40AF442B"/>
    <w:rsid w:val="40C41559"/>
    <w:rsid w:val="4149735F"/>
    <w:rsid w:val="416C5E78"/>
    <w:rsid w:val="41DA2B3F"/>
    <w:rsid w:val="42402E61"/>
    <w:rsid w:val="42CE24B3"/>
    <w:rsid w:val="42E44F0D"/>
    <w:rsid w:val="433C7ACC"/>
    <w:rsid w:val="43457B99"/>
    <w:rsid w:val="43726059"/>
    <w:rsid w:val="43955829"/>
    <w:rsid w:val="43ED762B"/>
    <w:rsid w:val="441445A5"/>
    <w:rsid w:val="441F2343"/>
    <w:rsid w:val="451E2121"/>
    <w:rsid w:val="452C3ABA"/>
    <w:rsid w:val="45C443A8"/>
    <w:rsid w:val="45CF4C28"/>
    <w:rsid w:val="45EA505A"/>
    <w:rsid w:val="465869CB"/>
    <w:rsid w:val="465C4507"/>
    <w:rsid w:val="47051A26"/>
    <w:rsid w:val="476A10AC"/>
    <w:rsid w:val="477379D7"/>
    <w:rsid w:val="4795234F"/>
    <w:rsid w:val="4819662E"/>
    <w:rsid w:val="48384A85"/>
    <w:rsid w:val="48455675"/>
    <w:rsid w:val="48874BF8"/>
    <w:rsid w:val="48D433F2"/>
    <w:rsid w:val="493C4382"/>
    <w:rsid w:val="497E78B1"/>
    <w:rsid w:val="4B1C1A05"/>
    <w:rsid w:val="4C2C4B82"/>
    <w:rsid w:val="4C4B5B52"/>
    <w:rsid w:val="4C644DE4"/>
    <w:rsid w:val="4DA370C6"/>
    <w:rsid w:val="4DC024C7"/>
    <w:rsid w:val="4DE4148C"/>
    <w:rsid w:val="4E3B53D7"/>
    <w:rsid w:val="4E671635"/>
    <w:rsid w:val="4F6D483F"/>
    <w:rsid w:val="4FB21842"/>
    <w:rsid w:val="4FD70744"/>
    <w:rsid w:val="5033596E"/>
    <w:rsid w:val="50A83C61"/>
    <w:rsid w:val="52367BE2"/>
    <w:rsid w:val="52B07B8F"/>
    <w:rsid w:val="52D51CAA"/>
    <w:rsid w:val="52D95337"/>
    <w:rsid w:val="52DB4C79"/>
    <w:rsid w:val="536D782E"/>
    <w:rsid w:val="53A26E5C"/>
    <w:rsid w:val="54996485"/>
    <w:rsid w:val="5592206E"/>
    <w:rsid w:val="562C577E"/>
    <w:rsid w:val="56520719"/>
    <w:rsid w:val="567A298E"/>
    <w:rsid w:val="568B216D"/>
    <w:rsid w:val="56C02A96"/>
    <w:rsid w:val="571903F8"/>
    <w:rsid w:val="57455A7D"/>
    <w:rsid w:val="575C2093"/>
    <w:rsid w:val="57DA7B88"/>
    <w:rsid w:val="57E04A72"/>
    <w:rsid w:val="5905549B"/>
    <w:rsid w:val="59194514"/>
    <w:rsid w:val="5919648E"/>
    <w:rsid w:val="599E6158"/>
    <w:rsid w:val="59E407B8"/>
    <w:rsid w:val="5A0E3B19"/>
    <w:rsid w:val="5A800F63"/>
    <w:rsid w:val="5B4C509D"/>
    <w:rsid w:val="5B98317F"/>
    <w:rsid w:val="5C0276AD"/>
    <w:rsid w:val="5C1D5B47"/>
    <w:rsid w:val="5D417BA8"/>
    <w:rsid w:val="5DA86032"/>
    <w:rsid w:val="5E0250EF"/>
    <w:rsid w:val="5E343D6A"/>
    <w:rsid w:val="5EB7151D"/>
    <w:rsid w:val="5F5C109D"/>
    <w:rsid w:val="5F751F44"/>
    <w:rsid w:val="60015D41"/>
    <w:rsid w:val="605E23F2"/>
    <w:rsid w:val="60937992"/>
    <w:rsid w:val="609702AE"/>
    <w:rsid w:val="60EA4B93"/>
    <w:rsid w:val="614A0FF7"/>
    <w:rsid w:val="617C5500"/>
    <w:rsid w:val="61B769E1"/>
    <w:rsid w:val="61D5316E"/>
    <w:rsid w:val="61E94175"/>
    <w:rsid w:val="6226015E"/>
    <w:rsid w:val="624C1640"/>
    <w:rsid w:val="62563156"/>
    <w:rsid w:val="631D1EC8"/>
    <w:rsid w:val="63604CB9"/>
    <w:rsid w:val="63732C3E"/>
    <w:rsid w:val="63786307"/>
    <w:rsid w:val="63A81D02"/>
    <w:rsid w:val="63B53257"/>
    <w:rsid w:val="63E762F9"/>
    <w:rsid w:val="63F42180"/>
    <w:rsid w:val="641066DF"/>
    <w:rsid w:val="64303CEE"/>
    <w:rsid w:val="645440C9"/>
    <w:rsid w:val="65004FA3"/>
    <w:rsid w:val="65CA4E72"/>
    <w:rsid w:val="65E16585"/>
    <w:rsid w:val="65ED5B8B"/>
    <w:rsid w:val="668140F3"/>
    <w:rsid w:val="669E2A8C"/>
    <w:rsid w:val="66D76592"/>
    <w:rsid w:val="67692D67"/>
    <w:rsid w:val="676D394E"/>
    <w:rsid w:val="67E57164"/>
    <w:rsid w:val="6850354E"/>
    <w:rsid w:val="6854080E"/>
    <w:rsid w:val="68C24AB1"/>
    <w:rsid w:val="68DA14FC"/>
    <w:rsid w:val="69017C28"/>
    <w:rsid w:val="69795DEF"/>
    <w:rsid w:val="69802A62"/>
    <w:rsid w:val="6A3D083B"/>
    <w:rsid w:val="6A522375"/>
    <w:rsid w:val="6A662A04"/>
    <w:rsid w:val="6ACA15B1"/>
    <w:rsid w:val="6B00180F"/>
    <w:rsid w:val="6BD93D17"/>
    <w:rsid w:val="6C305B70"/>
    <w:rsid w:val="6C914C22"/>
    <w:rsid w:val="6CC748C8"/>
    <w:rsid w:val="6D233E90"/>
    <w:rsid w:val="6D417909"/>
    <w:rsid w:val="6DC62555"/>
    <w:rsid w:val="6E5B49FB"/>
    <w:rsid w:val="6ED76777"/>
    <w:rsid w:val="6F092F34"/>
    <w:rsid w:val="6F974B7A"/>
    <w:rsid w:val="6FA23DA0"/>
    <w:rsid w:val="6FD20CED"/>
    <w:rsid w:val="70101E48"/>
    <w:rsid w:val="709A3647"/>
    <w:rsid w:val="70D34D1C"/>
    <w:rsid w:val="71E879A4"/>
    <w:rsid w:val="72355744"/>
    <w:rsid w:val="72AC21C8"/>
    <w:rsid w:val="72E74AAF"/>
    <w:rsid w:val="72FF4428"/>
    <w:rsid w:val="73284A98"/>
    <w:rsid w:val="737C0AB1"/>
    <w:rsid w:val="73830FF7"/>
    <w:rsid w:val="73A83704"/>
    <w:rsid w:val="73E77BBD"/>
    <w:rsid w:val="73FC578C"/>
    <w:rsid w:val="740D2C3B"/>
    <w:rsid w:val="74510D7A"/>
    <w:rsid w:val="747A5C59"/>
    <w:rsid w:val="74834B43"/>
    <w:rsid w:val="7518006F"/>
    <w:rsid w:val="752844B3"/>
    <w:rsid w:val="752B003D"/>
    <w:rsid w:val="753B1B7C"/>
    <w:rsid w:val="760836BA"/>
    <w:rsid w:val="763224E5"/>
    <w:rsid w:val="76CC49BA"/>
    <w:rsid w:val="77DC2F9F"/>
    <w:rsid w:val="785632FC"/>
    <w:rsid w:val="788E3BC0"/>
    <w:rsid w:val="78E5728C"/>
    <w:rsid w:val="79342C66"/>
    <w:rsid w:val="79E87A8A"/>
    <w:rsid w:val="7A0A691E"/>
    <w:rsid w:val="7A460C55"/>
    <w:rsid w:val="7A86430F"/>
    <w:rsid w:val="7ACF47A6"/>
    <w:rsid w:val="7AE446F6"/>
    <w:rsid w:val="7B0E3828"/>
    <w:rsid w:val="7B3D4DDC"/>
    <w:rsid w:val="7B7C6A2F"/>
    <w:rsid w:val="7C1F52BA"/>
    <w:rsid w:val="7C633120"/>
    <w:rsid w:val="7CAD7C9A"/>
    <w:rsid w:val="7D885FD8"/>
    <w:rsid w:val="7DC66335"/>
    <w:rsid w:val="7DF16E2A"/>
    <w:rsid w:val="7E4761DE"/>
    <w:rsid w:val="7E600C3C"/>
    <w:rsid w:val="7E652492"/>
    <w:rsid w:val="7F5310C5"/>
    <w:rsid w:val="7FC34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z w:val="24"/>
      <w:lang w:val="en-US" w:eastAsia="zh-CN" w:bidi="ar-SA"/>
    </w:rPr>
  </w:style>
  <w:style w:type="paragraph" w:styleId="3">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57"/>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1"/>
    <w:unhideWhenUsed/>
    <w:qFormat/>
    <w:uiPriority w:val="9"/>
    <w:pPr>
      <w:keepNext/>
      <w:keepLines/>
      <w:spacing w:line="372" w:lineRule="auto"/>
      <w:outlineLvl w:val="3"/>
    </w:pPr>
    <w:rPr>
      <w:rFonts w:ascii="Arial" w:hAnsi="Arial" w:eastAsia="黑体"/>
      <w:b/>
      <w:sz w:val="28"/>
    </w:rPr>
  </w:style>
  <w:style w:type="paragraph" w:styleId="7">
    <w:name w:val="heading 5"/>
    <w:basedOn w:val="1"/>
    <w:next w:val="1"/>
    <w:link w:val="63"/>
    <w:unhideWhenUsed/>
    <w:qFormat/>
    <w:uiPriority w:val="9"/>
    <w:pPr>
      <w:keepNext/>
      <w:keepLines/>
      <w:spacing w:before="280" w:after="290" w:line="376"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spacing w:before="120" w:after="120"/>
      <w:jc w:val="left"/>
    </w:pPr>
    <w:rPr>
      <w:b/>
      <w:bCs/>
      <w:caps/>
      <w:color w:val="auto"/>
    </w:rPr>
  </w:style>
  <w:style w:type="paragraph" w:styleId="8">
    <w:name w:val="toc 7"/>
    <w:basedOn w:val="1"/>
    <w:next w:val="1"/>
    <w:unhideWhenUsed/>
    <w:qFormat/>
    <w:uiPriority w:val="39"/>
    <w:pPr>
      <w:ind w:left="1260"/>
      <w:jc w:val="left"/>
    </w:pPr>
    <w:rPr>
      <w:sz w:val="18"/>
      <w:szCs w:val="18"/>
    </w:rPr>
  </w:style>
  <w:style w:type="paragraph" w:styleId="9">
    <w:name w:val="Document Map"/>
    <w:basedOn w:val="1"/>
    <w:link w:val="52"/>
    <w:semiHidden/>
    <w:unhideWhenUsed/>
    <w:qFormat/>
    <w:uiPriority w:val="99"/>
    <w:rPr>
      <w:sz w:val="18"/>
      <w:szCs w:val="18"/>
    </w:rPr>
  </w:style>
  <w:style w:type="paragraph" w:styleId="10">
    <w:name w:val="annotation text"/>
    <w:basedOn w:val="1"/>
    <w:link w:val="43"/>
    <w:unhideWhenUsed/>
    <w:qFormat/>
    <w:uiPriority w:val="99"/>
    <w:pPr>
      <w:jc w:val="left"/>
    </w:pPr>
  </w:style>
  <w:style w:type="paragraph" w:styleId="11">
    <w:name w:val="Body Text"/>
    <w:basedOn w:val="1"/>
    <w:next w:val="1"/>
    <w:link w:val="60"/>
    <w:qFormat/>
    <w:uiPriority w:val="99"/>
    <w:pPr>
      <w:spacing w:line="420" w:lineRule="auto"/>
    </w:pPr>
  </w:style>
  <w:style w:type="paragraph" w:styleId="12">
    <w:name w:val="Body Text Indent"/>
    <w:basedOn w:val="1"/>
    <w:next w:val="13"/>
    <w:unhideWhenUsed/>
    <w:qFormat/>
    <w:uiPriority w:val="0"/>
    <w:pPr>
      <w:spacing w:after="120"/>
      <w:ind w:left="420" w:leftChars="200"/>
    </w:pPr>
  </w:style>
  <w:style w:type="paragraph" w:styleId="13">
    <w:name w:val="Body Text First Indent 2"/>
    <w:basedOn w:val="12"/>
    <w:next w:val="1"/>
    <w:unhideWhenUsed/>
    <w:qFormat/>
    <w:uiPriority w:val="0"/>
    <w:pPr>
      <w:widowControl/>
      <w:spacing w:after="0" w:line="360" w:lineRule="auto"/>
      <w:ind w:firstLine="200" w:firstLineChars="200"/>
      <w:jc w:val="left"/>
    </w:pPr>
    <w:rPr>
      <w:rFonts w:ascii="Times New Roman" w:hAnsi="Times New Roman" w:eastAsia="宋体" w:cs="Times New Roman"/>
      <w:kern w:val="0"/>
      <w:sz w:val="20"/>
      <w:szCs w:val="24"/>
      <w:lang w:eastAsia="en-US"/>
    </w:rPr>
  </w:style>
  <w:style w:type="paragraph" w:styleId="14">
    <w:name w:val="toc 5"/>
    <w:basedOn w:val="1"/>
    <w:next w:val="1"/>
    <w:unhideWhenUsed/>
    <w:qFormat/>
    <w:uiPriority w:val="39"/>
    <w:pPr>
      <w:ind w:left="840"/>
      <w:jc w:val="left"/>
    </w:pPr>
    <w:rPr>
      <w:sz w:val="18"/>
      <w:szCs w:val="18"/>
    </w:rPr>
  </w:style>
  <w:style w:type="paragraph" w:styleId="15">
    <w:name w:val="toc 3"/>
    <w:basedOn w:val="1"/>
    <w:next w:val="1"/>
    <w:unhideWhenUsed/>
    <w:qFormat/>
    <w:uiPriority w:val="39"/>
    <w:pPr>
      <w:ind w:left="420"/>
      <w:jc w:val="left"/>
    </w:pPr>
    <w:rPr>
      <w:i/>
      <w:iCs/>
      <w:sz w:val="20"/>
    </w:rPr>
  </w:style>
  <w:style w:type="paragraph" w:styleId="16">
    <w:name w:val="Plain Text"/>
    <w:basedOn w:val="1"/>
    <w:link w:val="49"/>
    <w:semiHidden/>
    <w:unhideWhenUsed/>
    <w:qFormat/>
    <w:uiPriority w:val="99"/>
    <w:rPr>
      <w:rFonts w:hAnsi="Courier New" w:cs="Courier New"/>
      <w:szCs w:val="21"/>
    </w:rPr>
  </w:style>
  <w:style w:type="paragraph" w:styleId="17">
    <w:name w:val="toc 8"/>
    <w:basedOn w:val="1"/>
    <w:next w:val="1"/>
    <w:unhideWhenUsed/>
    <w:qFormat/>
    <w:uiPriority w:val="39"/>
    <w:pPr>
      <w:ind w:left="1470"/>
      <w:jc w:val="left"/>
    </w:pPr>
    <w:rPr>
      <w:sz w:val="18"/>
      <w:szCs w:val="18"/>
    </w:rPr>
  </w:style>
  <w:style w:type="paragraph" w:styleId="18">
    <w:name w:val="Date"/>
    <w:basedOn w:val="1"/>
    <w:next w:val="1"/>
    <w:link w:val="47"/>
    <w:semiHidden/>
    <w:unhideWhenUsed/>
    <w:qFormat/>
    <w:uiPriority w:val="99"/>
    <w:pPr>
      <w:ind w:left="100" w:leftChars="2500"/>
    </w:pPr>
  </w:style>
  <w:style w:type="paragraph" w:styleId="19">
    <w:name w:val="Balloon Text"/>
    <w:basedOn w:val="1"/>
    <w:link w:val="42"/>
    <w:semiHidden/>
    <w:unhideWhenUsed/>
    <w:qFormat/>
    <w:uiPriority w:val="99"/>
    <w:rPr>
      <w:sz w:val="18"/>
      <w:szCs w:val="18"/>
    </w:rPr>
  </w:style>
  <w:style w:type="paragraph" w:styleId="20">
    <w:name w:val="footer"/>
    <w:basedOn w:val="1"/>
    <w:next w:val="21"/>
    <w:link w:val="38"/>
    <w:unhideWhenUsed/>
    <w:qFormat/>
    <w:uiPriority w:val="99"/>
    <w:pPr>
      <w:tabs>
        <w:tab w:val="center" w:pos="4153"/>
        <w:tab w:val="right" w:pos="8306"/>
      </w:tabs>
      <w:snapToGrid w:val="0"/>
      <w:jc w:val="left"/>
    </w:pPr>
    <w:rPr>
      <w:sz w:val="18"/>
      <w:szCs w:val="18"/>
    </w:rPr>
  </w:style>
  <w:style w:type="paragraph" w:customStyle="1" w:styleId="21">
    <w:name w:val="toc 21"/>
    <w:next w:val="1"/>
    <w:qFormat/>
    <w:uiPriority w:val="0"/>
    <w:pPr>
      <w:wordWrap w:val="0"/>
      <w:ind w:left="425"/>
      <w:jc w:val="both"/>
    </w:pPr>
    <w:rPr>
      <w:rFonts w:ascii="Calibri" w:hAnsi="Calibri" w:eastAsia="宋体" w:cs="Times New Roman"/>
      <w:sz w:val="21"/>
      <w:lang w:val="en-US" w:eastAsia="zh-CN" w:bidi="ar-SA"/>
    </w:rPr>
  </w:style>
  <w:style w:type="paragraph" w:styleId="22">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4"/>
    <w:basedOn w:val="1"/>
    <w:next w:val="6"/>
    <w:unhideWhenUsed/>
    <w:qFormat/>
    <w:uiPriority w:val="39"/>
    <w:pPr>
      <w:ind w:left="630"/>
      <w:jc w:val="left"/>
    </w:pPr>
    <w:rPr>
      <w:sz w:val="18"/>
      <w:szCs w:val="18"/>
    </w:rPr>
  </w:style>
  <w:style w:type="paragraph" w:styleId="24">
    <w:name w:val="toc 6"/>
    <w:basedOn w:val="1"/>
    <w:next w:val="1"/>
    <w:unhideWhenUsed/>
    <w:qFormat/>
    <w:uiPriority w:val="39"/>
    <w:pPr>
      <w:ind w:left="1050"/>
      <w:jc w:val="left"/>
    </w:pPr>
    <w:rPr>
      <w:sz w:val="18"/>
      <w:szCs w:val="18"/>
    </w:rPr>
  </w:style>
  <w:style w:type="paragraph" w:styleId="25">
    <w:name w:val="toc 2"/>
    <w:basedOn w:val="26"/>
    <w:next w:val="4"/>
    <w:link w:val="61"/>
    <w:unhideWhenUsed/>
    <w:qFormat/>
    <w:uiPriority w:val="39"/>
    <w:pPr>
      <w:topLinePunct/>
      <w:autoSpaceDN w:val="0"/>
      <w:adjustRightInd w:val="0"/>
      <w:snapToGrid w:val="0"/>
      <w:spacing w:before="40" w:after="40"/>
      <w:ind w:firstLine="200" w:firstLineChars="200"/>
      <w:jc w:val="left"/>
    </w:pPr>
    <w:rPr>
      <w:bCs/>
      <w:i w:val="0"/>
      <w:iCs w:val="0"/>
      <w:szCs w:val="32"/>
    </w:rPr>
  </w:style>
  <w:style w:type="paragraph" w:styleId="26">
    <w:name w:val="Quote"/>
    <w:basedOn w:val="1"/>
    <w:next w:val="1"/>
    <w:link w:val="39"/>
    <w:qFormat/>
    <w:uiPriority w:val="29"/>
    <w:rPr>
      <w:i/>
      <w:iCs/>
      <w:color w:val="000000" w:themeColor="text1"/>
      <w14:textFill>
        <w14:solidFill>
          <w14:schemeClr w14:val="tx1"/>
        </w14:solidFill>
      </w14:textFill>
    </w:rPr>
  </w:style>
  <w:style w:type="paragraph" w:styleId="27">
    <w:name w:val="toc 9"/>
    <w:basedOn w:val="1"/>
    <w:next w:val="1"/>
    <w:unhideWhenUsed/>
    <w:qFormat/>
    <w:uiPriority w:val="39"/>
    <w:pPr>
      <w:ind w:left="1680"/>
      <w:jc w:val="left"/>
    </w:pPr>
    <w:rPr>
      <w:sz w:val="18"/>
      <w:szCs w:val="18"/>
    </w:rPr>
  </w:style>
  <w:style w:type="paragraph" w:styleId="28">
    <w:name w:val="Normal (Web)"/>
    <w:basedOn w:val="1"/>
    <w:unhideWhenUsed/>
    <w:qFormat/>
    <w:uiPriority w:val="99"/>
    <w:pPr>
      <w:widowControl/>
      <w:spacing w:before="100" w:beforeAutospacing="1" w:after="100" w:afterAutospacing="1"/>
      <w:jc w:val="left"/>
    </w:pPr>
    <w:rPr>
      <w:rFonts w:cs="宋体"/>
      <w:szCs w:val="24"/>
    </w:rPr>
  </w:style>
  <w:style w:type="paragraph" w:styleId="29">
    <w:name w:val="annotation subject"/>
    <w:basedOn w:val="10"/>
    <w:next w:val="10"/>
    <w:link w:val="46"/>
    <w:semiHidden/>
    <w:unhideWhenUsed/>
    <w:qFormat/>
    <w:uiPriority w:val="99"/>
    <w:rPr>
      <w:b/>
      <w:bCs/>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FollowedHyperlink"/>
    <w:basedOn w:val="32"/>
    <w:semiHidden/>
    <w:unhideWhenUsed/>
    <w:qFormat/>
    <w:uiPriority w:val="99"/>
    <w:rPr>
      <w:color w:val="800080" w:themeColor="followedHyperlink"/>
      <w:u w:val="single"/>
      <w14:textFill>
        <w14:solidFill>
          <w14:schemeClr w14:val="folHlink"/>
        </w14:solidFill>
      </w14:textFill>
    </w:rPr>
  </w:style>
  <w:style w:type="character" w:styleId="34">
    <w:name w:val="Emphasis"/>
    <w:basedOn w:val="32"/>
    <w:qFormat/>
    <w:uiPriority w:val="20"/>
    <w:rPr>
      <w:i/>
      <w:iCs/>
    </w:rPr>
  </w:style>
  <w:style w:type="character" w:styleId="35">
    <w:name w:val="Hyperlink"/>
    <w:basedOn w:val="32"/>
    <w:unhideWhenUsed/>
    <w:qFormat/>
    <w:uiPriority w:val="99"/>
    <w:rPr>
      <w:rFonts w:eastAsia="宋体"/>
      <w:color w:val="0000FF" w:themeColor="hyperlink"/>
      <w:u w:val="none"/>
      <w14:textFill>
        <w14:solidFill>
          <w14:schemeClr w14:val="hlink"/>
        </w14:solidFill>
      </w14:textFill>
    </w:rPr>
  </w:style>
  <w:style w:type="character" w:styleId="36">
    <w:name w:val="annotation reference"/>
    <w:qFormat/>
    <w:uiPriority w:val="99"/>
    <w:rPr>
      <w:sz w:val="21"/>
    </w:rPr>
  </w:style>
  <w:style w:type="character" w:customStyle="1" w:styleId="37">
    <w:name w:val="页眉 Char"/>
    <w:basedOn w:val="32"/>
    <w:link w:val="22"/>
    <w:qFormat/>
    <w:uiPriority w:val="99"/>
    <w:rPr>
      <w:sz w:val="18"/>
      <w:szCs w:val="18"/>
    </w:rPr>
  </w:style>
  <w:style w:type="character" w:customStyle="1" w:styleId="38">
    <w:name w:val="页脚 Char"/>
    <w:basedOn w:val="32"/>
    <w:link w:val="20"/>
    <w:qFormat/>
    <w:uiPriority w:val="99"/>
    <w:rPr>
      <w:sz w:val="18"/>
      <w:szCs w:val="18"/>
    </w:rPr>
  </w:style>
  <w:style w:type="character" w:customStyle="1" w:styleId="39">
    <w:name w:val="引用 Char"/>
    <w:basedOn w:val="32"/>
    <w:link w:val="26"/>
    <w:qFormat/>
    <w:uiPriority w:val="29"/>
    <w:rPr>
      <w:i/>
      <w:iCs/>
      <w:color w:val="000000" w:themeColor="text1"/>
      <w14:textFill>
        <w14:solidFill>
          <w14:schemeClr w14:val="tx1"/>
        </w14:solidFill>
      </w14:textFill>
    </w:rPr>
  </w:style>
  <w:style w:type="character" w:customStyle="1" w:styleId="40">
    <w:name w:val="标题 2 Char"/>
    <w:basedOn w:val="32"/>
    <w:link w:val="4"/>
    <w:qFormat/>
    <w:uiPriority w:val="9"/>
    <w:rPr>
      <w:rFonts w:asciiTheme="majorHAnsi" w:hAnsiTheme="majorHAnsi" w:eastAsiaTheme="majorEastAsia" w:cstheme="majorBidi"/>
      <w:b/>
      <w:bCs/>
      <w:sz w:val="32"/>
      <w:szCs w:val="32"/>
    </w:rPr>
  </w:style>
  <w:style w:type="character" w:customStyle="1" w:styleId="41">
    <w:name w:val="标题 1 Char"/>
    <w:basedOn w:val="32"/>
    <w:link w:val="3"/>
    <w:qFormat/>
    <w:uiPriority w:val="9"/>
    <w:rPr>
      <w:b/>
      <w:bCs/>
      <w:kern w:val="44"/>
      <w:sz w:val="44"/>
      <w:szCs w:val="44"/>
    </w:rPr>
  </w:style>
  <w:style w:type="character" w:customStyle="1" w:styleId="42">
    <w:name w:val="批注框文本 Char"/>
    <w:basedOn w:val="32"/>
    <w:link w:val="19"/>
    <w:semiHidden/>
    <w:qFormat/>
    <w:uiPriority w:val="99"/>
    <w:rPr>
      <w:sz w:val="18"/>
      <w:szCs w:val="18"/>
    </w:rPr>
  </w:style>
  <w:style w:type="character" w:customStyle="1" w:styleId="43">
    <w:name w:val="批注文字 Char"/>
    <w:basedOn w:val="32"/>
    <w:link w:val="10"/>
    <w:qFormat/>
    <w:uiPriority w:val="99"/>
  </w:style>
  <w:style w:type="paragraph" w:styleId="44">
    <w:name w:val="List Paragraph"/>
    <w:basedOn w:val="1"/>
    <w:link w:val="45"/>
    <w:qFormat/>
    <w:uiPriority w:val="34"/>
    <w:pPr>
      <w:ind w:firstLine="420" w:firstLineChars="200"/>
    </w:pPr>
  </w:style>
  <w:style w:type="character" w:customStyle="1" w:styleId="45">
    <w:name w:val="列出段落 Char"/>
    <w:link w:val="44"/>
    <w:qFormat/>
    <w:uiPriority w:val="34"/>
  </w:style>
  <w:style w:type="character" w:customStyle="1" w:styleId="46">
    <w:name w:val="批注主题 Char"/>
    <w:basedOn w:val="43"/>
    <w:link w:val="29"/>
    <w:semiHidden/>
    <w:qFormat/>
    <w:uiPriority w:val="99"/>
    <w:rPr>
      <w:b/>
      <w:bCs/>
    </w:rPr>
  </w:style>
  <w:style w:type="character" w:customStyle="1" w:styleId="47">
    <w:name w:val="日期 Char"/>
    <w:basedOn w:val="32"/>
    <w:link w:val="18"/>
    <w:semiHidden/>
    <w:qFormat/>
    <w:uiPriority w:val="99"/>
  </w:style>
  <w:style w:type="paragraph" w:customStyle="1" w:styleId="4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9">
    <w:name w:val="纯文本 Char"/>
    <w:basedOn w:val="32"/>
    <w:link w:val="16"/>
    <w:semiHidden/>
    <w:qFormat/>
    <w:uiPriority w:val="99"/>
    <w:rPr>
      <w:rFonts w:ascii="宋体" w:hAnsi="Courier New" w:eastAsia="宋体" w:cs="Courier New"/>
      <w:szCs w:val="21"/>
    </w:rPr>
  </w:style>
  <w:style w:type="character" w:customStyle="1" w:styleId="50">
    <w:name w:val="明显强调1"/>
    <w:basedOn w:val="32"/>
    <w:qFormat/>
    <w:uiPriority w:val="21"/>
    <w:rPr>
      <w:b/>
      <w:bCs/>
      <w:i/>
      <w:iCs/>
      <w:color w:val="4F81BD" w:themeColor="accent1"/>
      <w14:textFill>
        <w14:solidFill>
          <w14:schemeClr w14:val="accent1"/>
        </w14:solidFill>
      </w14:textFill>
    </w:rPr>
  </w:style>
  <w:style w:type="character" w:customStyle="1" w:styleId="51">
    <w:name w:val="标题 4 Char"/>
    <w:link w:val="6"/>
    <w:qFormat/>
    <w:uiPriority w:val="0"/>
    <w:rPr>
      <w:rFonts w:ascii="Arial" w:hAnsi="Arial" w:eastAsia="黑体"/>
      <w:b/>
      <w:sz w:val="28"/>
    </w:rPr>
  </w:style>
  <w:style w:type="character" w:customStyle="1" w:styleId="52">
    <w:name w:val="文档结构图 Char"/>
    <w:basedOn w:val="32"/>
    <w:link w:val="9"/>
    <w:semiHidden/>
    <w:qFormat/>
    <w:uiPriority w:val="99"/>
    <w:rPr>
      <w:rFonts w:ascii="宋体" w:hAnsiTheme="minorHAnsi" w:cstheme="minorBidi"/>
      <w:kern w:val="2"/>
      <w:sz w:val="18"/>
      <w:szCs w:val="18"/>
    </w:rPr>
  </w:style>
  <w:style w:type="table" w:customStyle="1" w:styleId="53">
    <w:name w:val="网格型1"/>
    <w:basedOn w:val="30"/>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
    <w:name w:val="网格型2"/>
    <w:basedOn w:val="30"/>
    <w:qFormat/>
    <w:uiPriority w:val="59"/>
    <w:rPr>
      <w:rFonts w:eastAsiaTheme="minorEastAsi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5">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6">
    <w:name w:val="书籍标题1"/>
    <w:basedOn w:val="32"/>
    <w:qFormat/>
    <w:uiPriority w:val="33"/>
    <w:rPr>
      <w:b/>
      <w:bCs/>
      <w:smallCaps/>
      <w:spacing w:val="5"/>
    </w:rPr>
  </w:style>
  <w:style w:type="character" w:customStyle="1" w:styleId="57">
    <w:name w:val="标题 3 Char"/>
    <w:basedOn w:val="32"/>
    <w:link w:val="5"/>
    <w:qFormat/>
    <w:uiPriority w:val="9"/>
    <w:rPr>
      <w:rFonts w:asciiTheme="minorHAnsi" w:hAnsiTheme="minorHAnsi" w:eastAsiaTheme="minorEastAsia" w:cstheme="minorBidi"/>
      <w:b/>
      <w:bCs/>
      <w:kern w:val="2"/>
      <w:sz w:val="32"/>
      <w:szCs w:val="32"/>
    </w:rPr>
  </w:style>
  <w:style w:type="character" w:customStyle="1" w:styleId="58">
    <w:name w:val="不明显强调1"/>
    <w:basedOn w:val="32"/>
    <w:qFormat/>
    <w:uiPriority w:val="19"/>
    <w:rPr>
      <w:i/>
      <w:iCs/>
      <w:color w:val="808080" w:themeColor="text1" w:themeTint="80"/>
      <w14:textFill>
        <w14:solidFill>
          <w14:schemeClr w14:val="tx1">
            <w14:lumMod w14:val="50000"/>
            <w14:lumOff w14:val="50000"/>
          </w14:schemeClr>
        </w14:solidFill>
      </w14:textFill>
    </w:rPr>
  </w:style>
  <w:style w:type="paragraph" w:customStyle="1" w:styleId="59">
    <w:name w:val="样式1"/>
    <w:basedOn w:val="25"/>
    <w:link w:val="62"/>
    <w:qFormat/>
    <w:uiPriority w:val="0"/>
  </w:style>
  <w:style w:type="character" w:customStyle="1" w:styleId="60">
    <w:name w:val="正文文本 Char"/>
    <w:basedOn w:val="32"/>
    <w:link w:val="11"/>
    <w:qFormat/>
    <w:uiPriority w:val="99"/>
    <w:rPr>
      <w:rFonts w:asciiTheme="minorHAnsi" w:hAnsiTheme="minorHAnsi" w:eastAsiaTheme="minorEastAsia" w:cstheme="minorBidi"/>
      <w:kern w:val="2"/>
      <w:sz w:val="24"/>
      <w:szCs w:val="22"/>
    </w:rPr>
  </w:style>
  <w:style w:type="character" w:customStyle="1" w:styleId="61">
    <w:name w:val="目录 2 Char"/>
    <w:basedOn w:val="39"/>
    <w:link w:val="25"/>
    <w:qFormat/>
    <w:uiPriority w:val="39"/>
    <w:rPr>
      <w:bCs/>
      <w:i w:val="0"/>
      <w:iCs w:val="0"/>
      <w:color w:val="000000" w:themeColor="text1"/>
      <w:szCs w:val="32"/>
      <w14:textFill>
        <w14:solidFill>
          <w14:schemeClr w14:val="tx1"/>
        </w14:solidFill>
      </w14:textFill>
    </w:rPr>
  </w:style>
  <w:style w:type="character" w:customStyle="1" w:styleId="62">
    <w:name w:val="样式1 Char"/>
    <w:basedOn w:val="61"/>
    <w:link w:val="59"/>
    <w:qFormat/>
    <w:uiPriority w:val="0"/>
    <w:rPr>
      <w:rFonts w:ascii="黑体" w:hAnsi="黑体" w:eastAsiaTheme="minorEastAsia" w:cstheme="minorBidi"/>
      <w:color w:val="000000" w:themeColor="text1"/>
      <w:kern w:val="2"/>
      <w:sz w:val="24"/>
      <w:szCs w:val="22"/>
      <w:lang w:val="zh-CN"/>
      <w14:textFill>
        <w14:solidFill>
          <w14:schemeClr w14:val="tx1"/>
        </w14:solidFill>
      </w14:textFill>
    </w:rPr>
  </w:style>
  <w:style w:type="character" w:customStyle="1" w:styleId="63">
    <w:name w:val="标题 5 Char"/>
    <w:basedOn w:val="32"/>
    <w:link w:val="7"/>
    <w:qFormat/>
    <w:uiPriority w:val="9"/>
    <w:rPr>
      <w:rFonts w:asciiTheme="minorHAnsi" w:hAnsiTheme="minorHAnsi" w:eastAsiaTheme="minorEastAsia" w:cstheme="minorBidi"/>
      <w:b/>
      <w:bCs/>
      <w:kern w:val="2"/>
      <w:sz w:val="28"/>
      <w:szCs w:val="28"/>
    </w:rPr>
  </w:style>
  <w:style w:type="paragraph" w:customStyle="1" w:styleId="64">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rPr>
  </w:style>
  <w:style w:type="paragraph" w:customStyle="1" w:styleId="65">
    <w:name w:val="Default"/>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EC07838-F302-465D-81E8-FC3A01F257F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77</Pages>
  <Words>5056</Words>
  <Characters>5906</Characters>
  <Lines>324</Lines>
  <Paragraphs>91</Paragraphs>
  <TotalTime>3</TotalTime>
  <ScaleCrop>false</ScaleCrop>
  <LinksUpToDate>false</LinksUpToDate>
  <CharactersWithSpaces>6375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2022-10-21T08:17:00Z</dcterms:created>
  <dc:creator>502-2钱进</dc:creator>
  <cp:lastModifiedBy>Zippo_MM</cp:lastModifiedBy>
  <cp:lastPrinted>2023-01-28T08:12:00Z</cp:lastPrinted>
  <dcterms:modified xsi:type="dcterms:W3CDTF">2025-04-16T08:34:06Z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7944467E573A42F591A3713C0D429415</vt:lpwstr>
  </property>
  <property fmtid="{D5CDD505-2E9C-101B-9397-08002B2CF9AE}" pid="4" name="KSOTemplateDocerSaveRecord">
    <vt:lpwstr>eyJoZGlkIjoiYTAxMjg4MjYzZDg2NzM1MGZlNTdiZTI1M2FjZTQxNGQiLCJ1c2VySWQiOiIyNTE2Mjk1NjQifQ==</vt:lpwstr>
  </property>
</Properties>
</file>