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lang w:val="en-US" w:eastAsia="zh-CN"/>
        </w:rPr>
        <w:t xml:space="preserve"> 随县县</w:t>
      </w:r>
      <w:r>
        <w:rPr>
          <w:rFonts w:hint="eastAsia" w:ascii="黑体" w:hAnsi="黑体" w:eastAsia="黑体" w:cs="黑体"/>
          <w:b/>
          <w:bCs/>
          <w:color w:val="auto"/>
          <w:sz w:val="84"/>
          <w:szCs w:val="84"/>
        </w:rPr>
        <w:t>级政府采购</w:t>
      </w: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rPr>
        <w:t>竞争性磋商文件</w:t>
      </w:r>
    </w:p>
    <w:p>
      <w:pPr>
        <w:pStyle w:val="17"/>
        <w:keepNext w:val="0"/>
        <w:keepLines w:val="0"/>
        <w:pageBreakBefore w:val="0"/>
        <w:widowControl w:val="0"/>
        <w:kinsoku/>
        <w:wordWrap/>
        <w:overflowPunct/>
        <w:topLinePunct w:val="0"/>
        <w:autoSpaceDE/>
        <w:autoSpaceDN/>
        <w:bidi w:val="0"/>
        <w:adjustRightInd/>
        <w:snapToGrid/>
        <w:ind w:right="420" w:rightChars="200"/>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left="0" w:leftChars="0" w:right="420" w:rightChars="200" w:firstLine="2560" w:firstLineChars="800"/>
        <w:jc w:val="left"/>
        <w:textAlignment w:val="auto"/>
        <w:rPr>
          <w:rFonts w:hint="default"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项目编号：</w:t>
      </w:r>
      <w:r>
        <w:rPr>
          <w:rFonts w:hint="eastAsia" w:ascii="Times New Roman" w:hAnsi="Times New Roman" w:cs="Times New Roman"/>
          <w:color w:val="auto"/>
          <w:sz w:val="32"/>
          <w:szCs w:val="32"/>
          <w:lang w:val="en-US" w:eastAsia="zh-CN"/>
        </w:rPr>
        <w:t>SXZC-2022-0001</w:t>
      </w:r>
    </w:p>
    <w:p>
      <w:pPr>
        <w:keepNext w:val="0"/>
        <w:keepLines w:val="0"/>
        <w:pageBreakBefore w:val="0"/>
        <w:widowControl w:val="0"/>
        <w:kinsoku/>
        <w:wordWrap/>
        <w:overflowPunct/>
        <w:topLinePunct w:val="0"/>
        <w:autoSpaceDE/>
        <w:autoSpaceDN/>
        <w:bidi w:val="0"/>
        <w:adjustRightInd/>
        <w:snapToGrid/>
        <w:ind w:right="420" w:rightChars="200" w:firstLine="2560" w:firstLineChars="800"/>
        <w:jc w:val="left"/>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rPr>
        <w:t>项目名称：</w:t>
      </w:r>
      <w:r>
        <w:rPr>
          <w:rFonts w:hint="eastAsia" w:ascii="Times New Roman" w:hAnsi="Times New Roman" w:cs="Times New Roman"/>
          <w:color w:val="auto"/>
          <w:sz w:val="32"/>
          <w:szCs w:val="32"/>
          <w:lang w:eastAsia="zh-CN"/>
        </w:rPr>
        <w:t>林长制公示牌</w:t>
      </w:r>
    </w:p>
    <w:p>
      <w:pPr>
        <w:keepNext w:val="0"/>
        <w:keepLines w:val="0"/>
        <w:pageBreakBefore w:val="0"/>
        <w:widowControl w:val="0"/>
        <w:kinsoku/>
        <w:wordWrap/>
        <w:overflowPunct/>
        <w:topLinePunct w:val="0"/>
        <w:autoSpaceDE/>
        <w:autoSpaceDN/>
        <w:bidi w:val="0"/>
        <w:adjustRightInd/>
        <w:snapToGrid/>
        <w:ind w:left="0" w:leftChars="0" w:right="420" w:rightChars="200" w:firstLine="2534" w:firstLineChars="792"/>
        <w:jc w:val="left"/>
        <w:textAlignment w:val="auto"/>
        <w:rPr>
          <w:rFonts w:hint="default" w:ascii="宋体" w:hAnsi="宋体" w:eastAsiaTheme="minorEastAsia"/>
          <w:bCs/>
          <w:color w:val="auto"/>
          <w:sz w:val="32"/>
          <w:szCs w:val="32"/>
          <w:lang w:val="en-US" w:eastAsia="zh-CN"/>
        </w:rPr>
      </w:pPr>
      <w:r>
        <w:rPr>
          <w:rFonts w:hint="eastAsia" w:ascii="Times New Roman" w:hAnsi="Times New Roman" w:cs="Times New Roman"/>
          <w:color w:val="auto"/>
          <w:sz w:val="32"/>
          <w:szCs w:val="32"/>
        </w:rPr>
        <w:t>磋商内容：</w:t>
      </w:r>
      <w:r>
        <w:rPr>
          <w:rFonts w:hint="eastAsia" w:ascii="Times New Roman" w:hAnsi="Times New Roman" w:cs="Times New Roman"/>
          <w:color w:val="auto"/>
          <w:sz w:val="32"/>
          <w:szCs w:val="32"/>
          <w:lang w:val="en-US" w:eastAsia="zh-CN"/>
        </w:rPr>
        <w:t>公示牌</w:t>
      </w:r>
    </w:p>
    <w:p>
      <w:pPr>
        <w:keepNext w:val="0"/>
        <w:keepLines w:val="0"/>
        <w:pageBreakBefore w:val="0"/>
        <w:widowControl w:val="0"/>
        <w:kinsoku/>
        <w:wordWrap/>
        <w:overflowPunct/>
        <w:topLinePunct w:val="0"/>
        <w:autoSpaceDE/>
        <w:autoSpaceDN/>
        <w:bidi w:val="0"/>
        <w:adjustRightInd/>
        <w:snapToGrid/>
        <w:ind w:left="2999" w:leftChars="666" w:right="420" w:rightChars="200" w:hanging="1600" w:hangingChars="500"/>
        <w:jc w:val="center"/>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ascii="Times New Roman" w:hAnsi="Times New Roman" w:cs="Times New Roman"/>
          <w:color w:val="auto"/>
          <w:sz w:val="32"/>
          <w:szCs w:val="32"/>
        </w:rPr>
      </w:pPr>
    </w:p>
    <w:p>
      <w:pPr>
        <w:pStyle w:val="2"/>
        <w:rPr>
          <w:rFonts w:ascii="Times New Roman" w:hAnsi="Times New Roman" w:cs="Times New Roman"/>
          <w:color w:val="auto"/>
          <w:sz w:val="32"/>
          <w:szCs w:val="32"/>
        </w:rPr>
      </w:pPr>
    </w:p>
    <w:p>
      <w:pPr>
        <w:rPr>
          <w:rFonts w:ascii="Times New Roman" w:hAnsi="Times New Roman" w:cs="Times New Roman"/>
          <w:color w:val="auto"/>
          <w:sz w:val="32"/>
          <w:szCs w:val="32"/>
        </w:rPr>
      </w:pPr>
    </w:p>
    <w:p>
      <w:pPr>
        <w:pStyle w:val="2"/>
        <w:rPr>
          <w:color w:val="auto"/>
        </w:rPr>
      </w:pPr>
    </w:p>
    <w:p>
      <w:pPr>
        <w:keepNext w:val="0"/>
        <w:keepLines w:val="0"/>
        <w:pageBreakBefore w:val="0"/>
        <w:widowControl w:val="0"/>
        <w:tabs>
          <w:tab w:val="left" w:pos="2625"/>
          <w:tab w:val="left" w:pos="7939"/>
        </w:tabs>
        <w:kinsoku/>
        <w:wordWrap/>
        <w:overflowPunct/>
        <w:topLinePunct w:val="0"/>
        <w:autoSpaceDE/>
        <w:autoSpaceDN/>
        <w:bidi w:val="0"/>
        <w:adjustRightInd/>
        <w:snapToGrid/>
        <w:spacing w:line="360" w:lineRule="auto"/>
        <w:ind w:right="420" w:rightChars="200"/>
        <w:jc w:val="center"/>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随县</w:t>
      </w:r>
      <w:r>
        <w:rPr>
          <w:rFonts w:hint="eastAsia" w:ascii="Times New Roman" w:hAnsi="Times New Roman" w:cs="Times New Roman"/>
          <w:color w:val="auto"/>
          <w:sz w:val="32"/>
          <w:szCs w:val="32"/>
        </w:rPr>
        <w:t>政府采购中心</w:t>
      </w:r>
    </w:p>
    <w:p>
      <w:pPr>
        <w:keepNext w:val="0"/>
        <w:keepLines w:val="0"/>
        <w:pageBreakBefore w:val="0"/>
        <w:widowControl w:val="0"/>
        <w:kinsoku/>
        <w:wordWrap/>
        <w:overflowPunct/>
        <w:topLinePunct w:val="0"/>
        <w:autoSpaceDE/>
        <w:autoSpaceDN/>
        <w:bidi w:val="0"/>
        <w:adjustRightInd/>
        <w:snapToGrid/>
        <w:spacing w:line="520" w:lineRule="exact"/>
        <w:ind w:right="420" w:rightChars="200"/>
        <w:jc w:val="center"/>
        <w:textAlignment w:val="auto"/>
        <w:rPr>
          <w:rFonts w:hint="default" w:ascii="Times New Roman" w:hAnsi="Times New Roman" w:cs="Times New Roman"/>
          <w:b/>
          <w:color w:val="auto"/>
          <w:sz w:val="24"/>
          <w:szCs w:val="24"/>
          <w:lang w:val="en-US"/>
        </w:rPr>
        <w:sectPr>
          <w:pgSz w:w="11906" w:h="16838"/>
          <w:pgMar w:top="1417" w:right="1786" w:bottom="1417" w:left="1166"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cs="Times New Roman"/>
          <w:color w:val="auto"/>
          <w:sz w:val="32"/>
          <w:szCs w:val="32"/>
          <w:lang w:val="en-US" w:eastAsia="zh-CN"/>
        </w:rPr>
        <w:t xml:space="preserve">  </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2月</w:t>
      </w:r>
    </w:p>
    <w:p>
      <w:pPr>
        <w:rPr>
          <w:color w:val="auto"/>
        </w:rPr>
      </w:pPr>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19"/>
          <w:r>
            <w:rPr>
              <w:rFonts w:ascii="宋体" w:hAnsi="宋体" w:eastAsia="宋体"/>
              <w:b/>
              <w:bCs/>
              <w:color w:val="auto"/>
              <w:sz w:val="44"/>
              <w:szCs w:val="44"/>
            </w:rPr>
            <w:t>目录</w:t>
          </w:r>
        </w:p>
        <w:p>
          <w:pPr>
            <w:pStyle w:val="189"/>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第一章 邀请</w:t>
          </w:r>
          <w:r>
            <w:rPr>
              <w:rFonts w:hint="eastAsia"/>
              <w:b/>
              <w:color w:val="auto"/>
              <w:sz w:val="30"/>
              <w:szCs w:val="30"/>
              <w:lang w:val="en-US" w:eastAsia="zh-CN"/>
            </w:rPr>
            <w:t>函</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第二章磋商须知</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rFonts w:hint="eastAsia" w:cs="Times New Roman" w:asciiTheme="majorEastAsia" w:hAnsiTheme="majorEastAsia" w:eastAsiaTheme="majorEastAsia"/>
              <w:b/>
              <w:color w:val="auto"/>
              <w:sz w:val="30"/>
              <w:szCs w:val="30"/>
              <w:lang w:val="hr-HR" w:bidi="ar-EG"/>
            </w:rPr>
            <w:t>采购</w:t>
          </w:r>
          <w:r>
            <w:rPr>
              <w:rFonts w:hint="eastAsia" w:cs="Times New Roman" w:asciiTheme="majorEastAsia" w:hAnsiTheme="majorEastAsia" w:eastAsiaTheme="majorEastAsia"/>
              <w:b/>
              <w:color w:val="auto"/>
              <w:sz w:val="30"/>
              <w:szCs w:val="30"/>
            </w:rPr>
            <w:t>货物技术参数、规格及要求</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第六章响应文件格式</w:t>
          </w:r>
          <w:r>
            <w:rPr>
              <w:b/>
              <w:color w:val="auto"/>
              <w:sz w:val="30"/>
              <w:szCs w:val="30"/>
            </w:rPr>
            <w:fldChar w:fldCharType="end"/>
          </w: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rPr>
              <w:color w:val="auto"/>
            </w:rPr>
          </w:pPr>
        </w:p>
        <w:p>
          <w:pPr>
            <w:pStyle w:val="190"/>
            <w:tabs>
              <w:tab w:val="right" w:leader="dot" w:pos="8820"/>
            </w:tabs>
            <w:ind w:left="0" w:leftChars="0" w:firstLine="0" w:firstLineChars="0"/>
            <w:rPr>
              <w:color w:val="auto"/>
            </w:rPr>
          </w:pPr>
        </w:p>
        <w:p>
          <w:pPr>
            <w:pStyle w:val="190"/>
            <w:tabs>
              <w:tab w:val="right" w:leader="dot" w:pos="8820"/>
            </w:tabs>
            <w:ind w:left="0" w:leftChars="0" w:firstLine="0" w:firstLineChars="0"/>
            <w:rPr>
              <w:color w:val="auto"/>
            </w:rPr>
          </w:pPr>
        </w:p>
        <w:p>
          <w:pPr>
            <w:pStyle w:val="190"/>
            <w:tabs>
              <w:tab w:val="right" w:leader="dot" w:pos="8820"/>
            </w:tabs>
            <w:rPr>
              <w:color w:val="auto"/>
            </w:rPr>
          </w:pPr>
        </w:p>
        <w:p>
          <w:pPr>
            <w:rPr>
              <w:color w:val="auto"/>
            </w:rPr>
          </w:pPr>
          <w:r>
            <w:rPr>
              <w:b/>
              <w:color w:val="auto"/>
            </w:rPr>
            <w:fldChar w:fldCharType="end"/>
          </w:r>
        </w:p>
      </w:sdtContent>
    </w:sdt>
    <w:p>
      <w:pPr>
        <w:numPr>
          <w:ilvl w:val="0"/>
          <w:numId w:val="4"/>
        </w:numPr>
        <w:spacing w:line="500" w:lineRule="exact"/>
        <w:jc w:val="center"/>
        <w:outlineLvl w:val="0"/>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hr-HR" w:bidi="ar-EG"/>
        </w:rPr>
        <w:t xml:space="preserve">  </w:t>
      </w:r>
      <w:bookmarkStart w:id="1" w:name="_Toc27578"/>
      <w:r>
        <w:rPr>
          <w:rFonts w:hint="eastAsia" w:ascii="Times New Roman" w:hAnsi="Times New Roman" w:cs="Times New Roman"/>
          <w:b/>
          <w:color w:val="auto"/>
          <w:sz w:val="36"/>
          <w:szCs w:val="36"/>
          <w:lang w:val="hr-HR" w:bidi="ar-EG"/>
        </w:rPr>
        <w:t>邀请函</w:t>
      </w:r>
      <w:bookmarkEnd w:id="0"/>
      <w:bookmarkEnd w:id="1"/>
    </w:p>
    <w:p>
      <w:pPr>
        <w:pStyle w:val="2"/>
        <w:numPr>
          <w:ilvl w:val="0"/>
          <w:numId w:val="0"/>
        </w:numPr>
        <w:rPr>
          <w:color w:val="auto"/>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随县林业局林长制公示牌采购项目</w:t>
      </w:r>
      <w:r>
        <w:rPr>
          <w:rFonts w:hint="eastAsia" w:ascii="宋体" w:hAnsi="宋体" w:eastAsia="宋体" w:cs="宋体"/>
          <w:color w:val="auto"/>
          <w:sz w:val="24"/>
          <w:szCs w:val="24"/>
        </w:rPr>
        <w:t>的潜在供应商应</w:t>
      </w:r>
      <w:r>
        <w:rPr>
          <w:rFonts w:hint="eastAsia" w:ascii="宋体" w:hAnsi="宋体" w:eastAsia="宋体" w:cs="宋体"/>
          <w:color w:val="auto"/>
          <w:sz w:val="24"/>
          <w:szCs w:val="24"/>
          <w:u w:val="none"/>
        </w:rPr>
        <w:t>在</w:t>
      </w:r>
      <w:r>
        <w:rPr>
          <w:rFonts w:hint="eastAsia" w:ascii="宋体" w:hAnsi="宋体" w:eastAsia="宋体" w:cs="宋体"/>
          <w:color w:val="auto"/>
          <w:sz w:val="24"/>
          <w:szCs w:val="24"/>
          <w:lang w:val="en-US" w:eastAsia="zh-CN"/>
        </w:rPr>
        <w:t>随县政府电子采购平台</w:t>
      </w:r>
      <w:r>
        <w:rPr>
          <w:rFonts w:hint="eastAsia" w:ascii="仿宋" w:hAnsi="仿宋" w:cs="仿宋"/>
          <w:color w:val="auto"/>
          <w:spacing w:val="18"/>
          <w:sz w:val="24"/>
          <w:u w:val="single"/>
          <w:lang w:eastAsia="zh-CN"/>
        </w:rPr>
        <w:t>（https://dzcg.hubeigp.gov.cn/assets/special/100/hbenterpoint.html）</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lang w:val="en-US" w:eastAsia="zh-CN"/>
        </w:rPr>
        <w:t>本项目竞争性磋商公告规定的提交响应文件截止时间前提交响应文件并签到。</w:t>
      </w: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bookmarkStart w:id="2" w:name="_Toc35393798"/>
      <w:bookmarkStart w:id="3" w:name="_Toc17951"/>
      <w:bookmarkStart w:id="4" w:name="_Toc35393629"/>
      <w:bookmarkStart w:id="5" w:name="_Toc28359012"/>
      <w:bookmarkStart w:id="6" w:name="_Toc28359089"/>
      <w:r>
        <w:rPr>
          <w:rFonts w:hint="eastAsia" w:ascii="Times New Roman" w:hAnsi="Times New Roman" w:eastAsia="宋体" w:cs="Times New Roman"/>
          <w:b/>
          <w:bCs/>
          <w:color w:val="auto"/>
          <w:sz w:val="24"/>
          <w:szCs w:val="24"/>
        </w:rPr>
        <w:t>一、项目基本情况</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SXZC-2022-0001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eastAsia="宋体" w:cs="宋体"/>
          <w:color w:val="auto"/>
          <w:sz w:val="24"/>
          <w:szCs w:val="24"/>
          <w:lang w:val="en-US" w:eastAsia="zh-CN"/>
        </w:rPr>
        <w:t>2022-02-001468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随县林业局林长制公示牌项目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rPr>
        <w:t>预算金额：</w:t>
      </w:r>
      <w:r>
        <w:rPr>
          <w:rFonts w:hint="eastAsia" w:ascii="宋体" w:hAnsi="宋体" w:eastAsia="宋体" w:cs="宋体"/>
          <w:color w:val="auto"/>
          <w:sz w:val="24"/>
          <w:szCs w:val="24"/>
          <w:lang w:val="en-US" w:eastAsia="zh-CN"/>
        </w:rPr>
        <w:t>76.4</w:t>
      </w:r>
      <w:r>
        <w:rPr>
          <w:rFonts w:hint="eastAsia" w:ascii="宋体" w:hAnsi="宋体" w:eastAsia="宋体" w:cs="宋体"/>
          <w:color w:val="auto"/>
          <w:sz w:val="24"/>
          <w:szCs w:val="24"/>
        </w:rPr>
        <w:t xml:space="preserve">万元 </w:t>
      </w:r>
      <w:r>
        <w:rPr>
          <w:rFonts w:hint="eastAsia"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val="en-US" w:eastAsia="zh-CN"/>
        </w:rPr>
        <w:t>382块</w:t>
      </w:r>
      <w:r>
        <w:rPr>
          <w:rFonts w:hint="eastAsia" w:ascii="宋体" w:hAnsi="宋体" w:eastAsia="宋体" w:cs="宋体"/>
          <w:color w:val="auto"/>
          <w:sz w:val="24"/>
          <w:szCs w:val="24"/>
          <w:lang w:eastAsia="zh-CN"/>
        </w:rPr>
        <w:t>公示牌（</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rPr>
        <w:t>合同履行期限：</w:t>
      </w:r>
      <w:r>
        <w:rPr>
          <w:rFonts w:hint="eastAsia" w:ascii="Times New Roman" w:hAnsi="Times New Roman" w:eastAsia="宋体" w:cs="Times New Roman"/>
          <w:color w:val="auto"/>
          <w:sz w:val="24"/>
          <w:szCs w:val="24"/>
        </w:rPr>
        <w:t>合同签订</w:t>
      </w:r>
      <w:r>
        <w:rPr>
          <w:rFonts w:hint="eastAsia" w:ascii="Times New Roman" w:hAnsi="Times New Roman" w:eastAsia="宋体" w:cs="Times New Roman"/>
          <w:color w:val="auto"/>
          <w:sz w:val="24"/>
          <w:szCs w:val="24"/>
          <w:lang w:eastAsia="zh-CN"/>
        </w:rPr>
        <w:t>之日起</w:t>
      </w:r>
      <w:r>
        <w:rPr>
          <w:rFonts w:hint="eastAsia" w:ascii="Times New Roman" w:hAnsi="Times New Roman" w:eastAsia="宋体" w:cs="Times New Roman"/>
          <w:color w:val="auto"/>
          <w:sz w:val="24"/>
          <w:szCs w:val="24"/>
          <w:lang w:val="en-US" w:eastAsia="zh-CN"/>
        </w:rPr>
        <w:t>1个月内完成</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7" w:name="_Toc28359013"/>
      <w:bookmarkStart w:id="8" w:name="_Toc35393799"/>
      <w:bookmarkStart w:id="9" w:name="_Toc28359090"/>
      <w:bookmarkStart w:id="10" w:name="_Toc35393630"/>
      <w:bookmarkStart w:id="11" w:name="_Toc30736"/>
      <w:r>
        <w:rPr>
          <w:rFonts w:hint="eastAsia" w:ascii="Times New Roman" w:hAnsi="Times New Roman" w:eastAsia="宋体" w:cs="Times New Roman"/>
          <w:b/>
          <w:bCs/>
          <w:color w:val="auto"/>
          <w:sz w:val="24"/>
          <w:szCs w:val="24"/>
        </w:rPr>
        <w:t>二、申请人的资格要求：</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2" w:name="_Toc28359014"/>
      <w:bookmarkStart w:id="13" w:name="_Toc28359091"/>
      <w:r>
        <w:rPr>
          <w:rFonts w:hint="eastAsia" w:ascii="宋体" w:hAnsi="宋体" w:eastAsia="宋体" w:cs="宋体"/>
          <w:color w:val="auto"/>
          <w:sz w:val="24"/>
          <w:szCs w:val="24"/>
        </w:rPr>
        <w:t>1、满足《中华人民共和国政府采购法》第二十二条规定，即：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5、落实政府采购政策需满足的资格要求：</w:t>
      </w:r>
      <w:r>
        <w:rPr>
          <w:rFonts w:hint="eastAsia" w:ascii="宋体" w:hAnsi="宋体" w:eastAsia="宋体" w:cs="宋体"/>
          <w:b/>
          <w:bCs/>
          <w:color w:val="auto"/>
          <w:sz w:val="24"/>
          <w:szCs w:val="24"/>
          <w:lang w:val="en-US" w:eastAsia="zh-CN"/>
        </w:rPr>
        <w:t>专门面向中小企业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6、本项目的特定资格要求：无</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4" w:name="_Toc11217"/>
      <w:r>
        <w:rPr>
          <w:rFonts w:hint="eastAsia" w:ascii="Times New Roman" w:hAnsi="Times New Roman" w:eastAsia="宋体" w:cs="Times New Roman"/>
          <w:b/>
          <w:bCs/>
          <w:color w:val="auto"/>
          <w:sz w:val="24"/>
          <w:szCs w:val="24"/>
        </w:rPr>
        <w:t>三、获取采购文件</w:t>
      </w:r>
      <w:bookmarkEnd w:id="1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时间：</w:t>
      </w:r>
      <w:r>
        <w:rPr>
          <w:rFonts w:hint="eastAsia" w:ascii="仿宋" w:hAnsi="仿宋" w:cs="仿宋"/>
          <w:color w:val="auto"/>
          <w:spacing w:val="-3"/>
          <w:sz w:val="24"/>
          <w:lang w:val="en-US" w:eastAsia="zh-CN"/>
        </w:rPr>
        <w:t>2022年2月16日至2022年2月22日，每天上午08:30 至12:00，下午14:00 至17:00（北京时间，法定节假日除外）。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2"/>
          <w:sz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ascii="仿宋" w:hAnsi="仿宋" w:cs="仿宋"/>
          <w:color w:val="auto"/>
          <w:spacing w:val="-2"/>
          <w:sz w:val="24"/>
        </w:rPr>
        <w:t>登录</w:t>
      </w:r>
      <w:r>
        <w:rPr>
          <w:rFonts w:hint="eastAsia" w:ascii="仿宋" w:hAnsi="仿宋" w:cs="仿宋"/>
          <w:color w:val="auto"/>
          <w:spacing w:val="-2"/>
          <w:sz w:val="24"/>
          <w:lang w:eastAsia="zh-CN"/>
        </w:rPr>
        <w:t>随县</w:t>
      </w:r>
      <w:r>
        <w:rPr>
          <w:rFonts w:hint="eastAsia" w:ascii="仿宋" w:hAnsi="仿宋" w:cs="仿宋"/>
          <w:color w:val="auto"/>
          <w:spacing w:val="-2"/>
          <w:sz w:val="24"/>
        </w:rPr>
        <w:t>政府电子采购平台</w:t>
      </w:r>
      <w:r>
        <w:rPr>
          <w:rFonts w:ascii="仿宋" w:hAnsi="仿宋" w:cs="仿宋"/>
          <w:color w:val="auto"/>
          <w:spacing w:val="0"/>
          <w:sz w:val="24"/>
        </w:rPr>
        <w:t>直接获取</w:t>
      </w:r>
      <w:r>
        <w:rPr>
          <w:rFonts w:hint="eastAsia" w:ascii="仿宋" w:hAnsi="仿宋" w:cs="仿宋"/>
          <w:color w:val="auto"/>
          <w:spacing w:val="0"/>
          <w:sz w:val="24"/>
          <w:lang w:eastAsia="zh-CN"/>
        </w:rPr>
        <w:t>。</w:t>
      </w:r>
      <w:r>
        <w:rPr>
          <w:rFonts w:hint="eastAsia" w:ascii="仿宋" w:hAnsi="仿宋" w:cs="仿宋"/>
          <w:color w:val="auto"/>
          <w:spacing w:val="-3"/>
          <w:sz w:val="24"/>
          <w:lang w:eastAsia="zh-CN"/>
        </w:rPr>
        <w:t>（</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eastAsia="zh-CN"/>
        </w:rPr>
        <w:t>）</w:t>
      </w:r>
      <w:r>
        <w:rPr>
          <w:rFonts w:hint="eastAsia" w:ascii="仿宋" w:hAnsi="仿宋" w:cs="仿宋"/>
          <w:color w:val="auto"/>
          <w:spacing w:val="-3"/>
          <w:sz w:val="24"/>
          <w:lang w:val="en-US" w:eastAsia="zh-CN"/>
        </w:rPr>
        <w:t>流程如下：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eastAsiaTheme="minorEastAsia"/>
          <w:color w:val="auto"/>
          <w:sz w:val="24"/>
          <w:szCs w:val="24"/>
          <w:lang w:val="en-US" w:eastAsia="zh-CN"/>
        </w:rPr>
      </w:pP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仿宋" w:hAnsi="仿宋" w:cs="仿宋"/>
          <w:color w:val="auto"/>
          <w:spacing w:val="-3"/>
          <w:sz w:val="24"/>
        </w:rPr>
        <w:t>未注册账号的供应商。先完成账号注册，经审核通过后办理ＣＡ锁。方式：</w:t>
      </w:r>
      <w:r>
        <w:rPr>
          <w:rFonts w:hint="eastAsia" w:ascii="仿宋" w:hAnsi="仿宋" w:cs="仿宋"/>
          <w:color w:val="auto"/>
          <w:spacing w:val="-3"/>
          <w:sz w:val="24"/>
          <w:lang w:val="en-US" w:eastAsia="zh-CN"/>
        </w:rPr>
        <w:t>点击http://jycg.hubei.gov.cn进入湖北省公共资源电子交易（采购）平台</w:t>
      </w:r>
      <w:r>
        <w:rPr>
          <w:rFonts w:hint="eastAsia" w:ascii="仿宋" w:hAnsi="仿宋" w:cs="仿宋"/>
          <w:color w:val="auto"/>
          <w:spacing w:val="-3"/>
          <w:sz w:val="24"/>
        </w:rPr>
        <w:t>，点击“供应商”填写注册信息。供应商注册时应诚信客观、真实准确填写相关信息，不能弄虚作假或假冒他人名义。否则将按国家有关规定进行处理，并在有关网站上公示，由此产生的后果由供应商自行承担。注册信息审核通过后</w:t>
      </w:r>
      <w:r>
        <w:rPr>
          <w:rFonts w:hint="eastAsia" w:ascii="仿宋" w:hAnsi="仿宋" w:cs="仿宋"/>
          <w:color w:val="auto"/>
          <w:spacing w:val="-3"/>
          <w:sz w:val="24"/>
          <w:lang w:eastAsia="zh-CN"/>
        </w:rPr>
        <w:t>，</w:t>
      </w:r>
      <w:r>
        <w:rPr>
          <w:rFonts w:hint="eastAsia" w:ascii="仿宋" w:hAnsi="仿宋" w:cs="仿宋"/>
          <w:color w:val="auto"/>
          <w:spacing w:val="-3"/>
          <w:sz w:val="24"/>
        </w:rPr>
        <w:t>可进行 CA 锁办理</w:t>
      </w:r>
      <w:r>
        <w:rPr>
          <w:rFonts w:hint="eastAsia" w:ascii="仿宋" w:hAnsi="仿宋" w:cs="仿宋"/>
          <w:color w:val="auto"/>
          <w:spacing w:val="-3"/>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rPr>
      </w:pPr>
      <w:r>
        <w:rPr>
          <w:rFonts w:hint="eastAsia" w:ascii="仿宋" w:hAnsi="仿宋" w:cs="仿宋"/>
          <w:color w:val="auto"/>
          <w:spacing w:val="-3"/>
          <w:sz w:val="24"/>
        </w:rPr>
        <w:t>2）已办理 CA 的供应商。登录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w:t>
      </w:r>
      <w:r>
        <w:rPr>
          <w:rFonts w:hint="eastAsia" w:ascii="仿宋" w:hAnsi="仿宋" w:cs="仿宋"/>
          <w:color w:val="auto"/>
          <w:spacing w:val="-3"/>
          <w:sz w:val="24"/>
          <w:lang w:eastAsia="zh-CN"/>
        </w:rPr>
        <w:t>电子</w:t>
      </w:r>
      <w:r>
        <w:rPr>
          <w:rFonts w:hint="eastAsia" w:ascii="仿宋" w:hAnsi="仿宋" w:cs="仿宋"/>
          <w:color w:val="auto"/>
          <w:spacing w:val="-3"/>
          <w:sz w:val="24"/>
        </w:rPr>
        <w:t>采购</w:t>
      </w:r>
      <w:r>
        <w:rPr>
          <w:rFonts w:hint="eastAsia" w:ascii="仿宋" w:hAnsi="仿宋" w:cs="仿宋"/>
          <w:color w:val="auto"/>
          <w:spacing w:val="-3"/>
          <w:sz w:val="24"/>
          <w:lang w:eastAsia="zh-CN"/>
        </w:rPr>
        <w:t>平台</w:t>
      </w:r>
      <w:r>
        <w:rPr>
          <w:rFonts w:hint="eastAsia" w:ascii="仿宋" w:hAnsi="仿宋" w:cs="仿宋"/>
          <w:color w:val="auto"/>
          <w:spacing w:val="-3"/>
          <w:sz w:val="24"/>
        </w:rPr>
        <w:t>，可在获取文件有效时间内直接下载采购文件。</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5" w:name="_Toc19714"/>
      <w:r>
        <w:rPr>
          <w:rFonts w:hint="eastAsia" w:ascii="Times New Roman" w:hAnsi="Times New Roman" w:eastAsia="宋体" w:cs="Times New Roman"/>
          <w:b/>
          <w:bCs/>
          <w:color w:val="auto"/>
          <w:sz w:val="24"/>
          <w:szCs w:val="24"/>
        </w:rPr>
        <w:t>四、响应文件提交</w:t>
      </w:r>
      <w:bookmarkEnd w:id="15"/>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1、开始时间：2022年2月16日09点30分（北京时间）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val="en-US" w:eastAsia="zh-CN"/>
        </w:rPr>
        <w:t>2022年2月28日09点30分（北京时间）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3"/>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w:t>
      </w:r>
      <w:r>
        <w:rPr>
          <w:rFonts w:ascii="宋体" w:hAnsi="宋体" w:eastAsia="宋体" w:cs="宋体"/>
          <w:color w:val="auto"/>
          <w:sz w:val="24"/>
          <w:szCs w:val="24"/>
        </w:rPr>
        <w:t xml:space="preserve"> </w:t>
      </w:r>
      <w:r>
        <w:rPr>
          <w:rFonts w:hint="eastAsia" w:ascii="仿宋" w:hAnsi="仿宋" w:cs="仿宋"/>
          <w:color w:val="auto"/>
          <w:spacing w:val="-3"/>
          <w:sz w:val="24"/>
        </w:rPr>
        <w:t>将加密的电子响应文件上传到项目所属区域内的电子响应文件栏目。逾期未完成上传或未按规定加密的响应文件，采购人将拒收。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color w:val="auto"/>
          <w:sz w:val="24"/>
          <w:szCs w:val="24"/>
        </w:rPr>
      </w:pPr>
      <w:bookmarkStart w:id="16" w:name="_Toc10375"/>
      <w:r>
        <w:rPr>
          <w:rFonts w:hint="eastAsia" w:ascii="Times New Roman" w:hAnsi="Times New Roman" w:eastAsia="宋体" w:cs="Times New Roman"/>
          <w:b/>
          <w:bCs/>
          <w:color w:val="auto"/>
          <w:sz w:val="24"/>
          <w:szCs w:val="24"/>
        </w:rPr>
        <w:t>开启</w:t>
      </w:r>
      <w:bookmarkEnd w:id="16"/>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2022年2月28日09点30分（北京时间）</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textAlignment w:val="auto"/>
        <w:outlineLvl w:val="1"/>
        <w:rPr>
          <w:rFonts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7" w:name="_Toc15197"/>
      <w:r>
        <w:rPr>
          <w:rFonts w:hint="eastAsia" w:ascii="Times New Roman" w:hAnsi="Times New Roman" w:eastAsia="宋体" w:cs="Times New Roman"/>
          <w:b/>
          <w:bCs/>
          <w:color w:val="auto"/>
          <w:sz w:val="24"/>
          <w:szCs w:val="24"/>
        </w:rPr>
        <w:t>六、公告期限</w:t>
      </w:r>
      <w:bookmarkEnd w:id="17"/>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b/>
          <w:bCs/>
          <w:color w:val="auto"/>
          <w:sz w:val="24"/>
          <w:szCs w:val="24"/>
        </w:rPr>
      </w:pPr>
      <w:bookmarkStart w:id="18" w:name="_Toc10908"/>
      <w:r>
        <w:rPr>
          <w:rFonts w:hint="eastAsia" w:ascii="宋体" w:hAnsi="宋体" w:eastAsia="宋体" w:cs="宋体"/>
          <w:b/>
          <w:bCs/>
          <w:color w:val="auto"/>
          <w:sz w:val="24"/>
          <w:szCs w:val="24"/>
        </w:rPr>
        <w:t>其它补充事宜</w:t>
      </w:r>
      <w:bookmarkEnd w:id="18"/>
    </w:p>
    <w:p>
      <w:pPr>
        <w:pStyle w:val="1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eastAsiaTheme="minorEastAsia"/>
          <w:color w:val="auto"/>
          <w:lang w:val="en-US" w:eastAsia="zh-CN"/>
        </w:rPr>
      </w:pPr>
      <w:r>
        <w:rPr>
          <w:rFonts w:hint="eastAsia" w:ascii="宋体" w:hAnsi="宋体" w:eastAsia="宋体" w:cs="宋体"/>
          <w:b/>
          <w:bCs/>
          <w:color w:val="auto"/>
          <w:sz w:val="24"/>
          <w:szCs w:val="24"/>
          <w:lang w:val="en-US" w:eastAsia="zh-CN"/>
        </w:rPr>
        <w:t xml:space="preserve">    1、</w:t>
      </w:r>
      <w:r>
        <w:rPr>
          <w:rFonts w:ascii="仿宋" w:hAnsi="仿宋" w:cs="仿宋"/>
          <w:color w:val="auto"/>
          <w:spacing w:val="0"/>
          <w:sz w:val="24"/>
        </w:rPr>
        <w:t>供应商无需提交纸质响应文件，需于截止时间前在</w:t>
      </w:r>
      <w:r>
        <w:rPr>
          <w:rFonts w:hint="eastAsia" w:ascii="仿宋" w:hAnsi="仿宋" w:cs="仿宋"/>
          <w:color w:val="auto"/>
          <w:spacing w:val="0"/>
          <w:sz w:val="24"/>
          <w:lang w:eastAsia="zh-CN"/>
        </w:rPr>
        <w:t>随县</w:t>
      </w:r>
      <w:r>
        <w:rPr>
          <w:rFonts w:ascii="仿宋" w:hAnsi="仿宋" w:cs="仿宋"/>
          <w:color w:val="auto"/>
          <w:spacing w:val="0"/>
          <w:sz w:val="24"/>
        </w:rPr>
        <w:t>政府</w:t>
      </w:r>
      <w:r>
        <w:rPr>
          <w:rFonts w:hint="eastAsia" w:ascii="仿宋" w:hAnsi="仿宋" w:cs="仿宋"/>
          <w:color w:val="auto"/>
          <w:spacing w:val="0"/>
          <w:sz w:val="24"/>
          <w:lang w:eastAsia="zh-CN"/>
        </w:rPr>
        <w:t>电子</w:t>
      </w:r>
      <w:r>
        <w:rPr>
          <w:rFonts w:ascii="仿宋" w:hAnsi="仿宋" w:cs="仿宋"/>
          <w:color w:val="auto"/>
          <w:spacing w:val="0"/>
          <w:sz w:val="24"/>
        </w:rPr>
        <w:t>采购</w:t>
      </w:r>
      <w:r>
        <w:rPr>
          <w:rFonts w:hint="eastAsia" w:ascii="仿宋" w:hAnsi="仿宋" w:cs="仿宋"/>
          <w:color w:val="auto"/>
          <w:spacing w:val="0"/>
          <w:sz w:val="24"/>
          <w:lang w:val="en-US" w:eastAsia="zh-CN"/>
        </w:rPr>
        <w:t>平台上传电子响应文件一份。投标过程中如遇系统操作问题可咨询：0722-3325097、全省供应商</w:t>
      </w:r>
      <w:r>
        <w:rPr>
          <w:color w:val="auto"/>
          <w:sz w:val="24"/>
        </w:rPr>
        <w:t>QQ群：</w:t>
      </w:r>
      <w:r>
        <w:rPr>
          <w:rFonts w:hint="eastAsia"/>
          <w:color w:val="auto"/>
          <w:sz w:val="24"/>
          <w:lang w:val="en-US" w:eastAsia="zh-CN"/>
        </w:rPr>
        <w:t>463671735 / 966545752</w:t>
      </w:r>
      <w:r>
        <w:rPr>
          <w:color w:val="auto"/>
          <w:sz w:val="24"/>
        </w:rPr>
        <w:t>，联系电话：</w:t>
      </w:r>
      <w:r>
        <w:rPr>
          <w:rFonts w:hint="eastAsia"/>
          <w:color w:val="auto"/>
          <w:sz w:val="24"/>
          <w:lang w:val="en-US" w:eastAsia="zh-CN"/>
        </w:rPr>
        <w:t>4009913966</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2、政府采购相关政策执行：落实政府采购强制、优先采购节能产品政策；政府采购优先采购环保产品政策；政府采购促进中小企业发展（监狱企业、残疾人福利性单位视同小微企业）等政策。</w:t>
      </w:r>
    </w:p>
    <w:p>
      <w:pPr>
        <w:overflowPunct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 质疑：供应商对磋商文件、采购过程和中标结果使自己的权益受到损害的，可以在知道或者应知其权益受到损害之日起7个工作日内，向</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公共资源交易中心提出质疑。质疑提出时间以提供书面质疑书记载为准。联系人</w:t>
      </w:r>
      <w:r>
        <w:rPr>
          <w:rFonts w:hint="eastAsia" w:ascii="宋体" w:hAnsi="宋体" w:eastAsia="宋体" w:cs="宋体"/>
          <w:color w:val="auto"/>
          <w:sz w:val="24"/>
          <w:szCs w:val="24"/>
          <w:lang w:eastAsia="zh-CN"/>
        </w:rPr>
        <w:t>：万栋</w:t>
      </w: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r>
        <w:rPr>
          <w:rFonts w:hint="eastAsia" w:ascii="宋体" w:hAnsi="宋体" w:eastAsia="宋体" w:cs="宋体"/>
          <w:color w:val="auto"/>
          <w:sz w:val="24"/>
          <w:szCs w:val="24"/>
        </w:rPr>
        <w:t>； 联系地址：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9" w:name="_Toc24012"/>
      <w:bookmarkStart w:id="20" w:name="_Toc35393636"/>
      <w:bookmarkStart w:id="21" w:name="_Toc20538"/>
      <w:bookmarkStart w:id="22" w:name="_Toc35393805"/>
      <w:bookmarkStart w:id="23" w:name="_Toc28359095"/>
      <w:bookmarkStart w:id="24" w:name="_Toc28359018"/>
      <w:r>
        <w:rPr>
          <w:rFonts w:hint="eastAsia" w:ascii="Times New Roman" w:hAnsi="Times New Roman" w:eastAsia="宋体" w:cs="Times New Roman"/>
          <w:b/>
          <w:bCs/>
          <w:color w:val="auto"/>
          <w:sz w:val="24"/>
          <w:szCs w:val="24"/>
        </w:rPr>
        <w:t>八、凡对本次采购提出询问，请按</w:t>
      </w:r>
      <w:r>
        <w:rPr>
          <w:rFonts w:ascii="Times New Roman" w:hAnsi="Times New Roman" w:eastAsia="宋体" w:cs="Times New Roman"/>
          <w:b/>
          <w:bCs/>
          <w:color w:val="auto"/>
          <w:sz w:val="24"/>
          <w:szCs w:val="24"/>
        </w:rPr>
        <w:t>以下方式</w:t>
      </w:r>
      <w:r>
        <w:rPr>
          <w:rFonts w:hint="eastAsia" w:ascii="Times New Roman" w:hAnsi="Times New Roman" w:eastAsia="宋体" w:cs="Times New Roman"/>
          <w:b/>
          <w:bCs/>
          <w:color w:val="auto"/>
          <w:sz w:val="24"/>
          <w:szCs w:val="24"/>
        </w:rPr>
        <w:t>联系。</w:t>
      </w:r>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随县林业局</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随县杨林路与利民路交汇处</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联系人：罗海滨</w:t>
      </w:r>
      <w:r>
        <w:rPr>
          <w:rFonts w:hint="eastAsia" w:ascii="宋体" w:hAnsi="宋体" w:eastAsia="宋体" w:cs="宋体"/>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bookmarkStart w:id="25" w:name="_Toc28359020"/>
      <w:bookmarkStart w:id="26" w:name="_Toc35393807"/>
      <w:bookmarkStart w:id="27" w:name="_Toc28359097"/>
      <w:bookmarkStart w:id="28" w:name="_Toc35393638"/>
      <w:r>
        <w:rPr>
          <w:rFonts w:hint="eastAsia" w:ascii="宋体" w:hAnsi="宋体" w:eastAsia="宋体" w:cs="宋体"/>
          <w:color w:val="auto"/>
          <w:sz w:val="24"/>
          <w:szCs w:val="24"/>
          <w:lang w:val="en-US" w:eastAsia="zh-CN"/>
        </w:rPr>
        <w:t>13986440488</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2.采购代理机构信息</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随县</w:t>
      </w:r>
      <w:r>
        <w:rPr>
          <w:rFonts w:hint="eastAsia" w:ascii="宋体" w:hAnsi="宋体" w:cs="宋体"/>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随县</w:t>
      </w:r>
      <w:r>
        <w:rPr>
          <w:rFonts w:hint="eastAsia" w:asciiTheme="minorEastAsia" w:hAnsiTheme="minorEastAsia" w:cstheme="minorEastAsia"/>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textAlignment w:val="auto"/>
        <w:rPr>
          <w:rFonts w:hint="eastAsia" w:ascii="Times New Roman" w:hAnsi="Times New Roman" w:cs="Times New Roman"/>
          <w:b/>
          <w:color w:val="auto"/>
          <w:sz w:val="36"/>
          <w:szCs w:val="36"/>
          <w:lang w:val="hr-HR" w:bidi="ar-EG"/>
        </w:rPr>
      </w:pPr>
      <w:r>
        <w:rPr>
          <w:rFonts w:asciiTheme="minorEastAsia" w:hAnsiTheme="minorEastAsia" w:cstheme="minorEastAsia"/>
          <w:color w:val="auto"/>
          <w:sz w:val="24"/>
          <w:szCs w:val="24"/>
        </w:rPr>
        <w:t>20</w:t>
      </w: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15</w:t>
      </w:r>
      <w:r>
        <w:rPr>
          <w:rFonts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9"/>
        <w:rPr>
          <w:rFonts w:hint="eastAsia" w:ascii="Times New Roman" w:hAnsi="Times New Roman" w:cs="Times New Roman"/>
          <w:b/>
          <w:color w:val="auto"/>
          <w:sz w:val="36"/>
          <w:szCs w:val="36"/>
          <w:lang w:val="hr-HR" w:bidi="ar-EG"/>
        </w:rPr>
      </w:pPr>
      <w:bookmarkStart w:id="29" w:name="_Toc6463"/>
    </w:p>
    <w:p>
      <w:pPr>
        <w:pStyle w:val="2"/>
        <w:rPr>
          <w:rFonts w:hint="eastAsia" w:ascii="Times New Roman" w:hAnsi="Times New Roman" w:cs="Times New Roman"/>
          <w:b/>
          <w:color w:val="auto"/>
          <w:sz w:val="36"/>
          <w:szCs w:val="36"/>
          <w:lang w:val="hr-HR" w:bidi="ar-EG"/>
        </w:rPr>
      </w:pPr>
    </w:p>
    <w:p>
      <w:pPr>
        <w:rPr>
          <w:rFonts w:hint="eastAsia" w:ascii="Times New Roman" w:hAnsi="Times New Roman" w:cs="Times New Roman"/>
          <w:b/>
          <w:color w:val="auto"/>
          <w:sz w:val="36"/>
          <w:szCs w:val="36"/>
          <w:lang w:val="hr-HR" w:bidi="ar-EG"/>
        </w:rPr>
      </w:pPr>
    </w:p>
    <w:bookmarkEnd w:id="29"/>
    <w:p>
      <w:pPr>
        <w:rPr>
          <w:color w:val="auto"/>
        </w:rPr>
      </w:pPr>
      <w:bookmarkStart w:id="30" w:name="_Toc22032"/>
    </w:p>
    <w:p>
      <w:pPr>
        <w:pStyle w:val="27"/>
        <w:rPr>
          <w:color w:val="auto"/>
        </w:rPr>
      </w:pPr>
    </w:p>
    <w:p>
      <w:pPr>
        <w:pStyle w:val="28"/>
        <w:rPr>
          <w:color w:val="auto"/>
        </w:rPr>
      </w:pPr>
    </w:p>
    <w:p>
      <w:pPr>
        <w:rPr>
          <w:color w:val="auto"/>
        </w:rPr>
      </w:pPr>
    </w:p>
    <w:p>
      <w:pPr>
        <w:pStyle w:val="27"/>
        <w:rPr>
          <w:color w:val="auto"/>
        </w:rPr>
      </w:pPr>
    </w:p>
    <w:p>
      <w:pPr>
        <w:pStyle w:val="28"/>
        <w:rPr>
          <w:color w:val="auto"/>
        </w:rPr>
      </w:pPr>
    </w:p>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1" w:name="_Toc6368"/>
      <w:r>
        <w:rPr>
          <w:rFonts w:hint="eastAsia" w:ascii="Times New Roman" w:hAnsi="Times New Roman" w:cs="Times New Roman"/>
          <w:b/>
          <w:color w:val="auto"/>
          <w:sz w:val="36"/>
          <w:szCs w:val="36"/>
          <w:lang w:val="hr-HR" w:bidi="ar-EG"/>
        </w:rPr>
        <w:t>第二章磋商须知</w:t>
      </w:r>
      <w:bookmarkEnd w:id="31"/>
    </w:p>
    <w:p>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pPr>
        <w:pStyle w:val="160"/>
        <w:keepNext w:val="0"/>
        <w:keepLines w:val="0"/>
        <w:pageBreakBefore w:val="0"/>
        <w:widowControl w:val="0"/>
        <w:numPr>
          <w:ilvl w:val="0"/>
          <w:numId w:val="8"/>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pPr>
        <w:pStyle w:val="160"/>
        <w:ind w:left="480" w:firstLine="0" w:firstLineChars="0"/>
        <w:rPr>
          <w:rFonts w:ascii="Times New Roman" w:hAnsi="Times New Roman"/>
          <w:color w:val="auto"/>
          <w:sz w:val="24"/>
          <w:szCs w:val="24"/>
        </w:rPr>
      </w:pPr>
    </w:p>
    <w:tbl>
      <w:tblPr>
        <w:tblStyle w:val="4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2022-02-001468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随县林业局林长制公示牌采购项目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382块公示牌</w:t>
            </w: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r>
              <w:rPr>
                <w:rFonts w:hint="eastAsia" w:ascii="Times New Roman" w:hAnsi="Times New Roman" w:eastAsia="宋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76.4</w:t>
            </w:r>
            <w:r>
              <w:rPr>
                <w:rFonts w:hint="eastAsia" w:ascii="Times New Roman" w:hAnsi="Times New Roman" w:eastAsia="宋体" w:cs="Times New Roman"/>
                <w:color w:val="auto"/>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color w:val="auto"/>
                <w:kern w:val="0"/>
                <w:sz w:val="24"/>
                <w:szCs w:val="24"/>
              </w:rPr>
              <w:fldChar w:fldCharType="separate"/>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异常的公式结尾</w:t>
            </w:r>
            <w:r>
              <w:rPr>
                <w:rFonts w:ascii="Times New Roman" w:hAnsi="Times New Roman" w:cs="Times New Roman"/>
                <w:color w:val="auto"/>
                <w:kern w:val="0"/>
                <w:sz w:val="24"/>
                <w:szCs w:val="24"/>
              </w:rPr>
              <w:fldChar w:fldCharType="end"/>
            </w:r>
            <w:r>
              <w:rPr>
                <w:rFonts w:hint="eastAsia" w:ascii="Times New Roman" w:hAnsi="Times New Roman" w:cs="Times New Roman"/>
                <w:color w:val="auto"/>
                <w:kern w:val="0"/>
                <w:sz w:val="24"/>
                <w:szCs w:val="24"/>
              </w:rPr>
              <w:t>名</w:t>
            </w:r>
            <w:r>
              <w:rPr>
                <w:rFonts w:hint="eastAsia" w:ascii="Times New Roman" w:hAnsi="Times New Roman" w:eastAsia="宋体" w:cs="Times New Roman"/>
                <w:color w:val="auto"/>
                <w:kern w:val="0"/>
                <w:sz w:val="24"/>
                <w:szCs w:val="24"/>
              </w:rPr>
              <w:t>称：</w:t>
            </w:r>
            <w:r>
              <w:rPr>
                <w:rFonts w:hint="eastAsia" w:ascii="Times New Roman" w:hAnsi="Times New Roman" w:eastAsia="宋体" w:cs="Times New Roman"/>
                <w:color w:val="auto"/>
                <w:kern w:val="0"/>
                <w:sz w:val="24"/>
                <w:szCs w:val="24"/>
                <w:lang w:eastAsia="zh-CN"/>
              </w:rPr>
              <w:t>随县林业局</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罗海滨</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联系方式：</w:t>
            </w:r>
            <w:r>
              <w:rPr>
                <w:rFonts w:hint="eastAsia" w:ascii="Times New Roman" w:hAnsi="Times New Roman" w:eastAsia="宋体" w:cs="Times New Roman"/>
                <w:color w:val="auto"/>
                <w:kern w:val="0"/>
                <w:sz w:val="24"/>
                <w:szCs w:val="24"/>
                <w:lang w:val="en-US" w:eastAsia="zh-CN"/>
              </w:rPr>
              <w:t>13986440488</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地    址：</w:t>
            </w:r>
            <w:r>
              <w:rPr>
                <w:rFonts w:hint="eastAsia" w:ascii="宋体" w:hAnsi="宋体" w:eastAsia="宋体" w:cs="宋体"/>
                <w:color w:val="auto"/>
                <w:sz w:val="24"/>
                <w:szCs w:val="24"/>
                <w:lang w:val="en-US" w:eastAsia="zh-CN"/>
              </w:rPr>
              <w:t>随县杨林路与利民路交汇处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eastAsia="zh-CN"/>
              </w:rPr>
              <w:t>钦盼</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pPr>
              <w:ind w:left="638" w:leftChars="0" w:hanging="638" w:hangingChars="266"/>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（1）应具备《中华人民共和国政府采购法》第二十二条第一款规定的条件。</w:t>
            </w:r>
          </w:p>
          <w:p>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（2）未被列入“信用中国”、“中国政府采购网”失信被执行人、重大税收违法案件当事人名单、政府采购严重违法失信行为记录名单。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pPr>
              <w:pStyle w:val="88"/>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pPr>
              <w:pStyle w:val="88"/>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由采购人代表和</w:t>
            </w:r>
            <w:r>
              <w:rPr>
                <w:rFonts w:ascii="Times New Roman" w:hAnsi="Times New Roman" w:cs="Times New Roman"/>
                <w:color w:val="auto"/>
                <w:sz w:val="24"/>
                <w:szCs w:val="24"/>
                <w:u w:val="single"/>
                <w:lang w:val="en-US"/>
              </w:rPr>
              <w:t xml:space="preserve"> 2 </w:t>
            </w:r>
            <w:r>
              <w:rPr>
                <w:rFonts w:ascii="Times New Roman" w:hAnsi="Times New Roman" w:cs="Times New Roman"/>
                <w:color w:val="auto"/>
                <w:sz w:val="24"/>
                <w:szCs w:val="24"/>
                <w:lang w:val="en-US"/>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b/>
                <w:bCs/>
                <w:color w:val="auto"/>
                <w:kern w:val="0"/>
                <w:sz w:val="24"/>
                <w:szCs w:val="24"/>
                <w:lang w:eastAsia="zh-CN"/>
              </w:rPr>
            </w:pPr>
            <w:r>
              <w:rPr>
                <w:rFonts w:hint="eastAsia" w:ascii="Times New Roman" w:hAnsi="Times New Roman" w:eastAsia="宋体" w:cs="Times New Roman"/>
                <w:b/>
                <w:bCs/>
                <w:color w:val="auto"/>
                <w:kern w:val="0"/>
                <w:sz w:val="24"/>
                <w:szCs w:val="24"/>
              </w:rPr>
              <w:t>磋商时间：</w:t>
            </w:r>
            <w:r>
              <w:rPr>
                <w:rFonts w:hint="eastAsia" w:ascii="宋体" w:hAnsi="宋体" w:eastAsia="宋体" w:cs="宋体"/>
                <w:color w:val="auto"/>
                <w:sz w:val="24"/>
                <w:szCs w:val="24"/>
                <w:lang w:val="en-US" w:eastAsia="zh-CN"/>
              </w:rPr>
              <w:t>详见竞争性磋商公告</w:t>
            </w:r>
            <w:r>
              <w:rPr>
                <w:rFonts w:hint="eastAsia" w:ascii="Times New Roman" w:hAnsi="Times New Roman" w:eastAsia="宋体" w:cs="Times New Roman"/>
                <w:b/>
                <w:bCs/>
                <w:color w:val="0000FF"/>
                <w:kern w:val="0"/>
                <w:sz w:val="24"/>
                <w:szCs w:val="24"/>
                <w:lang w:val="en-US" w:eastAsia="zh-CN"/>
              </w:rPr>
              <w:t>。</w:t>
            </w:r>
          </w:p>
          <w:p>
            <w:pPr>
              <w:rPr>
                <w:rFonts w:hint="eastAsia"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rPr>
              <w:t>供应商法人或授权代表应携带随州</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电子采购平台具有电子签章功能的CA锁，于递交响应文件截止时间前，到磋商现场或线上解密响应文件，参加磋商过程。为了确保视频磋商效果，建议供应商携带安装湖北省政府采购电子平台相关软件，且调试完好的计算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numPr>
                <w:ilvl w:val="0"/>
                <w:numId w:val="9"/>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本项目非专门面向中小企业</w:t>
            </w:r>
          </w:p>
          <w:p>
            <w:pPr>
              <w:pStyle w:val="88"/>
              <w:numPr>
                <w:ilvl w:val="0"/>
                <w:numId w:val="9"/>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pPr>
              <w:pStyle w:val="88"/>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ascii="Times New Roman" w:hAnsi="Times New Roman" w:cs="Times New Roman"/>
                <w:color w:val="auto"/>
                <w:sz w:val="24"/>
                <w:szCs w:val="24"/>
              </w:rPr>
              <w:t>6%</w:t>
            </w:r>
            <w:r>
              <w:rPr>
                <w:rFonts w:hint="eastAsia" w:ascii="Times New Roman" w:hAnsi="Times New Roman" w:cs="Times New Roman"/>
                <w:color w:val="auto"/>
                <w:sz w:val="24"/>
                <w:szCs w:val="24"/>
              </w:rPr>
              <w:t>的价格扣除。</w:t>
            </w:r>
          </w:p>
          <w:p>
            <w:pPr>
              <w:pStyle w:val="88"/>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pPr>
              <w:pStyle w:val="88"/>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p>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pPr>
              <w:pStyle w:val="88"/>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47"/>
                <w:rFonts w:hint="eastAsia"/>
                <w:color w:val="auto"/>
                <w:sz w:val="24"/>
              </w:rPr>
              <w:t>https://dzcg.hubeigp.gov.cn/assets/special/100/hbenterpoint.html</w:t>
            </w:r>
            <w:r>
              <w:rPr>
                <w:rStyle w:val="47"/>
                <w:rFonts w:hint="eastAsia"/>
                <w:color w:val="auto"/>
                <w:sz w:val="24"/>
                <w:lang w:eastAsia="zh-CN"/>
              </w:rPr>
              <w:t>）</w:t>
            </w:r>
            <w:r>
              <w:rPr>
                <w:rStyle w:val="47"/>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pPr>
              <w:ind w:left="278" w:hanging="278" w:hangingChars="116"/>
              <w:rPr>
                <w:color w:val="auto"/>
                <w:sz w:val="24"/>
              </w:rPr>
            </w:pPr>
            <w:r>
              <w:rPr>
                <w:color w:val="auto"/>
                <w:sz w:val="24"/>
              </w:rPr>
              <w:t>（3）交易平台环境要求：</w:t>
            </w:r>
          </w:p>
          <w:p>
            <w:pPr>
              <w:ind w:left="214" w:leftChars="85" w:hanging="36" w:hangingChars="15"/>
              <w:rPr>
                <w:color w:val="auto"/>
                <w:sz w:val="24"/>
              </w:rPr>
            </w:pPr>
            <w:r>
              <w:rPr>
                <w:color w:val="auto"/>
                <w:sz w:val="24"/>
              </w:rPr>
              <w:t>①操作系统：Windows 7及以上版本；</w:t>
            </w:r>
          </w:p>
          <w:p>
            <w:pPr>
              <w:ind w:left="214" w:leftChars="85" w:hanging="36" w:hangingChars="15"/>
              <w:rPr>
                <w:color w:val="auto"/>
                <w:sz w:val="24"/>
              </w:rPr>
            </w:pPr>
            <w:r>
              <w:rPr>
                <w:color w:val="auto"/>
                <w:sz w:val="24"/>
              </w:rPr>
              <w:t>②浏览器：360浏览器、Internet Explorer 11、10；</w:t>
            </w:r>
          </w:p>
          <w:p>
            <w:pPr>
              <w:ind w:left="214" w:leftChars="85" w:hanging="36" w:hangingChars="15"/>
              <w:rPr>
                <w:color w:val="auto"/>
                <w:sz w:val="24"/>
              </w:rPr>
            </w:pPr>
            <w:r>
              <w:rPr>
                <w:color w:val="auto"/>
                <w:sz w:val="24"/>
              </w:rPr>
              <w:t>③办公软件：Microsoft Office 2007-2016完整版、WPS Office 2019个人版、WPS Office 企业版；</w:t>
            </w:r>
          </w:p>
          <w:p>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pPr>
        <w:spacing w:line="500" w:lineRule="exact"/>
        <w:jc w:val="center"/>
        <w:rPr>
          <w:rFonts w:ascii="Times New Roman" w:hAnsi="Times New Roman" w:cs="Times New Roman"/>
          <w:b/>
          <w:color w:val="auto"/>
          <w:sz w:val="24"/>
          <w:szCs w:val="24"/>
          <w:lang w:val="hr-HR" w:bidi="ar-EG"/>
        </w:rPr>
      </w:pPr>
      <w:r>
        <w:rPr>
          <w:rFonts w:hint="eastAsia" w:ascii="Times New Roman" w:hAnsi="Times New Roman" w:cs="Times New Roman"/>
          <w:b/>
          <w:color w:val="auto"/>
          <w:sz w:val="24"/>
          <w:szCs w:val="24"/>
          <w:lang w:val="hr-HR" w:bidi="ar-EG"/>
        </w:rPr>
        <w:t>二、供应商须知</w:t>
      </w:r>
    </w:p>
    <w:p>
      <w:pPr>
        <w:spacing w:line="440" w:lineRule="exact"/>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并提供相关证明材料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rPr>
        <w:t>两天</w:t>
      </w:r>
      <w:r>
        <w:rPr>
          <w:rFonts w:hint="eastAsia" w:ascii="Times New Roman" w:hAnsi="Times New Roman" w:cs="Times New Roman"/>
          <w:color w:val="auto"/>
          <w:sz w:val="24"/>
          <w:szCs w:val="24"/>
        </w:rPr>
        <w:t>前以书面形式要求采购单位作出书面澄清。对于在此时间之后递交的询问或质疑，不予受理。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15</w:t>
      </w:r>
      <w:r>
        <w:rPr>
          <w:rFonts w:hint="eastAsia" w:ascii="Times New Roman" w:hAnsi="Times New Roman" w:cs="Times New Roman"/>
          <w:bCs/>
          <w:color w:val="auto"/>
          <w:sz w:val="24"/>
          <w:szCs w:val="24"/>
        </w:rPr>
        <w:t>）供应商认为需要提供的其他资格证明文件及资料。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2" w:name="_Toc3291"/>
      <w:bookmarkStart w:id="33" w:name="_Toc9068"/>
      <w:r>
        <w:rPr>
          <w:rFonts w:hint="eastAsia" w:ascii="Times New Roman" w:hAnsi="Times New Roman" w:eastAsia="黑体" w:cs="Times New Roman"/>
          <w:color w:val="auto"/>
          <w:sz w:val="24"/>
          <w:szCs w:val="24"/>
        </w:rPr>
        <w:t>四、报价要求</w:t>
      </w:r>
      <w:bookmarkEnd w:id="32"/>
      <w:bookmarkEnd w:id="33"/>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pPr>
        <w:pStyle w:val="50"/>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bCs/>
          <w:color w:val="auto"/>
          <w:sz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pPr>
        <w:pStyle w:val="17"/>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8"/>
          <w:szCs w:val="28"/>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pStyle w:val="2"/>
        <w:rPr>
          <w:color w:val="auto"/>
        </w:rPr>
      </w:pPr>
    </w:p>
    <w:p>
      <w:pPr>
        <w:rPr>
          <w:color w:val="auto"/>
        </w:rPr>
      </w:pPr>
    </w:p>
    <w:p>
      <w:pPr>
        <w:pStyle w:val="2"/>
        <w:rPr>
          <w:color w:val="auto"/>
        </w:rPr>
      </w:pPr>
    </w:p>
    <w:p>
      <w:pPr>
        <w:rPr>
          <w:color w:val="auto"/>
        </w:rPr>
      </w:pPr>
    </w:p>
    <w:p>
      <w:pPr>
        <w:pStyle w:val="2"/>
        <w:ind w:left="0" w:leftChars="0" w:firstLine="0" w:firstLineChars="0"/>
        <w:rPr>
          <w:color w:val="auto"/>
        </w:rPr>
      </w:pPr>
    </w:p>
    <w:p>
      <w:pPr>
        <w:rPr>
          <w:color w:val="auto"/>
        </w:rPr>
      </w:pPr>
    </w:p>
    <w:p>
      <w:pPr>
        <w:rPr>
          <w:color w:val="auto"/>
        </w:rPr>
      </w:pPr>
    </w:p>
    <w:p>
      <w:pPr>
        <w:numPr>
          <w:ilvl w:val="0"/>
          <w:numId w:val="10"/>
        </w:numPr>
        <w:spacing w:line="500" w:lineRule="exact"/>
        <w:ind w:left="840" w:leftChars="0" w:right="1039" w:rightChars="495" w:firstLineChars="0"/>
        <w:jc w:val="center"/>
        <w:outlineLvl w:val="0"/>
        <w:rPr>
          <w:rFonts w:hint="eastAsia" w:cs="Times New Roman" w:asciiTheme="majorEastAsia" w:hAnsiTheme="majorEastAsia" w:eastAsiaTheme="majorEastAsia"/>
          <w:b/>
          <w:color w:val="auto"/>
          <w:sz w:val="36"/>
          <w:szCs w:val="36"/>
        </w:rPr>
      </w:pPr>
      <w:bookmarkStart w:id="34" w:name="_Toc25440"/>
      <w:r>
        <w:rPr>
          <w:rFonts w:hint="eastAsia" w:cs="Times New Roman" w:asciiTheme="majorEastAsia" w:hAnsiTheme="majorEastAsia" w:eastAsiaTheme="majorEastAsia"/>
          <w:b/>
          <w:color w:val="auto"/>
          <w:sz w:val="36"/>
          <w:szCs w:val="36"/>
          <w:lang w:val="hr-HR" w:bidi="ar-EG"/>
        </w:rPr>
        <w:t>采购</w:t>
      </w:r>
      <w:r>
        <w:rPr>
          <w:rFonts w:hint="eastAsia" w:cs="Times New Roman" w:asciiTheme="majorEastAsia" w:hAnsiTheme="majorEastAsia" w:eastAsiaTheme="majorEastAsia"/>
          <w:b/>
          <w:color w:val="auto"/>
          <w:sz w:val="36"/>
          <w:szCs w:val="36"/>
        </w:rPr>
        <w:t>货物技术参数、规格及要求</w:t>
      </w:r>
      <w:bookmarkEnd w:id="30"/>
      <w:bookmarkEnd w:id="34"/>
      <w:bookmarkStart w:id="35" w:name="_Toc432753211"/>
      <w:bookmarkStart w:id="36" w:name="_Toc78299292"/>
      <w:bookmarkStart w:id="37" w:name="_Toc1458930"/>
    </w:p>
    <w:p>
      <w:pPr>
        <w:pStyle w:val="2"/>
        <w:numPr>
          <w:ilvl w:val="0"/>
          <w:numId w:val="0"/>
        </w:numPr>
        <w:rPr>
          <w:color w:val="auto"/>
          <w:lang w:val="hr-HR"/>
        </w:rPr>
      </w:pPr>
    </w:p>
    <w:bookmarkEnd w:id="35"/>
    <w:bookmarkEnd w:id="36"/>
    <w:bookmarkEnd w:id="37"/>
    <w:p>
      <w:pPr>
        <w:pStyle w:val="4"/>
        <w:pageBreakBefore w:val="0"/>
        <w:widowControl w:val="0"/>
        <w:numPr>
          <w:ilvl w:val="0"/>
          <w:numId w:val="11"/>
        </w:numPr>
        <w:kinsoku/>
        <w:wordWrap/>
        <w:overflowPunct/>
        <w:topLinePunct w:val="0"/>
        <w:autoSpaceDE/>
        <w:autoSpaceDN/>
        <w:bidi w:val="0"/>
        <w:adjustRightInd/>
        <w:snapToGrid/>
        <w:ind w:right="0" w:rightChars="0"/>
        <w:textAlignment w:val="auto"/>
        <w:rPr>
          <w:rFonts w:hint="eastAsia"/>
          <w:color w:val="auto"/>
        </w:rPr>
      </w:pPr>
      <w:bookmarkStart w:id="38" w:name="_Toc23295"/>
      <w:bookmarkStart w:id="39" w:name="_Toc2507"/>
      <w:r>
        <w:rPr>
          <w:rFonts w:hint="eastAsia"/>
          <w:color w:val="auto"/>
        </w:rPr>
        <w:t>采购清单</w:t>
      </w:r>
    </w:p>
    <w:tbl>
      <w:tblPr>
        <w:tblStyle w:val="41"/>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662"/>
        <w:gridCol w:w="849"/>
        <w:gridCol w:w="956"/>
        <w:gridCol w:w="2839"/>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476"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序号</w:t>
            </w:r>
          </w:p>
        </w:tc>
        <w:tc>
          <w:tcPr>
            <w:tcW w:w="1395"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产品及服务内容</w:t>
            </w:r>
          </w:p>
        </w:tc>
        <w:tc>
          <w:tcPr>
            <w:tcW w:w="445"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数量</w:t>
            </w:r>
          </w:p>
        </w:tc>
        <w:tc>
          <w:tcPr>
            <w:tcW w:w="501"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单位</w:t>
            </w:r>
          </w:p>
        </w:tc>
        <w:tc>
          <w:tcPr>
            <w:tcW w:w="1488"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要求/备注</w:t>
            </w:r>
          </w:p>
        </w:tc>
        <w:tc>
          <w:tcPr>
            <w:tcW w:w="691" w:type="pct"/>
            <w:noWrap w:val="0"/>
            <w:vAlign w:val="center"/>
          </w:tcPr>
          <w:p>
            <w:pPr>
              <w:snapToGrid/>
              <w:spacing w:before="0" w:beforeAutospacing="0" w:after="0" w:afterAutospacing="0" w:line="360" w:lineRule="auto"/>
              <w:jc w:val="center"/>
              <w:textAlignment w:val="baseline"/>
              <w:rPr>
                <w:rStyle w:val="191"/>
                <w:rFonts w:hint="eastAsia"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货物</w:t>
            </w:r>
          </w:p>
          <w:p>
            <w:pPr>
              <w:snapToGrid/>
              <w:spacing w:before="0" w:beforeAutospacing="0" w:after="0" w:afterAutospacing="0" w:line="360" w:lineRule="auto"/>
              <w:jc w:val="center"/>
              <w:textAlignment w:val="baseline"/>
              <w:rPr>
                <w:rStyle w:val="191"/>
                <w:rFonts w:hint="eastAsia"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6"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1</w:t>
            </w:r>
          </w:p>
        </w:tc>
        <w:tc>
          <w:tcPr>
            <w:tcW w:w="1395" w:type="pct"/>
            <w:noWrap w:val="0"/>
            <w:vAlign w:val="center"/>
          </w:tcPr>
          <w:p>
            <w:pPr>
              <w:snapToGrid/>
              <w:spacing w:before="0" w:beforeAutospacing="0" w:after="0" w:afterAutospacing="0" w:line="360" w:lineRule="auto"/>
              <w:jc w:val="both"/>
              <w:textAlignment w:val="baseline"/>
              <w:rPr>
                <w:rStyle w:val="191"/>
                <w:rFonts w:hint="default" w:ascii="宋体" w:hAnsi="宋体"/>
                <w:b w:val="0"/>
                <w:i w:val="0"/>
                <w:caps w:val="0"/>
                <w:spacing w:val="0"/>
                <w:w w:val="100"/>
                <w:kern w:val="2"/>
                <w:sz w:val="24"/>
                <w:szCs w:val="24"/>
                <w:lang w:val="en-US" w:eastAsia="zh-CN" w:bidi="ar-SA"/>
              </w:rPr>
            </w:pPr>
            <w:r>
              <w:rPr>
                <w:rFonts w:hint="eastAsia" w:ascii="宋体" w:hAnsi="宋体"/>
                <w:sz w:val="24"/>
                <w:szCs w:val="24"/>
                <w:lang w:val="en-US" w:eastAsia="zh-CN"/>
              </w:rPr>
              <w:t>玻璃钢仿木纹公示牌</w:t>
            </w:r>
          </w:p>
        </w:tc>
        <w:tc>
          <w:tcPr>
            <w:tcW w:w="445"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382</w:t>
            </w:r>
          </w:p>
        </w:tc>
        <w:tc>
          <w:tcPr>
            <w:tcW w:w="501" w:type="pct"/>
            <w:noWrap w:val="0"/>
            <w:vAlign w:val="center"/>
          </w:tcPr>
          <w:p>
            <w:pPr>
              <w:snapToGrid/>
              <w:spacing w:before="0" w:beforeAutospacing="0" w:after="0" w:afterAutospacing="0" w:line="360" w:lineRule="auto"/>
              <w:jc w:val="center"/>
              <w:textAlignment w:val="baseline"/>
              <w:rPr>
                <w:rStyle w:val="191"/>
                <w:rFonts w:hint="default"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套</w:t>
            </w:r>
          </w:p>
        </w:tc>
        <w:tc>
          <w:tcPr>
            <w:tcW w:w="1488" w:type="pct"/>
            <w:noWrap w:val="0"/>
            <w:vAlign w:val="center"/>
          </w:tcPr>
          <w:p>
            <w:pPr>
              <w:snapToGrid/>
              <w:spacing w:before="0" w:beforeAutospacing="0" w:after="0" w:afterAutospacing="0" w:line="360" w:lineRule="auto"/>
              <w:jc w:val="both"/>
              <w:textAlignment w:val="baseline"/>
              <w:rPr>
                <w:rFonts w:hint="eastAsia" w:ascii="宋体" w:hAnsi="宋体"/>
                <w:sz w:val="24"/>
                <w:szCs w:val="24"/>
                <w:lang w:val="en-US" w:eastAsia="zh-CN"/>
              </w:rPr>
            </w:pPr>
            <w:r>
              <w:rPr>
                <w:rFonts w:hint="eastAsia" w:ascii="宋体" w:hAnsi="宋体"/>
                <w:sz w:val="24"/>
                <w:szCs w:val="24"/>
                <w:lang w:val="en-US" w:eastAsia="zh-CN"/>
              </w:rPr>
              <w:t>尺寸</w:t>
            </w:r>
          </w:p>
          <w:p>
            <w:pPr>
              <w:snapToGrid/>
              <w:spacing w:before="0" w:beforeAutospacing="0" w:after="0" w:afterAutospacing="0" w:line="360" w:lineRule="auto"/>
              <w:jc w:val="both"/>
              <w:textAlignment w:val="baseline"/>
              <w:rPr>
                <w:rFonts w:hint="eastAsia" w:ascii="宋体" w:hAnsi="宋体"/>
                <w:sz w:val="24"/>
                <w:szCs w:val="24"/>
                <w:lang w:val="en-US" w:eastAsia="zh-CN"/>
              </w:rPr>
            </w:pPr>
            <w:r>
              <w:rPr>
                <w:rFonts w:hint="eastAsia" w:ascii="宋体" w:hAnsi="宋体"/>
                <w:sz w:val="24"/>
                <w:szCs w:val="24"/>
                <w:lang w:val="en-US" w:eastAsia="zh-CN"/>
              </w:rPr>
              <w:t>外：高4160*宽3250cm</w:t>
            </w:r>
          </w:p>
          <w:p>
            <w:pPr>
              <w:snapToGrid/>
              <w:spacing w:before="0" w:beforeAutospacing="0" w:after="0" w:afterAutospacing="0" w:line="360" w:lineRule="auto"/>
              <w:jc w:val="both"/>
              <w:textAlignment w:val="baseline"/>
              <w:rPr>
                <w:rStyle w:val="191"/>
                <w:rFonts w:hint="default" w:ascii="宋体" w:hAnsi="宋体" w:eastAsiaTheme="minorEastAsia"/>
                <w:b w:val="0"/>
                <w:i w:val="0"/>
                <w:caps w:val="0"/>
                <w:spacing w:val="0"/>
                <w:w w:val="100"/>
                <w:kern w:val="2"/>
                <w:sz w:val="24"/>
                <w:szCs w:val="24"/>
                <w:lang w:val="en-US" w:eastAsia="zh-CN" w:bidi="ar-SA"/>
              </w:rPr>
            </w:pPr>
            <w:r>
              <w:rPr>
                <w:rFonts w:hint="eastAsia" w:ascii="宋体" w:hAnsi="宋体"/>
                <w:sz w:val="24"/>
                <w:szCs w:val="24"/>
                <w:lang w:val="en-US" w:eastAsia="zh-CN"/>
              </w:rPr>
              <w:t>内：高1220*宽2440cm</w:t>
            </w:r>
          </w:p>
        </w:tc>
        <w:tc>
          <w:tcPr>
            <w:tcW w:w="691" w:type="pct"/>
            <w:noWrap w:val="0"/>
            <w:vAlign w:val="center"/>
          </w:tcPr>
          <w:p>
            <w:pPr>
              <w:snapToGrid/>
              <w:spacing w:before="0" w:beforeAutospacing="0" w:after="0" w:afterAutospacing="0" w:line="360" w:lineRule="auto"/>
              <w:jc w:val="center"/>
              <w:textAlignment w:val="baseline"/>
              <w:rPr>
                <w:rStyle w:val="191"/>
                <w:rFonts w:hint="eastAsia" w:ascii="宋体" w:hAnsi="宋体"/>
                <w:b w:val="0"/>
                <w:i w:val="0"/>
                <w:caps w:val="0"/>
                <w:spacing w:val="0"/>
                <w:w w:val="100"/>
                <w:kern w:val="2"/>
                <w:sz w:val="24"/>
                <w:szCs w:val="24"/>
                <w:lang w:val="en-US" w:eastAsia="zh-CN" w:bidi="ar-SA"/>
              </w:rPr>
            </w:pPr>
            <w:r>
              <w:rPr>
                <w:rStyle w:val="191"/>
                <w:rFonts w:hint="eastAsia" w:ascii="宋体" w:hAnsi="宋体"/>
                <w:b w:val="0"/>
                <w:i w:val="0"/>
                <w:caps w:val="0"/>
                <w:spacing w:val="0"/>
                <w:w w:val="100"/>
                <w:kern w:val="2"/>
                <w:sz w:val="24"/>
                <w:szCs w:val="24"/>
                <w:lang w:val="en-US" w:eastAsia="zh-CN" w:bidi="ar-SA"/>
              </w:rPr>
              <w:t>货物</w:t>
            </w:r>
          </w:p>
        </w:tc>
      </w:tr>
    </w:tbl>
    <w:p>
      <w:pPr>
        <w:pStyle w:val="4"/>
        <w:pageBreakBefore w:val="0"/>
        <w:widowControl w:val="0"/>
        <w:numPr>
          <w:ilvl w:val="0"/>
          <w:numId w:val="11"/>
        </w:numPr>
        <w:kinsoku/>
        <w:wordWrap/>
        <w:overflowPunct/>
        <w:topLinePunct w:val="0"/>
        <w:autoSpaceDE/>
        <w:autoSpaceDN/>
        <w:bidi w:val="0"/>
        <w:adjustRightInd/>
        <w:snapToGrid/>
        <w:ind w:left="432" w:leftChars="0" w:right="0" w:rightChars="0" w:hanging="432" w:firstLine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项目概述及简介</w:t>
      </w:r>
      <w:bookmarkStart w:id="40" w:name="_Toc494702253"/>
      <w:bookmarkStart w:id="41" w:name="_Toc494721083"/>
      <w:bookmarkStart w:id="42" w:name="_Toc509992675"/>
      <w:bookmarkStart w:id="43" w:name="_Toc494745300"/>
      <w:bookmarkStart w:id="44" w:name="_Toc494664983"/>
      <w:bookmarkStart w:id="45" w:name="_Toc1458934"/>
      <w:bookmarkStart w:id="46" w:name="_Toc494665536"/>
      <w:bookmarkStart w:id="47" w:name="_Toc75007954"/>
      <w:bookmarkStart w:id="48" w:name="_Toc509997287"/>
      <w:bookmarkStart w:id="49" w:name="_Toc1421486"/>
      <w:bookmarkStart w:id="50" w:name="_Toc4946659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sz w:val="24"/>
          <w:szCs w:val="24"/>
          <w:lang w:val="en-US" w:eastAsia="zh-CN"/>
        </w:rPr>
      </w:pPr>
      <w:r>
        <w:rPr>
          <w:rFonts w:hint="eastAsia"/>
          <w:sz w:val="24"/>
          <w:szCs w:val="24"/>
          <w:lang w:val="en-US" w:eastAsia="zh-CN"/>
        </w:rPr>
        <w:t>2021年1月，中共中央办公厅、国务院办公厅印发了《关于全面推行林长制的意见》，发出通知要求各地区各部门结合实际认真贯彻落实，林长制是指按照“分级负责”原则，构建省市县乡村五级林长制体系，各级林长负责督促指导本责任区内森林资源保护发展工作，协调解决森林资源保护发展重大问题，依法查处各类破坏森林资源的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全县范围内，以村为单位公示林长制度及责任划分，制作公示栏安装到村</w:t>
      </w:r>
      <w:bookmarkEnd w:id="40"/>
      <w:bookmarkEnd w:id="41"/>
      <w:bookmarkEnd w:id="42"/>
      <w:bookmarkEnd w:id="43"/>
      <w:bookmarkEnd w:id="44"/>
      <w:bookmarkEnd w:id="45"/>
      <w:bookmarkEnd w:id="46"/>
      <w:bookmarkEnd w:id="47"/>
      <w:bookmarkEnd w:id="48"/>
      <w:bookmarkEnd w:id="49"/>
      <w:bookmarkEnd w:id="50"/>
      <w:r>
        <w:rPr>
          <w:rFonts w:hint="eastAsia"/>
          <w:sz w:val="24"/>
          <w:szCs w:val="24"/>
          <w:lang w:val="en-US" w:eastAsia="zh-CN"/>
        </w:rPr>
        <w:t>。</w:t>
      </w:r>
    </w:p>
    <w:p>
      <w:pPr>
        <w:numPr>
          <w:ilvl w:val="0"/>
          <w:numId w:val="0"/>
        </w:numPr>
        <w:rPr>
          <w:rFonts w:hint="eastAsia"/>
          <w:sz w:val="21"/>
          <w:szCs w:val="21"/>
          <w:lang w:val="en-US" w:eastAsia="zh-CN"/>
        </w:rPr>
      </w:pPr>
    </w:p>
    <w:p>
      <w:pPr>
        <w:numPr>
          <w:ilvl w:val="0"/>
          <w:numId w:val="0"/>
        </w:num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三、国家相关行政主管部门颁布的标准、规范</w:t>
      </w:r>
    </w:p>
    <w:p>
      <w:pPr>
        <w:snapToGrid/>
        <w:spacing w:before="0" w:beforeAutospacing="0" w:after="0" w:afterAutospacing="0" w:line="240" w:lineRule="auto"/>
        <w:ind w:firstLine="480" w:firstLineChars="200"/>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p>
    <w:p>
      <w:pPr>
        <w:snapToGrid/>
        <w:spacing w:before="0" w:beforeAutospacing="0" w:after="0" w:afterAutospacing="0" w:line="240" w:lineRule="auto"/>
        <w:ind w:firstLine="480" w:firstLineChars="200"/>
        <w:jc w:val="both"/>
        <w:textAlignment w:val="baseline"/>
        <w:rPr>
          <w:rFonts w:hint="eastAsia"/>
          <w:lang w:val="en-US" w:eastAsia="zh-CN"/>
        </w:r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采购内容需执行国家相关标准、行业标准、地方标准或者其他标准、规范</w:t>
      </w:r>
      <w:r>
        <w:rPr>
          <w:rStyle w:val="191"/>
          <w:rFonts w:hint="eastAsia" w:asciiTheme="minorEastAsia" w:hAnsiTheme="minorEastAsia" w:cstheme="minorEastAsia"/>
          <w:b w:val="0"/>
          <w:i w:val="0"/>
          <w:caps w:val="0"/>
          <w:spacing w:val="0"/>
          <w:w w:val="100"/>
          <w:kern w:val="2"/>
          <w:sz w:val="24"/>
          <w:szCs w:val="24"/>
          <w:lang w:val="zh-CN" w:eastAsia="zh-CN" w:bidi="ar-SA"/>
        </w:rPr>
        <w:t>。</w:t>
      </w:r>
    </w:p>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四、技术、服务要求</w:t>
      </w:r>
    </w:p>
    <w:p>
      <w:pPr>
        <w:keepNext w:val="0"/>
        <w:keepLines w:val="0"/>
        <w:pageBreakBefore w:val="0"/>
        <w:widowControl w:val="0"/>
        <w:kinsoku/>
        <w:wordWrap/>
        <w:overflowPunct/>
        <w:topLinePunct w:val="0"/>
        <w:bidi w:val="0"/>
        <w:adjustRightInd/>
        <w:snapToGrid/>
        <w:spacing w:line="360" w:lineRule="auto"/>
        <w:ind w:left="773" w:leftChars="26" w:right="0" w:rightChars="0" w:hanging="718"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1、投标人在投标文件《技术、服务要求响应、偏离说明表》中未对以下技术、</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left="773" w:leftChars="368" w:right="0" w:rightChars="0" w:firstLine="2" w:firstLineChars="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840" w:firstLineChars="350"/>
        <w:textAlignment w:val="auto"/>
        <w:rPr>
          <w:rFonts w:hint="default" w:eastAsiaTheme="minorEastAsia"/>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p>
    <w:tbl>
      <w:tblPr>
        <w:tblStyle w:val="4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720"/>
        <w:gridCol w:w="7185"/>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487" w:type="dxa"/>
            <w:noWrap/>
            <w:tcMar>
              <w:top w:w="15" w:type="dxa"/>
              <w:left w:w="15" w:type="dxa"/>
              <w:bottom w:w="0" w:type="dxa"/>
              <w:right w:w="15" w:type="dxa"/>
            </w:tcMar>
            <w:vAlign w:val="center"/>
          </w:tcPr>
          <w:p>
            <w:pPr>
              <w:jc w:val="center"/>
              <w:rPr>
                <w:rFonts w:hint="eastAsia" w:ascii="宋体" w:hAnsi="宋体" w:eastAsia="宋体" w:cs="宋体"/>
                <w:sz w:val="24"/>
                <w:szCs w:val="24"/>
              </w:rPr>
            </w:pPr>
            <w:bookmarkStart w:id="51" w:name="_Toc75007956"/>
            <w:bookmarkStart w:id="52" w:name="_Toc1458936"/>
            <w:r>
              <w:rPr>
                <w:rFonts w:hint="eastAsia" w:ascii="宋体" w:hAnsi="宋体" w:eastAsia="宋体" w:cs="宋体"/>
                <w:sz w:val="24"/>
                <w:szCs w:val="24"/>
              </w:rPr>
              <w:t>序号</w:t>
            </w:r>
          </w:p>
        </w:tc>
        <w:tc>
          <w:tcPr>
            <w:tcW w:w="720" w:type="dxa"/>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7185" w:type="dxa"/>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b/>
                <w:sz w:val="24"/>
                <w:szCs w:val="24"/>
              </w:rPr>
              <w:t>功能及技术参数</w:t>
            </w:r>
          </w:p>
        </w:tc>
        <w:tc>
          <w:tcPr>
            <w:tcW w:w="527" w:type="dxa"/>
            <w:noWrap/>
            <w:tcMar>
              <w:top w:w="15" w:type="dxa"/>
              <w:left w:w="15" w:type="dxa"/>
              <w:bottom w:w="0" w:type="dxa"/>
              <w:right w:w="15" w:type="dxa"/>
            </w:tcMar>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b/>
                <w:sz w:val="24"/>
                <w:szCs w:val="24"/>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3" w:hRule="atLeast"/>
        </w:trPr>
        <w:tc>
          <w:tcPr>
            <w:tcW w:w="487"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20" w:type="dxa"/>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玻璃钢仿木纹材质</w:t>
            </w:r>
          </w:p>
        </w:tc>
        <w:tc>
          <w:tcPr>
            <w:tcW w:w="7185" w:type="dxa"/>
            <w:noWrap w:val="0"/>
            <w:tcMar>
              <w:top w:w="15" w:type="dxa"/>
              <w:left w:w="15" w:type="dxa"/>
              <w:bottom w:w="0" w:type="dxa"/>
              <w:right w:w="15" w:type="dxa"/>
            </w:tcMar>
            <w:vAlign w:val="center"/>
          </w:tcPr>
          <w:tbl>
            <w:tblPr>
              <w:tblStyle w:val="41"/>
              <w:tblW w:w="7517" w:type="dxa"/>
              <w:jc w:val="center"/>
              <w:tblLayout w:type="fixed"/>
              <w:tblCellMar>
                <w:top w:w="0" w:type="dxa"/>
                <w:left w:w="10" w:type="dxa"/>
                <w:bottom w:w="0" w:type="dxa"/>
                <w:right w:w="10" w:type="dxa"/>
              </w:tblCellMar>
            </w:tblPr>
            <w:tblGrid>
              <w:gridCol w:w="598"/>
              <w:gridCol w:w="1540"/>
              <w:gridCol w:w="661"/>
              <w:gridCol w:w="930"/>
              <w:gridCol w:w="1152"/>
              <w:gridCol w:w="2393"/>
              <w:gridCol w:w="243"/>
            </w:tblGrid>
            <w:tr>
              <w:tblPrEx>
                <w:tblCellMar>
                  <w:top w:w="0" w:type="dxa"/>
                  <w:left w:w="10" w:type="dxa"/>
                  <w:bottom w:w="0" w:type="dxa"/>
                  <w:right w:w="10" w:type="dxa"/>
                </w:tblCellMar>
              </w:tblPrEx>
              <w:trPr>
                <w:trHeight w:val="557" w:hRule="exact"/>
                <w:jc w:val="center"/>
              </w:trPr>
              <w:tc>
                <w:tcPr>
                  <w:tcW w:w="598" w:type="dxa"/>
                  <w:tcBorders>
                    <w:top w:val="nil"/>
                    <w:left w:val="single" w:color="auto" w:sz="4" w:space="0"/>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left"/>
                    <w:rPr>
                      <w:rFonts w:hint="eastAsia" w:eastAsia="宋体"/>
                      <w:sz w:val="18"/>
                      <w:szCs w:val="18"/>
                      <w:shd w:val="clear" w:color="auto" w:fill="auto"/>
                      <w:lang w:eastAsia="zh-CN"/>
                    </w:rPr>
                  </w:pPr>
                  <w:r>
                    <w:rPr>
                      <w:rFonts w:ascii="宋体" w:hAnsi="宋体" w:eastAsia="宋体" w:cs="宋体"/>
                      <w:color w:val="000000"/>
                      <w:spacing w:val="0"/>
                      <w:w w:val="100"/>
                      <w:position w:val="0"/>
                      <w:sz w:val="18"/>
                      <w:szCs w:val="18"/>
                      <w:shd w:val="clear" w:color="auto" w:fill="auto"/>
                      <w:lang w:val="zh-TW" w:eastAsia="zh-TW" w:bidi="zh-TW"/>
                    </w:rPr>
                    <w:t>序</w:t>
                  </w:r>
                  <w:r>
                    <w:rPr>
                      <w:rFonts w:hint="eastAsia" w:ascii="宋体" w:hAnsi="宋体" w:eastAsia="宋体" w:cs="宋体"/>
                      <w:color w:val="000000"/>
                      <w:spacing w:val="0"/>
                      <w:w w:val="100"/>
                      <w:position w:val="0"/>
                      <w:sz w:val="18"/>
                      <w:szCs w:val="18"/>
                      <w:shd w:val="clear" w:color="auto" w:fill="auto"/>
                      <w:lang w:val="zh-TW" w:eastAsia="zh-CN" w:bidi="zh-TW"/>
                    </w:rPr>
                    <w:t>序号</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检测项目</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单位</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rFonts w:hint="default" w:eastAsiaTheme="minorEastAsia"/>
                      <w:sz w:val="18"/>
                      <w:szCs w:val="18"/>
                      <w:shd w:val="clear" w:color="auto" w:fill="auto"/>
                      <w:lang w:val="en-US" w:eastAsia="zh-CN"/>
                    </w:rPr>
                  </w:pPr>
                  <w:r>
                    <w:rPr>
                      <w:rFonts w:hint="eastAsia"/>
                      <w:sz w:val="18"/>
                      <w:szCs w:val="18"/>
                      <w:shd w:val="clear" w:color="auto" w:fill="auto"/>
                      <w:lang w:val="en-US" w:eastAsia="zh-CN"/>
                    </w:rPr>
                    <w:t>数值</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依据</w:t>
                  </w:r>
                </w:p>
              </w:tc>
              <w:tc>
                <w:tcPr>
                  <w:tcW w:w="243" w:type="dxa"/>
                  <w:vMerge w:val="restart"/>
                  <w:tcBorders>
                    <w:left w:val="nil"/>
                  </w:tcBorders>
                  <w:shd w:val="clear" w:color="auto" w:fill="FFFFFF"/>
                  <w:vAlign w:val="top"/>
                </w:tcPr>
                <w:p>
                  <w:pPr>
                    <w:rPr>
                      <w:sz w:val="18"/>
                      <w:szCs w:val="18"/>
                    </w:rPr>
                  </w:pPr>
                </w:p>
              </w:tc>
            </w:tr>
            <w:tr>
              <w:tblPrEx>
                <w:tblCellMar>
                  <w:top w:w="0" w:type="dxa"/>
                  <w:left w:w="10" w:type="dxa"/>
                  <w:bottom w:w="0" w:type="dxa"/>
                  <w:right w:w="10" w:type="dxa"/>
                </w:tblCellMar>
              </w:tblPrEx>
              <w:trPr>
                <w:trHeight w:val="466"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吸水率</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0.57</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GB/T1462-2005</w:t>
                  </w:r>
                </w:p>
              </w:tc>
              <w:tc>
                <w:tcPr>
                  <w:tcW w:w="243" w:type="dxa"/>
                  <w:vMerge w:val="continue"/>
                  <w:tcBorders>
                    <w:left w:val="nil"/>
                  </w:tcBorders>
                  <w:shd w:val="clear" w:color="auto" w:fill="FFFFFF"/>
                  <w:vAlign w:val="top"/>
                </w:tcPr>
                <w:p>
                  <w:pPr>
                    <w:rPr>
                      <w:sz w:val="18"/>
                      <w:szCs w:val="18"/>
                    </w:rPr>
                  </w:pPr>
                </w:p>
              </w:tc>
            </w:tr>
            <w:tr>
              <w:tblPrEx>
                <w:tblCellMar>
                  <w:top w:w="0" w:type="dxa"/>
                  <w:left w:w="10" w:type="dxa"/>
                  <w:bottom w:w="0" w:type="dxa"/>
                  <w:right w:w="10" w:type="dxa"/>
                </w:tblCellMar>
              </w:tblPrEx>
              <w:trPr>
                <w:trHeight w:val="442" w:hRule="exact"/>
                <w:jc w:val="center"/>
              </w:trPr>
              <w:tc>
                <w:tcPr>
                  <w:tcW w:w="598"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2</w:t>
                  </w:r>
                </w:p>
              </w:tc>
              <w:tc>
                <w:tcPr>
                  <w:tcW w:w="2201" w:type="dxa"/>
                  <w:gridSpan w:val="2"/>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热变形温度</w:t>
                  </w:r>
                </w:p>
              </w:tc>
              <w:tc>
                <w:tcPr>
                  <w:tcW w:w="930"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°C</w:t>
                  </w:r>
                </w:p>
              </w:tc>
              <w:tc>
                <w:tcPr>
                  <w:tcW w:w="1152"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290</w:t>
                  </w:r>
                </w:p>
              </w:tc>
              <w:tc>
                <w:tcPr>
                  <w:tcW w:w="2393"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GB/T1634.2-2004</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94"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3</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氧指数</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47</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GB/T8924-2005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34"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4</w:t>
                  </w:r>
                </w:p>
              </w:tc>
              <w:tc>
                <w:tcPr>
                  <w:tcW w:w="2201" w:type="dxa"/>
                  <w:gridSpan w:val="2"/>
                  <w:tcBorders>
                    <w:top w:val="nil"/>
                    <w:left w:val="nil"/>
                    <w:bottom w:val="nil"/>
                    <w:right w:val="nil"/>
                  </w:tcBorders>
                  <w:shd w:val="clear" w:color="auto" w:fill="FFFFFF"/>
                  <w:vAlign w:val="top"/>
                </w:tcPr>
                <w:p>
                  <w:pPr>
                    <w:pStyle w:val="199"/>
                    <w:keepNext w:val="0"/>
                    <w:keepLines w:val="0"/>
                    <w:widowControl w:val="0"/>
                    <w:shd w:val="clear" w:color="auto" w:fill="auto"/>
                    <w:bidi w:val="0"/>
                    <w:spacing w:before="0" w:after="0" w:line="322" w:lineRule="exact"/>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抗冻融性（压缩强度 变化率）</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87.67</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 xml:space="preserve">GB/T24508-2009 </w:t>
                  </w:r>
                  <w:r>
                    <w:rPr>
                      <w:rFonts w:ascii="宋体" w:hAnsi="宋体" w:eastAsia="宋体" w:cs="宋体"/>
                      <w:color w:val="000000"/>
                      <w:spacing w:val="0"/>
                      <w:w w:val="100"/>
                      <w:position w:val="0"/>
                      <w:sz w:val="18"/>
                      <w:szCs w:val="18"/>
                      <w:shd w:val="clear" w:color="auto" w:fill="auto"/>
                      <w:lang w:val="zh-TW" w:eastAsia="zh-TW" w:bidi="zh-TW"/>
                    </w:rPr>
                    <w:t xml:space="preserve">中 </w:t>
                  </w:r>
                  <w:r>
                    <w:rPr>
                      <w:rFonts w:ascii="Times New Roman" w:hAnsi="Times New Roman" w:eastAsia="Times New Roman" w:cs="Times New Roman"/>
                      <w:color w:val="000000"/>
                      <w:spacing w:val="0"/>
                      <w:w w:val="100"/>
                      <w:position w:val="0"/>
                      <w:sz w:val="18"/>
                      <w:szCs w:val="18"/>
                      <w:shd w:val="clear" w:color="auto" w:fill="auto"/>
                      <w:lang w:val="en-US" w:eastAsia="en-US" w:bidi="en-US"/>
                    </w:rPr>
                    <w:t>6.5.10</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503" w:hRule="exact"/>
                <w:jc w:val="center"/>
              </w:trPr>
              <w:tc>
                <w:tcPr>
                  <w:tcW w:w="598"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5</w:t>
                  </w:r>
                </w:p>
              </w:tc>
              <w:tc>
                <w:tcPr>
                  <w:tcW w:w="2201" w:type="dxa"/>
                  <w:gridSpan w:val="2"/>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耐光色牢度（灰度卡）</w:t>
                  </w:r>
                </w:p>
              </w:tc>
              <w:tc>
                <w:tcPr>
                  <w:tcW w:w="930"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级</w:t>
                  </w:r>
                </w:p>
              </w:tc>
              <w:tc>
                <w:tcPr>
                  <w:tcW w:w="1152"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4</w:t>
                  </w:r>
                </w:p>
              </w:tc>
              <w:tc>
                <w:tcPr>
                  <w:tcW w:w="2393"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 xml:space="preserve">GB/T24508-2009 </w:t>
                  </w:r>
                  <w:r>
                    <w:rPr>
                      <w:rFonts w:ascii="宋体" w:hAnsi="宋体" w:eastAsia="宋体" w:cs="宋体"/>
                      <w:color w:val="000000"/>
                      <w:spacing w:val="0"/>
                      <w:w w:val="100"/>
                      <w:position w:val="0"/>
                      <w:sz w:val="18"/>
                      <w:szCs w:val="18"/>
                      <w:shd w:val="clear" w:color="auto" w:fill="auto"/>
                      <w:lang w:val="zh-TW" w:eastAsia="zh-TW" w:bidi="zh-TW"/>
                    </w:rPr>
                    <w:t xml:space="preserve">中 </w:t>
                  </w:r>
                  <w:r>
                    <w:rPr>
                      <w:rFonts w:ascii="Times New Roman" w:hAnsi="Times New Roman" w:eastAsia="Times New Roman" w:cs="Times New Roman"/>
                      <w:color w:val="000000"/>
                      <w:spacing w:val="0"/>
                      <w:w w:val="100"/>
                      <w:position w:val="0"/>
                      <w:sz w:val="18"/>
                      <w:szCs w:val="18"/>
                      <w:shd w:val="clear" w:color="auto" w:fill="auto"/>
                      <w:lang w:val="en-US" w:eastAsia="en-US" w:bidi="en-US"/>
                    </w:rPr>
                    <w:t>6.5.20</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56"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6</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冲击韧性</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KJ/m</w:t>
                  </w:r>
                  <w:r>
                    <w:rPr>
                      <w:rFonts w:ascii="Times New Roman" w:hAnsi="Times New Roman" w:eastAsia="Times New Roman" w:cs="Times New Roman"/>
                      <w:color w:val="000000"/>
                      <w:spacing w:val="0"/>
                      <w:w w:val="100"/>
                      <w:position w:val="0"/>
                      <w:sz w:val="18"/>
                      <w:szCs w:val="18"/>
                      <w:shd w:val="clear" w:color="auto" w:fill="auto"/>
                      <w:vertAlign w:val="superscript"/>
                      <w:lang w:val="en-US" w:eastAsia="en-US" w:bidi="en-US"/>
                    </w:rPr>
                    <w:t>2</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204</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GB/T1</w:t>
                  </w:r>
                  <w:r>
                    <w:rPr>
                      <w:rFonts w:ascii="Times New Roman" w:hAnsi="Times New Roman" w:eastAsia="Times New Roman" w:cs="Times New Roman"/>
                      <w:color w:val="000000"/>
                      <w:spacing w:val="0"/>
                      <w:w w:val="100"/>
                      <w:position w:val="0"/>
                      <w:sz w:val="18"/>
                      <w:szCs w:val="18"/>
                      <w:shd w:val="clear" w:color="auto" w:fill="auto"/>
                      <w:lang w:val="zh-TW" w:eastAsia="zh-TW" w:bidi="zh-TW"/>
                    </w:rPr>
                    <w:t>45</w:t>
                  </w:r>
                  <w:r>
                    <w:rPr>
                      <w:rFonts w:ascii="Times New Roman" w:hAnsi="Times New Roman" w:eastAsia="Times New Roman" w:cs="Times New Roman"/>
                      <w:color w:val="000000"/>
                      <w:spacing w:val="0"/>
                      <w:w w:val="100"/>
                      <w:position w:val="0"/>
                      <w:sz w:val="18"/>
                      <w:szCs w:val="18"/>
                      <w:shd w:val="clear" w:color="auto" w:fill="auto"/>
                      <w:lang w:val="en-US" w:eastAsia="en-US" w:bidi="en-US"/>
                    </w:rPr>
                    <w:t>1-2005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00"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7</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表面耐磨性</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g/100r</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0.08</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 xml:space="preserve">GB/T24508-2009 </w:t>
                  </w:r>
                  <w:r>
                    <w:rPr>
                      <w:rFonts w:ascii="宋体" w:hAnsi="宋体" w:eastAsia="宋体" w:cs="宋体"/>
                      <w:color w:val="000000"/>
                      <w:spacing w:val="0"/>
                      <w:w w:val="100"/>
                      <w:position w:val="0"/>
                      <w:sz w:val="18"/>
                      <w:szCs w:val="18"/>
                      <w:shd w:val="clear" w:color="auto" w:fill="auto"/>
                      <w:lang w:val="zh-TW" w:eastAsia="zh-TW" w:bidi="zh-TW"/>
                    </w:rPr>
                    <w:t xml:space="preserve">中 </w:t>
                  </w:r>
                  <w:r>
                    <w:rPr>
                      <w:rFonts w:ascii="Times New Roman" w:hAnsi="Times New Roman" w:eastAsia="Times New Roman" w:cs="Times New Roman"/>
                      <w:color w:val="000000"/>
                      <w:spacing w:val="0"/>
                      <w:w w:val="100"/>
                      <w:position w:val="0"/>
                      <w:sz w:val="18"/>
                      <w:szCs w:val="18"/>
                      <w:shd w:val="clear" w:color="auto" w:fill="auto"/>
                      <w:lang w:val="en-US" w:eastAsia="en-US" w:bidi="en-US"/>
                    </w:rPr>
                    <w:t>6.5.15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514"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8</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甲醛释放量</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mg/L</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0.41</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 xml:space="preserve">GB/T24508-2009 </w:t>
                  </w:r>
                  <w:r>
                    <w:rPr>
                      <w:rFonts w:ascii="宋体" w:hAnsi="宋体" w:eastAsia="宋体" w:cs="宋体"/>
                      <w:color w:val="000000"/>
                      <w:spacing w:val="0"/>
                      <w:w w:val="100"/>
                      <w:position w:val="0"/>
                      <w:sz w:val="18"/>
                      <w:szCs w:val="18"/>
                      <w:shd w:val="clear" w:color="auto" w:fill="auto"/>
                      <w:lang w:val="zh-TW" w:eastAsia="zh-TW" w:bidi="zh-TW"/>
                    </w:rPr>
                    <w:t xml:space="preserve">中 </w:t>
                  </w:r>
                  <w:r>
                    <w:rPr>
                      <w:rFonts w:ascii="Times New Roman" w:hAnsi="Times New Roman" w:eastAsia="Times New Roman" w:cs="Times New Roman"/>
                      <w:color w:val="000000"/>
                      <w:spacing w:val="0"/>
                      <w:w w:val="100"/>
                      <w:position w:val="0"/>
                      <w:sz w:val="18"/>
                      <w:szCs w:val="18"/>
                      <w:shd w:val="clear" w:color="auto" w:fill="auto"/>
                      <w:lang w:val="en-US" w:eastAsia="en-US" w:bidi="en-US"/>
                    </w:rPr>
                    <w:t>6.5.25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80"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9</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巴氏硬度</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50</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GB/T3854-2005</w:t>
                  </w:r>
                </w:p>
              </w:tc>
              <w:tc>
                <w:tcPr>
                  <w:tcW w:w="243" w:type="dxa"/>
                  <w:tcBorders>
                    <w:left w:val="nil"/>
                  </w:tcBorders>
                  <w:shd w:val="clear" w:color="auto" w:fill="FFFFFF"/>
                  <w:vAlign w:val="top"/>
                </w:tcPr>
                <w:p>
                  <w:pPr>
                    <w:pStyle w:val="199"/>
                    <w:keepNext w:val="0"/>
                    <w:keepLines w:val="0"/>
                    <w:widowControl w:val="0"/>
                    <w:shd w:val="clear" w:color="auto" w:fill="auto"/>
                    <w:bidi w:val="0"/>
                    <w:spacing w:before="0" w:after="0" w:line="240" w:lineRule="auto"/>
                    <w:ind w:left="0" w:right="0" w:firstLine="0"/>
                    <w:jc w:val="right"/>
                    <w:rPr>
                      <w:sz w:val="18"/>
                      <w:szCs w:val="18"/>
                    </w:rPr>
                  </w:pPr>
                </w:p>
              </w:tc>
            </w:tr>
            <w:tr>
              <w:tblPrEx>
                <w:tblCellMar>
                  <w:top w:w="0" w:type="dxa"/>
                  <w:left w:w="10" w:type="dxa"/>
                  <w:bottom w:w="0" w:type="dxa"/>
                  <w:right w:w="10" w:type="dxa"/>
                </w:tblCellMar>
              </w:tblPrEx>
              <w:trPr>
                <w:trHeight w:val="466"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10</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弯曲强度</w:t>
                  </w:r>
                </w:p>
              </w:tc>
              <w:tc>
                <w:tcPr>
                  <w:tcW w:w="930" w:type="dxa"/>
                  <w:vMerge w:val="restart"/>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MPa</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552</w:t>
                  </w:r>
                </w:p>
              </w:tc>
              <w:tc>
                <w:tcPr>
                  <w:tcW w:w="2393" w:type="dxa"/>
                  <w:vMerge w:val="restart"/>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GB/T3356-2014</w:t>
                  </w:r>
                </w:p>
              </w:tc>
              <w:tc>
                <w:tcPr>
                  <w:tcW w:w="243" w:type="dxa"/>
                  <w:vMerge w:val="restart"/>
                  <w:tcBorders>
                    <w:left w:val="nil"/>
                  </w:tcBorders>
                  <w:shd w:val="clear" w:color="auto" w:fill="FFFFFF"/>
                  <w:vAlign w:val="top"/>
                </w:tcPr>
                <w:p>
                  <w:pPr>
                    <w:pStyle w:val="199"/>
                    <w:keepNext w:val="0"/>
                    <w:keepLines w:val="0"/>
                    <w:widowControl w:val="0"/>
                    <w:shd w:val="clear" w:color="auto" w:fill="auto"/>
                    <w:bidi w:val="0"/>
                    <w:spacing w:before="0" w:after="0" w:line="180" w:lineRule="auto"/>
                    <w:ind w:left="0" w:right="0" w:firstLine="0"/>
                    <w:jc w:val="right"/>
                    <w:rPr>
                      <w:sz w:val="18"/>
                      <w:szCs w:val="18"/>
                    </w:rPr>
                  </w:pPr>
                </w:p>
              </w:tc>
            </w:tr>
            <w:tr>
              <w:tblPrEx>
                <w:tblCellMar>
                  <w:top w:w="0" w:type="dxa"/>
                  <w:left w:w="10" w:type="dxa"/>
                  <w:bottom w:w="0" w:type="dxa"/>
                  <w:right w:w="10" w:type="dxa"/>
                </w:tblCellMar>
              </w:tblPrEx>
              <w:trPr>
                <w:trHeight w:val="470"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11</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弯曲模量</w:t>
                  </w:r>
                </w:p>
              </w:tc>
              <w:tc>
                <w:tcPr>
                  <w:tcW w:w="930" w:type="dxa"/>
                  <w:vMerge w:val="continue"/>
                  <w:tcBorders>
                    <w:top w:val="nil"/>
                    <w:left w:val="nil"/>
                    <w:bottom w:val="nil"/>
                    <w:right w:val="nil"/>
                  </w:tcBorders>
                  <w:shd w:val="clear" w:color="auto" w:fill="FFFFFF"/>
                  <w:vAlign w:val="center"/>
                </w:tcPr>
                <w:p>
                  <w:pPr>
                    <w:rPr>
                      <w:sz w:val="18"/>
                      <w:szCs w:val="18"/>
                      <w:shd w:val="clear" w:color="auto" w:fill="auto"/>
                    </w:rPr>
                  </w:pP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2.54xl0</w:t>
                  </w:r>
                  <w:r>
                    <w:rPr>
                      <w:rFonts w:ascii="Times New Roman" w:hAnsi="Times New Roman" w:eastAsia="Times New Roman" w:cs="Times New Roman"/>
                      <w:color w:val="000000"/>
                      <w:spacing w:val="0"/>
                      <w:w w:val="100"/>
                      <w:position w:val="0"/>
                      <w:sz w:val="18"/>
                      <w:szCs w:val="18"/>
                      <w:shd w:val="clear" w:color="auto" w:fill="auto"/>
                      <w:vertAlign w:val="superscript"/>
                      <w:lang w:val="en-US" w:eastAsia="en-US" w:bidi="en-US"/>
                    </w:rPr>
                    <w:t>5</w:t>
                  </w:r>
                </w:p>
              </w:tc>
              <w:tc>
                <w:tcPr>
                  <w:tcW w:w="2393" w:type="dxa"/>
                  <w:vMerge w:val="continue"/>
                  <w:tcBorders>
                    <w:top w:val="nil"/>
                    <w:left w:val="nil"/>
                    <w:bottom w:val="nil"/>
                    <w:right w:val="nil"/>
                  </w:tcBorders>
                  <w:shd w:val="clear" w:color="auto" w:fill="FFFFFF"/>
                  <w:vAlign w:val="center"/>
                </w:tcPr>
                <w:p>
                  <w:pPr>
                    <w:rPr>
                      <w:sz w:val="18"/>
                      <w:szCs w:val="18"/>
                      <w:shd w:val="clear" w:color="auto" w:fill="auto"/>
                    </w:rPr>
                  </w:pPr>
                </w:p>
              </w:tc>
              <w:tc>
                <w:tcPr>
                  <w:tcW w:w="243" w:type="dxa"/>
                  <w:vMerge w:val="continue"/>
                  <w:tcBorders>
                    <w:left w:val="nil"/>
                  </w:tcBorders>
                  <w:shd w:val="clear" w:color="auto" w:fill="FFFFFF"/>
                  <w:vAlign w:val="top"/>
                </w:tcPr>
                <w:p>
                  <w:pPr>
                    <w:rPr>
                      <w:sz w:val="18"/>
                      <w:szCs w:val="18"/>
                    </w:rPr>
                  </w:pPr>
                </w:p>
              </w:tc>
            </w:tr>
            <w:tr>
              <w:tblPrEx>
                <w:tblCellMar>
                  <w:top w:w="0" w:type="dxa"/>
                  <w:left w:w="10" w:type="dxa"/>
                  <w:bottom w:w="0" w:type="dxa"/>
                  <w:right w:w="10" w:type="dxa"/>
                </w:tblCellMar>
              </w:tblPrEx>
              <w:trPr>
                <w:trHeight w:val="485"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12</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耐滑值</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35</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GB/T24508-2009</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80"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13</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宋体" w:hAnsi="宋体" w:eastAsia="宋体" w:cs="宋体"/>
                      <w:color w:val="000000"/>
                      <w:spacing w:val="0"/>
                      <w:w w:val="100"/>
                      <w:position w:val="0"/>
                      <w:sz w:val="18"/>
                      <w:szCs w:val="18"/>
                      <w:shd w:val="clear" w:color="auto" w:fill="auto"/>
                      <w:lang w:val="zh-TW" w:eastAsia="zh-TW" w:bidi="zh-TW"/>
                    </w:rPr>
                    <w:t>螺钉抗拔</w:t>
                  </w:r>
                  <w:r>
                    <w:rPr>
                      <w:rFonts w:ascii="宋体" w:hAnsi="宋体" w:eastAsia="宋体" w:cs="宋体"/>
                      <w:color w:val="000000"/>
                      <w:spacing w:val="0"/>
                      <w:w w:val="100"/>
                      <w:position w:val="0"/>
                      <w:sz w:val="18"/>
                      <w:szCs w:val="18"/>
                      <w:shd w:val="clear" w:color="auto" w:fill="auto"/>
                      <w:lang w:val="en-US" w:eastAsia="en-US" w:bidi="en-US"/>
                    </w:rPr>
                    <w:t>（</w:t>
                  </w:r>
                  <w:r>
                    <w:rPr>
                      <w:rFonts w:ascii="Times New Roman" w:hAnsi="Times New Roman" w:eastAsia="Times New Roman" w:cs="Times New Roman"/>
                      <w:color w:val="000000"/>
                      <w:spacing w:val="0"/>
                      <w:w w:val="100"/>
                      <w:position w:val="0"/>
                      <w:sz w:val="18"/>
                      <w:szCs w:val="18"/>
                      <w:shd w:val="clear" w:color="auto" w:fill="auto"/>
                      <w:lang w:val="en-US" w:eastAsia="en-US" w:bidi="en-US"/>
                    </w:rPr>
                    <w:t>4mm</w:t>
                  </w:r>
                  <w:r>
                    <w:rPr>
                      <w:rFonts w:ascii="宋体" w:hAnsi="宋体" w:eastAsia="宋体" w:cs="宋体"/>
                      <w:color w:val="000000"/>
                      <w:spacing w:val="0"/>
                      <w:w w:val="100"/>
                      <w:position w:val="0"/>
                      <w:sz w:val="18"/>
                      <w:szCs w:val="18"/>
                      <w:shd w:val="clear" w:color="auto" w:fill="auto"/>
                      <w:lang w:val="zh-TW" w:eastAsia="zh-TW" w:bidi="zh-TW"/>
                    </w:rPr>
                    <w:t>厚）</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N</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zh-TW" w:eastAsia="zh-TW" w:bidi="zh-TW"/>
                    </w:rPr>
                    <w:t>1291</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shd w:val="clear" w:color="auto" w:fill="auto"/>
                    </w:rPr>
                  </w:pPr>
                  <w:r>
                    <w:rPr>
                      <w:rFonts w:ascii="Times New Roman" w:hAnsi="Times New Roman" w:eastAsia="Times New Roman" w:cs="Times New Roman"/>
                      <w:color w:val="000000"/>
                      <w:spacing w:val="0"/>
                      <w:w w:val="100"/>
                      <w:position w:val="0"/>
                      <w:sz w:val="18"/>
                      <w:szCs w:val="18"/>
                      <w:shd w:val="clear" w:color="auto" w:fill="auto"/>
                      <w:lang w:val="en-US" w:eastAsia="en-US" w:bidi="en-US"/>
                    </w:rPr>
                    <w:t>GB/T24137-2009</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56"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14</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密度</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16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Kg/m</w:t>
                  </w:r>
                  <w:r>
                    <w:rPr>
                      <w:rFonts w:ascii="Times New Roman" w:hAnsi="Times New Roman" w:eastAsia="Times New Roman" w:cs="Times New Roman"/>
                      <w:color w:val="000000"/>
                      <w:spacing w:val="0"/>
                      <w:w w:val="100"/>
                      <w:position w:val="0"/>
                      <w:sz w:val="18"/>
                      <w:szCs w:val="18"/>
                      <w:vertAlign w:val="superscript"/>
                      <w:lang w:val="en-US" w:eastAsia="en-US" w:bidi="en-US"/>
                    </w:rPr>
                    <w:t>3</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1951</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GB/T24508-2009</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451"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15</w:t>
                  </w:r>
                </w:p>
              </w:tc>
              <w:tc>
                <w:tcPr>
                  <w:tcW w:w="2201" w:type="dxa"/>
                  <w:gridSpan w:val="2"/>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无机物含量</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66.7</w:t>
                  </w:r>
                </w:p>
              </w:tc>
              <w:tc>
                <w:tcPr>
                  <w:tcW w:w="2393"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GB/T2577-2005</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38"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16</w:t>
                  </w:r>
                </w:p>
              </w:tc>
              <w:tc>
                <w:tcPr>
                  <w:tcW w:w="2201" w:type="dxa"/>
                  <w:gridSpan w:val="2"/>
                  <w:tcBorders>
                    <w:top w:val="nil"/>
                    <w:left w:val="nil"/>
                    <w:bottom w:val="nil"/>
                    <w:right w:val="nil"/>
                  </w:tcBorders>
                  <w:shd w:val="clear" w:color="auto" w:fill="FFFFFF"/>
                  <w:vAlign w:val="top"/>
                </w:tcPr>
                <w:p>
                  <w:pPr>
                    <w:pStyle w:val="199"/>
                    <w:keepNext w:val="0"/>
                    <w:keepLines w:val="0"/>
                    <w:widowControl w:val="0"/>
                    <w:shd w:val="clear" w:color="auto" w:fill="auto"/>
                    <w:bidi w:val="0"/>
                    <w:spacing w:before="0" w:after="0" w:line="293" w:lineRule="exact"/>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老化后弯曲强度保留 率</w:t>
                  </w:r>
                  <w:r>
                    <w:rPr>
                      <w:rFonts w:ascii="宋体" w:hAnsi="宋体" w:eastAsia="宋体" w:cs="宋体"/>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t>45°C</w:t>
                  </w:r>
                  <w:r>
                    <w:rPr>
                      <w:rFonts w:ascii="宋体" w:hAnsi="宋体" w:eastAsia="宋体" w:cs="宋体"/>
                      <w:color w:val="000000"/>
                      <w:spacing w:val="0"/>
                      <w:w w:val="100"/>
                      <w:position w:val="0"/>
                      <w:sz w:val="18"/>
                      <w:szCs w:val="18"/>
                      <w:lang w:val="zh-TW" w:eastAsia="zh-TW" w:bidi="zh-TW"/>
                    </w:rPr>
                    <w:t>蒸馅水，</w:t>
                  </w:r>
                  <w:r>
                    <w:rPr>
                      <w:rFonts w:ascii="Times New Roman" w:hAnsi="Times New Roman" w:eastAsia="Times New Roman" w:cs="Times New Roman"/>
                      <w:color w:val="000000"/>
                      <w:spacing w:val="0"/>
                      <w:w w:val="100"/>
                      <w:position w:val="0"/>
                      <w:sz w:val="18"/>
                      <w:szCs w:val="18"/>
                      <w:lang w:val="en-US" w:eastAsia="en-US" w:bidi="en-US"/>
                    </w:rPr>
                    <w:t>8h）</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87.86</w:t>
                  </w:r>
                </w:p>
              </w:tc>
              <w:tc>
                <w:tcPr>
                  <w:tcW w:w="2393" w:type="dxa"/>
                  <w:vMerge w:val="restart"/>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GB/T3356-2004</w:t>
                  </w:r>
                </w:p>
              </w:tc>
              <w:tc>
                <w:tcPr>
                  <w:tcW w:w="243" w:type="dxa"/>
                  <w:tcBorders>
                    <w:lef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38"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17</w:t>
                  </w:r>
                </w:p>
              </w:tc>
              <w:tc>
                <w:tcPr>
                  <w:tcW w:w="2201" w:type="dxa"/>
                  <w:gridSpan w:val="2"/>
                  <w:tcBorders>
                    <w:top w:val="nil"/>
                    <w:left w:val="nil"/>
                    <w:bottom w:val="nil"/>
                    <w:right w:val="nil"/>
                  </w:tcBorders>
                  <w:shd w:val="clear" w:color="auto" w:fill="FFFFFF"/>
                  <w:vAlign w:val="top"/>
                </w:tcPr>
                <w:p>
                  <w:pPr>
                    <w:pStyle w:val="199"/>
                    <w:keepNext w:val="0"/>
                    <w:keepLines w:val="0"/>
                    <w:widowControl w:val="0"/>
                    <w:shd w:val="clear" w:color="auto" w:fill="auto"/>
                    <w:bidi w:val="0"/>
                    <w:spacing w:before="0" w:after="0" w:line="298" w:lineRule="exact"/>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老化后弯曲强度保留 率（淋水</w:t>
                  </w:r>
                  <w:r>
                    <w:rPr>
                      <w:rFonts w:ascii="Times New Roman" w:hAnsi="Times New Roman" w:eastAsia="Times New Roman" w:cs="Times New Roman"/>
                      <w:color w:val="000000"/>
                      <w:spacing w:val="0"/>
                      <w:w w:val="100"/>
                      <w:position w:val="0"/>
                      <w:sz w:val="18"/>
                      <w:szCs w:val="18"/>
                      <w:lang w:val="en-US" w:eastAsia="en-US" w:bidi="en-US"/>
                    </w:rPr>
                    <w:t>72h）</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95.15</w:t>
                  </w:r>
                </w:p>
              </w:tc>
              <w:tc>
                <w:tcPr>
                  <w:tcW w:w="2393" w:type="dxa"/>
                  <w:vMerge w:val="continue"/>
                  <w:tcBorders>
                    <w:top w:val="nil"/>
                    <w:left w:val="nil"/>
                    <w:bottom w:val="nil"/>
                    <w:right w:val="nil"/>
                  </w:tcBorders>
                  <w:shd w:val="clear" w:color="auto" w:fill="FFFFFF"/>
                  <w:vAlign w:val="center"/>
                </w:tcPr>
                <w:p>
                  <w:pPr>
                    <w:rPr>
                      <w:sz w:val="18"/>
                      <w:szCs w:val="18"/>
                    </w:rPr>
                  </w:pPr>
                </w:p>
              </w:tc>
              <w:tc>
                <w:tcPr>
                  <w:tcW w:w="243" w:type="dxa"/>
                  <w:tcBorders>
                    <w:left w:val="nil"/>
                    <w:bottom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48"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18</w:t>
                  </w:r>
                </w:p>
              </w:tc>
              <w:tc>
                <w:tcPr>
                  <w:tcW w:w="1540" w:type="dxa"/>
                  <w:tcBorders>
                    <w:top w:val="nil"/>
                    <w:left w:val="nil"/>
                    <w:bottom w:val="nil"/>
                    <w:right w:val="nil"/>
                  </w:tcBorders>
                  <w:shd w:val="clear" w:color="auto" w:fill="FFFFFF"/>
                  <w:vAlign w:val="bottom"/>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紫外后弯曲</w:t>
                  </w:r>
                </w:p>
              </w:tc>
              <w:tc>
                <w:tcPr>
                  <w:tcW w:w="661"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500h</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94.47</w:t>
                  </w:r>
                </w:p>
              </w:tc>
              <w:tc>
                <w:tcPr>
                  <w:tcW w:w="2393" w:type="dxa"/>
                  <w:vMerge w:val="restart"/>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GB/T14522-2008</w:t>
                  </w:r>
                </w:p>
              </w:tc>
              <w:tc>
                <w:tcPr>
                  <w:tcW w:w="243" w:type="dxa"/>
                  <w:tcBorders>
                    <w:top w:val="nil"/>
                    <w:left w:val="nil"/>
                    <w:bottom w:val="nil"/>
                    <w:right w:val="nil"/>
                  </w:tcBorders>
                  <w:shd w:val="clear" w:color="auto" w:fill="FFFFFF"/>
                  <w:vAlign w:val="top"/>
                </w:tcPr>
                <w:p>
                  <w:pPr>
                    <w:widowControl w:val="0"/>
                    <w:rPr>
                      <w:sz w:val="18"/>
                      <w:szCs w:val="18"/>
                    </w:rPr>
                  </w:pPr>
                </w:p>
              </w:tc>
            </w:tr>
            <w:tr>
              <w:tblPrEx>
                <w:tblCellMar>
                  <w:top w:w="0" w:type="dxa"/>
                  <w:left w:w="10" w:type="dxa"/>
                  <w:bottom w:w="0" w:type="dxa"/>
                  <w:right w:w="10" w:type="dxa"/>
                </w:tblCellMar>
              </w:tblPrEx>
              <w:trPr>
                <w:trHeight w:val="667" w:hRule="exact"/>
                <w:jc w:val="center"/>
              </w:trPr>
              <w:tc>
                <w:tcPr>
                  <w:tcW w:w="598"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2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19</w:t>
                  </w:r>
                </w:p>
              </w:tc>
              <w:tc>
                <w:tcPr>
                  <w:tcW w:w="1540" w:type="dxa"/>
                  <w:tcBorders>
                    <w:top w:val="nil"/>
                    <w:left w:val="nil"/>
                    <w:bottom w:val="nil"/>
                    <w:right w:val="nil"/>
                  </w:tcBorders>
                  <w:shd w:val="clear" w:color="auto" w:fill="FFFFFF"/>
                  <w:vAlign w:val="top"/>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宋体" w:hAnsi="宋体" w:eastAsia="宋体" w:cs="宋体"/>
                      <w:color w:val="000000"/>
                      <w:spacing w:val="0"/>
                      <w:w w:val="100"/>
                      <w:position w:val="0"/>
                      <w:sz w:val="18"/>
                      <w:szCs w:val="18"/>
                      <w:lang w:val="zh-TW" w:eastAsia="zh-TW" w:bidi="zh-TW"/>
                    </w:rPr>
                    <w:t>强度保留率</w:t>
                  </w:r>
                </w:p>
              </w:tc>
              <w:tc>
                <w:tcPr>
                  <w:tcW w:w="661"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1000h</w:t>
                  </w:r>
                </w:p>
              </w:tc>
              <w:tc>
                <w:tcPr>
                  <w:tcW w:w="930"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320"/>
                    <w:jc w:val="left"/>
                    <w:rPr>
                      <w:sz w:val="18"/>
                      <w:szCs w:val="18"/>
                    </w:rPr>
                  </w:pPr>
                  <w:r>
                    <w:rPr>
                      <w:rFonts w:ascii="Times New Roman" w:hAnsi="Times New Roman" w:eastAsia="Times New Roman" w:cs="Times New Roman"/>
                      <w:color w:val="000000"/>
                      <w:spacing w:val="0"/>
                      <w:w w:val="100"/>
                      <w:position w:val="0"/>
                      <w:sz w:val="18"/>
                      <w:szCs w:val="18"/>
                      <w:lang w:val="zh-CN" w:eastAsia="zh-CN" w:bidi="zh-CN"/>
                    </w:rPr>
                    <w:t>%</w:t>
                  </w:r>
                </w:p>
              </w:tc>
              <w:tc>
                <w:tcPr>
                  <w:tcW w:w="1152" w:type="dxa"/>
                  <w:tcBorders>
                    <w:top w:val="nil"/>
                    <w:left w:val="nil"/>
                    <w:bottom w:val="nil"/>
                    <w:right w:val="nil"/>
                  </w:tcBorders>
                  <w:shd w:val="clear" w:color="auto" w:fill="FFFFFF"/>
                  <w:vAlign w:val="center"/>
                </w:tcPr>
                <w:p>
                  <w:pPr>
                    <w:pStyle w:val="19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81.2</w:t>
                  </w:r>
                </w:p>
              </w:tc>
              <w:tc>
                <w:tcPr>
                  <w:tcW w:w="2393" w:type="dxa"/>
                  <w:vMerge w:val="continue"/>
                  <w:tcBorders>
                    <w:top w:val="nil"/>
                    <w:left w:val="nil"/>
                    <w:bottom w:val="nil"/>
                    <w:right w:val="nil"/>
                  </w:tcBorders>
                  <w:shd w:val="clear" w:color="auto" w:fill="FFFFFF"/>
                  <w:vAlign w:val="center"/>
                </w:tcPr>
                <w:p>
                  <w:pPr>
                    <w:rPr>
                      <w:sz w:val="18"/>
                      <w:szCs w:val="18"/>
                    </w:rPr>
                  </w:pPr>
                </w:p>
              </w:tc>
              <w:tc>
                <w:tcPr>
                  <w:tcW w:w="243" w:type="dxa"/>
                  <w:tcBorders>
                    <w:top w:val="nil"/>
                    <w:left w:val="nil"/>
                    <w:bottom w:val="nil"/>
                    <w:right w:val="nil"/>
                  </w:tcBorders>
                  <w:shd w:val="clear" w:color="auto" w:fill="FFFFFF"/>
                  <w:vAlign w:val="top"/>
                </w:tcPr>
                <w:p>
                  <w:pPr>
                    <w:widowControl w:val="0"/>
                    <w:rPr>
                      <w:sz w:val="18"/>
                      <w:szCs w:val="18"/>
                    </w:rPr>
                  </w:pPr>
                </w:p>
              </w:tc>
            </w:tr>
          </w:tbl>
          <w:p>
            <w:pPr>
              <w:spacing w:line="360" w:lineRule="exact"/>
              <w:rPr>
                <w:rFonts w:hint="eastAsia" w:ascii="宋体" w:hAnsi="宋体" w:eastAsia="宋体" w:cs="宋体"/>
                <w:sz w:val="24"/>
                <w:szCs w:val="24"/>
              </w:rPr>
            </w:pPr>
          </w:p>
        </w:tc>
        <w:tc>
          <w:tcPr>
            <w:tcW w:w="527" w:type="dxa"/>
            <w:noWrap w:val="0"/>
            <w:tcMar>
              <w:top w:w="15" w:type="dxa"/>
              <w:left w:w="15" w:type="dxa"/>
              <w:bottom w:w="0" w:type="dxa"/>
              <w:right w:w="15" w:type="dxa"/>
            </w:tcMar>
            <w:vAlign w:val="center"/>
          </w:tcPr>
          <w:p>
            <w:pPr>
              <w:spacing w:line="360" w:lineRule="exact"/>
              <w:rPr>
                <w:rFonts w:hint="eastAsia" w:ascii="宋体" w:hAnsi="宋体" w:eastAsia="宋体" w:cs="宋体"/>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pPr>
              <w:widowControl/>
              <w:jc w:val="center"/>
              <w:rPr>
                <w:rFonts w:hint="eastAsia" w:ascii="等线" w:hAnsi="等线" w:eastAsia="等线" w:cs="宋体"/>
                <w:color w:val="000000"/>
                <w:kern w:val="0"/>
                <w:sz w:val="24"/>
                <w:szCs w:val="24"/>
                <w:lang w:val="en-US" w:eastAsia="zh-CN" w:bidi="ar-SA"/>
              </w:rPr>
            </w:pPr>
            <w:r>
              <w:rPr>
                <w:rFonts w:hint="eastAsia" w:ascii="等线" w:hAnsi="等线" w:eastAsia="等线" w:cs="宋体"/>
                <w:color w:val="000000"/>
                <w:kern w:val="0"/>
                <w:sz w:val="24"/>
                <w:szCs w:val="24"/>
                <w:lang w:val="en-US" w:eastAsia="zh-CN"/>
              </w:rPr>
              <w:t>2</w:t>
            </w:r>
          </w:p>
        </w:tc>
        <w:tc>
          <w:tcPr>
            <w:tcW w:w="720" w:type="dxa"/>
            <w:noWrap/>
            <w:tcMar>
              <w:top w:w="15" w:type="dxa"/>
              <w:left w:w="15" w:type="dxa"/>
              <w:bottom w:w="0" w:type="dxa"/>
              <w:right w:w="15" w:type="dxa"/>
            </w:tcMar>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背板</w:t>
            </w:r>
          </w:p>
        </w:tc>
        <w:tc>
          <w:tcPr>
            <w:tcW w:w="7185" w:type="dxa"/>
            <w:noWrap/>
            <w:tcMar>
              <w:top w:w="15" w:type="dxa"/>
              <w:left w:w="15" w:type="dxa"/>
              <w:bottom w:w="0" w:type="dxa"/>
              <w:right w:w="15" w:type="dxa"/>
            </w:tcMar>
            <w:vAlign w:val="center"/>
          </w:tcPr>
          <w:p>
            <w:pP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color w:val="000000"/>
                <w:spacing w:val="0"/>
                <w:w w:val="100"/>
                <w:kern w:val="2"/>
                <w:position w:val="0"/>
                <w:sz w:val="24"/>
                <w:szCs w:val="24"/>
                <w:u w:val="none"/>
                <w:shd w:val="clear" w:color="auto" w:fill="auto"/>
                <w:lang w:val="zh-TW" w:eastAsia="zh-TW" w:bidi="zh-TW"/>
              </w:rPr>
              <w:t>PVC</w:t>
            </w:r>
            <w:r>
              <w:rPr>
                <w:rFonts w:hint="eastAsia" w:ascii="宋体" w:hAnsi="宋体" w:eastAsia="宋体" w:cs="宋体"/>
                <w:color w:val="000000"/>
                <w:spacing w:val="0"/>
                <w:w w:val="100"/>
                <w:kern w:val="2"/>
                <w:position w:val="0"/>
                <w:sz w:val="24"/>
                <w:szCs w:val="24"/>
                <w:u w:val="none"/>
                <w:shd w:val="clear" w:color="auto" w:fill="auto"/>
                <w:lang w:val="en-US" w:eastAsia="zh-CN" w:bidi="zh-TW"/>
              </w:rPr>
              <w:t>具有</w:t>
            </w:r>
            <w:r>
              <w:rPr>
                <w:rFonts w:hint="eastAsia" w:ascii="宋体" w:hAnsi="宋体" w:eastAsia="宋体" w:cs="宋体"/>
                <w:color w:val="000000"/>
                <w:spacing w:val="0"/>
                <w:w w:val="100"/>
                <w:kern w:val="2"/>
                <w:position w:val="0"/>
                <w:sz w:val="24"/>
                <w:szCs w:val="24"/>
                <w:u w:val="none"/>
                <w:shd w:val="clear" w:color="auto" w:fill="auto"/>
                <w:lang w:val="zh-TW" w:eastAsia="zh-TW" w:bidi="zh-TW"/>
              </w:rPr>
              <w:t>防水、阻燃、耐酸碱、防蛀、质轻、保温、隔音、减震的特性。有较高的硬度和力学性能。其裂伸长率高达200%-450%。</w:t>
            </w:r>
          </w:p>
        </w:tc>
        <w:tc>
          <w:tcPr>
            <w:tcW w:w="527" w:type="dxa"/>
            <w:noWrap/>
            <w:tcMar>
              <w:top w:w="15" w:type="dxa"/>
              <w:left w:w="15" w:type="dxa"/>
              <w:bottom w:w="0" w:type="dxa"/>
              <w:right w:w="15" w:type="dxa"/>
            </w:tcMar>
            <w:vAlign w:val="center"/>
          </w:tcPr>
          <w:p>
            <w:pPr>
              <w:spacing w:line="360" w:lineRule="exact"/>
              <w:jc w:val="left"/>
              <w:rPr>
                <w:rFonts w:hint="eastAsia" w:ascii="宋体" w:hAnsi="宋体" w:eastAsia="宋体" w:cs="宋体"/>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pPr>
              <w:widowControl/>
              <w:jc w:val="center"/>
              <w:rPr>
                <w:rFonts w:hint="eastAsia" w:ascii="等线" w:hAnsi="等线" w:eastAsia="等线" w:cs="宋体"/>
                <w:color w:val="000000"/>
                <w:kern w:val="0"/>
                <w:sz w:val="24"/>
                <w:szCs w:val="24"/>
                <w:lang w:val="en-US" w:eastAsia="zh-CN" w:bidi="ar-SA"/>
              </w:rPr>
            </w:pPr>
            <w:r>
              <w:rPr>
                <w:rFonts w:hint="eastAsia" w:ascii="等线" w:hAnsi="等线" w:eastAsia="等线" w:cs="宋体"/>
                <w:color w:val="000000"/>
                <w:kern w:val="0"/>
                <w:sz w:val="24"/>
                <w:szCs w:val="24"/>
                <w:lang w:val="en-US" w:eastAsia="zh-CN"/>
              </w:rPr>
              <w:t>3</w:t>
            </w:r>
          </w:p>
        </w:tc>
        <w:tc>
          <w:tcPr>
            <w:tcW w:w="720" w:type="dxa"/>
            <w:noWrap/>
            <w:tcMar>
              <w:top w:w="15" w:type="dxa"/>
              <w:left w:w="15" w:type="dxa"/>
              <w:bottom w:w="0" w:type="dxa"/>
              <w:right w:w="15" w:type="dxa"/>
            </w:tcMar>
            <w:vAlign w:val="center"/>
          </w:tcPr>
          <w:p>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szCs w:val="24"/>
                <w:lang w:val="en-US" w:eastAsia="zh-CN"/>
              </w:rPr>
              <w:t>车贴</w:t>
            </w:r>
          </w:p>
        </w:tc>
        <w:tc>
          <w:tcPr>
            <w:tcW w:w="7185" w:type="dxa"/>
            <w:noWrap/>
            <w:tcMar>
              <w:top w:w="15" w:type="dxa"/>
              <w:left w:w="15" w:type="dxa"/>
              <w:bottom w:w="0" w:type="dxa"/>
              <w:right w:w="15" w:type="dxa"/>
            </w:tcMar>
            <w:vAlign w:val="center"/>
          </w:tcPr>
          <w:p>
            <w:pP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防晒、防雨、防腐、适应温差大。</w:t>
            </w:r>
          </w:p>
        </w:tc>
        <w:tc>
          <w:tcPr>
            <w:tcW w:w="527" w:type="dxa"/>
            <w:noWrap/>
            <w:tcMar>
              <w:top w:w="15" w:type="dxa"/>
              <w:left w:w="15" w:type="dxa"/>
              <w:bottom w:w="0" w:type="dxa"/>
              <w:right w:w="15" w:type="dxa"/>
            </w:tcMar>
            <w:vAlign w:val="center"/>
          </w:tcPr>
          <w:p>
            <w:pPr>
              <w:spacing w:line="360" w:lineRule="exact"/>
              <w:jc w:val="lef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720" w:type="dxa"/>
            <w:noWrap/>
            <w:tcMar>
              <w:top w:w="15" w:type="dxa"/>
              <w:left w:w="15" w:type="dxa"/>
              <w:bottom w:w="0" w:type="dxa"/>
              <w:right w:w="15" w:type="dxa"/>
            </w:tcMar>
            <w:vAlign w:val="center"/>
          </w:tcPr>
          <w:p>
            <w:pPr>
              <w:spacing w:line="36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其他要求</w:t>
            </w:r>
          </w:p>
        </w:tc>
        <w:tc>
          <w:tcPr>
            <w:tcW w:w="7185" w:type="dxa"/>
            <w:noWrap/>
            <w:tcMar>
              <w:top w:w="15" w:type="dxa"/>
              <w:left w:w="15" w:type="dxa"/>
              <w:bottom w:w="0" w:type="dxa"/>
              <w:right w:w="15" w:type="dxa"/>
            </w:tcMar>
            <w:vAlign w:val="center"/>
          </w:tcPr>
          <w:p>
            <w:pPr>
              <w:numPr>
                <w:ilvl w:val="0"/>
                <w:numId w:val="12"/>
              </w:numPr>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玻璃钢宣传栏具备仿腐蚀性，对水、碱及酸有抵抗能力，使用时间长等。</w:t>
            </w:r>
          </w:p>
          <w:p>
            <w:pPr>
              <w:numPr>
                <w:ilvl w:val="0"/>
                <w:numId w:val="0"/>
              </w:numPr>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供应商具有</w:t>
            </w:r>
            <w:r>
              <w:rPr>
                <w:rFonts w:hint="eastAsia" w:ascii="宋体" w:hAnsi="宋体" w:eastAsia="宋体" w:cs="宋体"/>
                <w:sz w:val="24"/>
                <w:szCs w:val="24"/>
                <w:lang w:eastAsia="zh-CN"/>
              </w:rPr>
              <w:t>生产制造的实体工厂及安装的相关工程案例。</w:t>
            </w:r>
          </w:p>
          <w:p>
            <w:pPr>
              <w:spacing w:line="360" w:lineRule="exact"/>
              <w:jc w:val="left"/>
              <w:rPr>
                <w:rFonts w:hint="eastAsia" w:ascii="宋体" w:hAnsi="宋体" w:eastAsia="宋体" w:cs="宋体"/>
                <w:kern w:val="2"/>
                <w:sz w:val="24"/>
                <w:szCs w:val="24"/>
                <w:lang w:val="en-US" w:eastAsia="zh-CN" w:bidi="ar-SA"/>
              </w:rPr>
            </w:pPr>
          </w:p>
        </w:tc>
        <w:tc>
          <w:tcPr>
            <w:tcW w:w="527" w:type="dxa"/>
            <w:noWrap/>
            <w:tcMar>
              <w:top w:w="15" w:type="dxa"/>
              <w:left w:w="15" w:type="dxa"/>
              <w:bottom w:w="0" w:type="dxa"/>
              <w:right w:w="15" w:type="dxa"/>
            </w:tcMar>
            <w:vAlign w:val="center"/>
          </w:tcPr>
          <w:p>
            <w:pPr>
              <w:spacing w:line="360" w:lineRule="exact"/>
              <w:jc w:val="left"/>
              <w:rPr>
                <w:rFonts w:hint="eastAsia" w:ascii="宋体" w:hAnsi="宋体" w:eastAsia="宋体" w:cs="宋体"/>
                <w:b/>
                <w:sz w:val="24"/>
                <w:szCs w:val="24"/>
              </w:rPr>
            </w:pPr>
          </w:p>
        </w:tc>
      </w:tr>
    </w:tbl>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4"/>
          <w:szCs w:val="24"/>
          <w:highlight w:val="none"/>
          <w:lang w:val="en-US" w:eastAsia="zh-CN"/>
        </w:rPr>
      </w:pPr>
    </w:p>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五、商务要求</w:t>
      </w:r>
      <w:bookmarkEnd w:id="51"/>
      <w:bookmarkEnd w:id="52"/>
    </w:p>
    <w:p>
      <w:pPr>
        <w:keepNext w:val="0"/>
        <w:keepLines w:val="0"/>
        <w:pageBreakBefore w:val="0"/>
        <w:widowControl w:val="0"/>
        <w:kinsoku/>
        <w:wordWrap/>
        <w:overflowPunct/>
        <w:topLinePunct w:val="0"/>
        <w:bidi w:val="0"/>
        <w:adjustRightInd/>
        <w:snapToGrid/>
        <w:spacing w:line="360" w:lineRule="auto"/>
        <w:ind w:left="1255" w:leftChars="26" w:right="0" w:rightChars="0" w:hanging="1200" w:hangingChars="4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1、投标人在投标文件《商务（合同草案条款）响应、偏离情况说明表》中未对以下技术、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12"/>
        </w:numPr>
        <w:kinsoku/>
        <w:wordWrap/>
        <w:overflowPunct/>
        <w:topLinePunct w:val="0"/>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r>
        <w:rPr>
          <w:rFonts w:hint="eastAsia" w:asciiTheme="minorEastAsia" w:hAnsi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3.1  工期：自合同签订后1</w:t>
      </w:r>
      <w:r>
        <w:rPr>
          <w:rFonts w:hint="eastAsia" w:eastAsia="宋体" w:cs="宋体"/>
          <w:kern w:val="2"/>
          <w:sz w:val="24"/>
          <w:szCs w:val="24"/>
          <w:lang w:val="en-US" w:eastAsia="zh-CN"/>
        </w:rPr>
        <w:t>个月</w:t>
      </w:r>
      <w:r>
        <w:rPr>
          <w:rFonts w:hint="eastAsia" w:ascii="宋体" w:hAnsi="宋体" w:eastAsia="宋体" w:cs="宋体"/>
          <w:kern w:val="2"/>
          <w:sz w:val="24"/>
          <w:szCs w:val="24"/>
        </w:rPr>
        <w:t>内完成建设，并移交采购人使用。</w:t>
      </w:r>
    </w:p>
    <w:p>
      <w:pPr>
        <w:pStyle w:val="198"/>
        <w:spacing w:line="360" w:lineRule="auto"/>
        <w:ind w:right="264"/>
        <w:rPr>
          <w:rFonts w:hint="default" w:ascii="宋体" w:hAnsi="宋体" w:eastAsia="宋体" w:cs="宋体"/>
          <w:kern w:val="2"/>
          <w:sz w:val="24"/>
          <w:szCs w:val="24"/>
          <w:lang w:val="en-US" w:eastAsia="zh-CN"/>
        </w:rPr>
      </w:pPr>
      <w:r>
        <w:rPr>
          <w:rFonts w:hint="eastAsia" w:eastAsia="宋体" w:cs="宋体"/>
          <w:kern w:val="2"/>
          <w:sz w:val="24"/>
          <w:szCs w:val="24"/>
          <w:lang w:val="en-US" w:eastAsia="zh-CN"/>
        </w:rPr>
        <w:t>3.2  交付地点：采购人指定地点。</w:t>
      </w:r>
    </w:p>
    <w:p>
      <w:pPr>
        <w:pStyle w:val="198"/>
        <w:spacing w:line="360" w:lineRule="auto"/>
        <w:ind w:right="264"/>
        <w:rPr>
          <w:rFonts w:hint="eastAsia" w:eastAsia="宋体" w:cs="宋体"/>
          <w:sz w:val="24"/>
          <w:szCs w:val="24"/>
          <w:lang w:eastAsia="zh-CN"/>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3</w:t>
      </w:r>
      <w:r>
        <w:rPr>
          <w:rFonts w:hint="eastAsia" w:ascii="宋体" w:hAnsi="宋体" w:eastAsia="宋体" w:cs="宋体"/>
          <w:kern w:val="2"/>
          <w:sz w:val="24"/>
          <w:szCs w:val="24"/>
        </w:rPr>
        <w:t xml:space="preserve"> 项目</w:t>
      </w:r>
      <w:r>
        <w:rPr>
          <w:rFonts w:hint="eastAsia" w:eastAsia="宋体" w:cs="宋体"/>
          <w:kern w:val="2"/>
          <w:sz w:val="24"/>
          <w:szCs w:val="24"/>
          <w:lang w:eastAsia="zh-CN"/>
        </w:rPr>
        <w:t>实施方案：</w:t>
      </w:r>
      <w:r>
        <w:rPr>
          <w:rFonts w:ascii="宋体" w:hAnsi="宋体" w:eastAsia="宋体" w:cs="宋体"/>
          <w:sz w:val="24"/>
          <w:szCs w:val="24"/>
        </w:rPr>
        <w:t>投标人</w:t>
      </w:r>
      <w:r>
        <w:rPr>
          <w:rFonts w:hint="eastAsia" w:eastAsia="宋体" w:cs="宋体"/>
          <w:sz w:val="24"/>
          <w:szCs w:val="24"/>
          <w:lang w:eastAsia="zh-CN"/>
        </w:rPr>
        <w:t>针对该项目制定合理的实施方案。</w:t>
      </w:r>
    </w:p>
    <w:p>
      <w:pPr>
        <w:pStyle w:val="198"/>
        <w:spacing w:line="360" w:lineRule="auto"/>
        <w:ind w:right="264"/>
        <w:rPr>
          <w:rFonts w:hint="eastAsia" w:ascii="宋体" w:hAnsi="宋体" w:eastAsia="宋体" w:cs="宋体"/>
          <w:kern w:val="2"/>
          <w:sz w:val="24"/>
          <w:szCs w:val="24"/>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4</w:t>
      </w:r>
      <w:r>
        <w:rPr>
          <w:rFonts w:hint="eastAsia" w:ascii="宋体" w:hAnsi="宋体" w:eastAsia="宋体" w:cs="宋体"/>
          <w:kern w:val="2"/>
          <w:sz w:val="24"/>
          <w:szCs w:val="24"/>
        </w:rPr>
        <w:t xml:space="preserve">  售后服务要求:投标人提供完善售后服务方案及售后服务承诺函</w:t>
      </w:r>
      <w:r>
        <w:rPr>
          <w:rFonts w:hint="eastAsia" w:eastAsia="宋体" w:cs="宋体"/>
          <w:kern w:val="2"/>
          <w:sz w:val="24"/>
          <w:szCs w:val="24"/>
          <w:lang w:eastAsia="zh-CN"/>
        </w:rPr>
        <w:t>，</w:t>
      </w:r>
      <w:r>
        <w:rPr>
          <w:rFonts w:hint="eastAsia" w:ascii="宋体" w:hAnsi="宋体" w:eastAsia="宋体" w:cs="宋体"/>
          <w:kern w:val="2"/>
          <w:sz w:val="24"/>
          <w:szCs w:val="24"/>
        </w:rPr>
        <w:t>竣工验收合格后进入售后服务期。</w:t>
      </w:r>
    </w:p>
    <w:p>
      <w:pPr>
        <w:pStyle w:val="198"/>
        <w:spacing w:line="360" w:lineRule="auto"/>
        <w:ind w:right="264"/>
        <w:rPr>
          <w:rFonts w:hint="default" w:ascii="宋体" w:hAnsi="宋体" w:eastAsia="宋体" w:cs="宋体"/>
          <w:kern w:val="2"/>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eastAsia="宋体" w:cs="宋体"/>
          <w:kern w:val="2"/>
          <w:sz w:val="24"/>
          <w:szCs w:val="24"/>
          <w:lang w:val="en-US" w:eastAsia="zh-CN"/>
        </w:rPr>
        <w:t>3.5 质保期：三年。</w:t>
      </w:r>
    </w:p>
    <w:p>
      <w:pPr>
        <w:pStyle w:val="198"/>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3.6</w:t>
      </w:r>
      <w:r>
        <w:rPr>
          <w:rFonts w:hint="eastAsia" w:ascii="宋体" w:hAnsi="宋体" w:eastAsia="宋体" w:cs="宋体"/>
          <w:kern w:val="2"/>
          <w:sz w:val="24"/>
          <w:szCs w:val="24"/>
        </w:rPr>
        <w:t xml:space="preserve"> </w:t>
      </w:r>
      <w:r>
        <w:rPr>
          <w:rFonts w:hint="eastAsia" w:eastAsia="宋体" w:cs="宋体"/>
          <w:kern w:val="2"/>
          <w:sz w:val="24"/>
          <w:szCs w:val="24"/>
          <w:lang w:val="en-US" w:eastAsia="zh-CN"/>
        </w:rPr>
        <w:t>报价要求：</w:t>
      </w:r>
    </w:p>
    <w:p>
      <w:pPr>
        <w:pStyle w:val="198"/>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1、投标人的报价应包含为完成本招标文件提出的货物或服务等全部相关工作所有可能发生的费用，即投标总报价为“交钥匙”价。对在合同实施过程中可能发生的其他费用，采购人概不负责。</w:t>
      </w:r>
    </w:p>
    <w:p>
      <w:pPr>
        <w:pStyle w:val="198"/>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2、对本文件未列明，而投标人认为必需的费用也需列入投标总报价。在合同实施时，采购人将不予支付中标人没有列入的项目费用，并认为此项目的费用已包含在投标总报价中。</w:t>
      </w:r>
    </w:p>
    <w:p>
      <w:pPr>
        <w:pStyle w:val="198"/>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3.7  付款方式：</w:t>
      </w:r>
    </w:p>
    <w:p>
      <w:pPr>
        <w:pStyle w:val="198"/>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1、合同款支付：按合同约定的付款方式付款。</w:t>
      </w:r>
    </w:p>
    <w:p>
      <w:pPr>
        <w:pStyle w:val="198"/>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2、中标人必须按国家有关财税规定开具发票。</w:t>
      </w:r>
    </w:p>
    <w:p>
      <w:pPr>
        <w:pStyle w:val="198"/>
        <w:spacing w:line="360" w:lineRule="auto"/>
        <w:ind w:right="264"/>
        <w:rPr>
          <w:rFonts w:hint="eastAsia" w:ascii="宋体" w:hAnsi="宋体" w:eastAsia="宋体" w:cs="宋体"/>
          <w:kern w:val="2"/>
          <w:sz w:val="24"/>
          <w:szCs w:val="24"/>
        </w:rPr>
      </w:pPr>
      <w:r>
        <w:rPr>
          <w:rFonts w:hint="eastAsia" w:eastAsia="宋体" w:cs="宋体"/>
          <w:kern w:val="2"/>
          <w:sz w:val="24"/>
          <w:szCs w:val="24"/>
          <w:lang w:val="en-US" w:eastAsia="zh-CN"/>
        </w:rPr>
        <w:t>3.8  验收要求：</w:t>
      </w:r>
      <w:r>
        <w:rPr>
          <w:rFonts w:hint="eastAsia" w:ascii="宋体" w:hAnsi="宋体" w:eastAsia="宋体" w:cs="宋体"/>
          <w:kern w:val="2"/>
          <w:sz w:val="24"/>
          <w:szCs w:val="24"/>
        </w:rPr>
        <w:t>中标人完成工作内容后向采购人提验收申请，由相关部门对产品进行检测，出具验收合格报告后，经采购人组织评审通过视为验收合格。</w:t>
      </w:r>
    </w:p>
    <w:p>
      <w:pPr>
        <w:pStyle w:val="198"/>
        <w:spacing w:line="360" w:lineRule="auto"/>
        <w:ind w:right="264"/>
        <w:rPr>
          <w:rFonts w:hint="eastAsia" w:ascii="宋体" w:hAnsi="宋体" w:eastAsia="仿宋" w:cs="宋体"/>
          <w:kern w:val="2"/>
          <w:sz w:val="24"/>
          <w:szCs w:val="24"/>
          <w:lang w:val="en-US" w:eastAsia="zh-CN"/>
        </w:rPr>
      </w:pPr>
      <w:r>
        <w:rPr>
          <w:rFonts w:hint="eastAsia" w:eastAsia="宋体" w:cs="宋体"/>
          <w:kern w:val="2"/>
          <w:sz w:val="24"/>
          <w:szCs w:val="24"/>
          <w:lang w:val="en-US" w:eastAsia="zh-CN"/>
        </w:rPr>
        <w:t xml:space="preserve">3.9  </w:t>
      </w:r>
      <w:r>
        <w:rPr>
          <w:rFonts w:hint="eastAsia" w:ascii="宋体" w:hAnsi="宋体" w:eastAsia="宋体" w:cs="宋体"/>
          <w:kern w:val="2"/>
          <w:sz w:val="24"/>
          <w:szCs w:val="24"/>
        </w:rPr>
        <w:t>合同条款</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pPr>
        <w:pStyle w:val="198"/>
        <w:spacing w:line="360" w:lineRule="auto"/>
        <w:ind w:right="264"/>
        <w:rPr>
          <w:rFonts w:hint="eastAsia" w:ascii="宋体" w:hAnsi="宋体" w:eastAsia="宋体" w:cs="宋体"/>
          <w:kern w:val="2"/>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10</w:t>
      </w:r>
      <w:r>
        <w:rPr>
          <w:rFonts w:hint="eastAsia" w:ascii="宋体" w:hAnsi="宋体" w:eastAsia="宋体" w:cs="宋体"/>
          <w:kern w:val="2"/>
          <w:sz w:val="24"/>
          <w:szCs w:val="24"/>
        </w:rPr>
        <w:t xml:space="preserve">  业绩要求：供应商具有类似项目</w:t>
      </w:r>
      <w:r>
        <w:rPr>
          <w:rFonts w:hint="eastAsia" w:eastAsia="宋体" w:cs="宋体"/>
          <w:kern w:val="2"/>
          <w:sz w:val="24"/>
          <w:szCs w:val="24"/>
          <w:lang w:val="en-US" w:eastAsia="zh-CN"/>
        </w:rPr>
        <w:t>类绩</w:t>
      </w:r>
      <w:r>
        <w:rPr>
          <w:rFonts w:hint="eastAsia" w:eastAsia="宋体" w:cs="宋体"/>
          <w:kern w:val="2"/>
          <w:sz w:val="24"/>
          <w:szCs w:val="24"/>
          <w:lang w:eastAsia="zh-CN"/>
        </w:rPr>
        <w:t>。</w:t>
      </w:r>
      <w:bookmarkStart w:id="98" w:name="_GoBack"/>
      <w:bookmarkEnd w:id="98"/>
    </w:p>
    <w:p>
      <w:pPr>
        <w:pStyle w:val="27"/>
        <w:rPr>
          <w:rFonts w:hint="eastAsia"/>
          <w:sz w:val="24"/>
          <w:szCs w:val="24"/>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Style w:val="28"/>
        <w:ind w:left="0" w:leftChars="0" w:firstLine="0" w:firstLineChars="0"/>
        <w:rPr>
          <w:sz w:val="24"/>
          <w:szCs w:val="24"/>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Style w:val="49"/>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both"/>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38"/>
      <w:bookmarkEnd w:id="39"/>
    </w:p>
    <w:p>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3"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53"/>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31</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39</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4" w:name="_Toc25462"/>
      <w:r>
        <w:rPr>
          <w:rFonts w:hint="eastAsia" w:ascii="宋体" w:hAnsi="宋体" w:eastAsia="宋体" w:cstheme="minorEastAsia"/>
          <w:b/>
          <w:color w:val="auto"/>
          <w:sz w:val="28"/>
          <w:szCs w:val="28"/>
        </w:rPr>
        <w:t>二、评审步骤</w:t>
      </w:r>
      <w:bookmarkEnd w:id="54"/>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磋商小组对</w:t>
      </w:r>
      <w:r>
        <w:rPr>
          <w:rFonts w:hint="eastAsia" w:ascii="宋体" w:hAnsi="宋体" w:eastAsia="宋体" w:cstheme="minorEastAsia"/>
          <w:color w:val="auto"/>
          <w:sz w:val="24"/>
          <w:szCs w:val="24"/>
        </w:rPr>
        <w:t>供应商资格性和符合性检查表进行审查</w:t>
      </w:r>
      <w:r>
        <w:rPr>
          <w:rFonts w:hint="eastAsia" w:ascii="宋体" w:hAnsi="宋体" w:eastAsia="宋体" w:cstheme="minorEastAsia"/>
          <w:bCs/>
          <w:color w:val="auto"/>
          <w:sz w:val="24"/>
          <w:szCs w:val="24"/>
        </w:rPr>
        <w:t>，响应文件审查不满足《供应商资格性和符合性检查表》中要求的，磋商小组有权拒绝该供应商参加磋商。</w:t>
      </w:r>
    </w:p>
    <w:tbl>
      <w:tblPr>
        <w:tblStyle w:val="42"/>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6"/>
        <w:gridCol w:w="904"/>
        <w:gridCol w:w="239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序号</w:t>
            </w:r>
          </w:p>
        </w:tc>
        <w:tc>
          <w:tcPr>
            <w:tcW w:w="1106"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评审内容</w:t>
            </w:r>
          </w:p>
        </w:tc>
        <w:tc>
          <w:tcPr>
            <w:tcW w:w="6895" w:type="dxa"/>
            <w:gridSpan w:val="3"/>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b/>
                <w:bCs/>
                <w:color w:val="auto"/>
                <w:kern w:val="0"/>
                <w:sz w:val="24"/>
                <w:szCs w:val="24"/>
              </w:rPr>
            </w:pPr>
            <w:r>
              <w:rPr>
                <w:rFonts w:hint="eastAsia" w:ascii="宋体" w:hAnsi="宋体" w:eastAsia="宋体" w:cstheme="minorEastAsia"/>
                <w:bCs/>
                <w:color w:val="auto"/>
                <w:kern w:val="0"/>
                <w:sz w:val="24"/>
                <w:szCs w:val="24"/>
              </w:rPr>
              <w:t>磋商书（附件1）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widowControl w:val="0"/>
              <w:kinsoku/>
              <w:wordWrap/>
              <w:overflowPunct/>
              <w:topLinePunct w:val="0"/>
              <w:autoSpaceDE w:val="0"/>
              <w:autoSpaceDN w:val="0"/>
              <w:bidi w:val="0"/>
              <w:adjustRightInd/>
              <w:spacing w:before="0" w:after="0" w:line="240" w:lineRule="auto"/>
              <w:ind w:left="0" w:right="0" w:rightChars="0" w:firstLine="0"/>
              <w:jc w:val="left"/>
              <w:textAlignment w:val="auto"/>
              <w:rPr>
                <w:rFonts w:hint="eastAsia"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报价组成情况表（附件2）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hint="default" w:ascii="宋体" w:hAnsi="宋体" w:eastAsia="宋体" w:cstheme="minorEastAsia"/>
                <w:bCs/>
                <w:color w:val="auto"/>
                <w:kern w:val="0"/>
                <w:sz w:val="24"/>
                <w:szCs w:val="24"/>
                <w:lang w:val="en-US" w:eastAsia="zh-CN"/>
              </w:rPr>
            </w:pPr>
            <w:r>
              <w:rPr>
                <w:rFonts w:hint="eastAsia" w:ascii="宋体" w:hAnsi="宋体" w:eastAsia="宋体" w:cstheme="minorEastAsia"/>
                <w:bCs/>
                <w:color w:val="auto"/>
                <w:kern w:val="0"/>
                <w:sz w:val="24"/>
                <w:szCs w:val="24"/>
              </w:rPr>
              <w:t>货物（服务）清单（附件3）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《资格性符合性检查对照表》（附件4）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《技术（服务）响应、偏离情况说明表》（附件5）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《商务（合同草案条款）响应、偏离情况说明表》（附件6）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法人（负责人）代表授权书（附件7）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restart"/>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法人或者其他组织的营业执照等证明文件，自然人的身份证明；</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企业法人（包括合伙企业）</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提供工商部门注册的有效“企业法人营业执照”或“营业执照”；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事业单位法人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其他组织</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非企业专业服务机构</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提供执业许可证等证明文件；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个体工商户</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提供有效的“个体工商户营业执照”。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自然人</w:t>
            </w: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提供有效的自然人身份证明。（仅限中国公民）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restart"/>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财务状况报告，依法缴纳税收和社会保障资金的相关材料；</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提供经第三方审计的202</w:t>
            </w:r>
            <w:r>
              <w:rPr>
                <w:rFonts w:hint="eastAsia" w:ascii="宋体" w:hAnsi="宋体" w:eastAsia="宋体" w:cstheme="minorEastAsia"/>
                <w:color w:val="auto"/>
                <w:kern w:val="0"/>
                <w:sz w:val="24"/>
                <w:szCs w:val="24"/>
                <w:lang w:val="en-US" w:eastAsia="zh-CN"/>
              </w:rPr>
              <w:t>0或2021</w:t>
            </w:r>
            <w:r>
              <w:rPr>
                <w:rFonts w:hint="eastAsia" w:ascii="宋体" w:hAnsi="宋体" w:eastAsia="宋体" w:cstheme="minorEastAsia"/>
                <w:color w:val="auto"/>
                <w:kern w:val="0"/>
                <w:sz w:val="24"/>
                <w:szCs w:val="24"/>
              </w:rPr>
              <w:t>年度财务报告（完整的财务报告，包括“四表一注”，即资产负债表、利润表、现金流量表、所有者权益变动表及其附注），或其基本开户银行出具的资信证明；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部分其他组织和自然人</w:t>
            </w:r>
          </w:p>
        </w:tc>
        <w:tc>
          <w:tcPr>
            <w:tcW w:w="3601" w:type="dxa"/>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没有经第三方审计的财务报告的，可以提供银行出具的资信证明；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响应供应商没有经第三方审计的财务报告和资信证明时，也可以提供财政部门认可的政府采购专业担保机构出具的投标担保函。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依法缴纳税收和社会保障资金的证明材</w:t>
            </w:r>
            <w:r>
              <w:rPr>
                <w:rFonts w:hint="eastAsia" w:ascii="宋体" w:hAnsi="宋体" w:eastAsia="宋体" w:cstheme="minorEastAsia"/>
                <w:color w:val="auto"/>
                <w:kern w:val="0"/>
                <w:sz w:val="24"/>
                <w:szCs w:val="24"/>
                <w:lang w:val="en-US" w:eastAsia="zh-CN"/>
              </w:rPr>
              <w:t xml:space="preserve"> </w:t>
            </w:r>
            <w:r>
              <w:rPr>
                <w:rFonts w:hint="eastAsia" w:ascii="宋体" w:hAnsi="宋体" w:eastAsia="宋体" w:cstheme="minorEastAsia"/>
                <w:color w:val="auto"/>
                <w:kern w:val="0"/>
                <w:sz w:val="24"/>
                <w:szCs w:val="24"/>
              </w:rPr>
              <w:t>料</w:t>
            </w: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1</w:t>
            </w:r>
            <w:r>
              <w:rPr>
                <w:rFonts w:hint="eastAsia" w:ascii="宋体" w:hAnsi="宋体" w:eastAsia="宋体" w:cstheme="minorEastAsia"/>
                <w:color w:val="auto"/>
                <w:kern w:val="0"/>
                <w:sz w:val="24"/>
                <w:szCs w:val="24"/>
              </w:rPr>
              <w:t>年以来任意一月内缴纳增值税、营业税和企业所得税的凭据；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1</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其他组织和自然人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1</w:t>
            </w:r>
            <w:r>
              <w:rPr>
                <w:rFonts w:hint="eastAsia" w:ascii="宋体" w:hAnsi="宋体" w:eastAsia="宋体" w:cstheme="minorEastAsia"/>
                <w:color w:val="auto"/>
                <w:kern w:val="0"/>
                <w:sz w:val="24"/>
                <w:szCs w:val="24"/>
              </w:rPr>
              <w:t>年以来任意一月内缴纳税收的凭据；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1</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4" w:type="dxa"/>
            <w:vMerge w:val="continue"/>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依法免税或不需要缴纳社会保险资金的投标人提供其依法免税或不需要缴纳社会保险资金的相关证明文件。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具备履行合同所必需的设备和专业技术能力的证明材料（附件10）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参加政府采购活动前3年内在经营活动中没有重大违法记录的书面声明；（附件11）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未被列入“信用中国”网站（www.creditchina.gov.cn）、“中国政府采购网”失信被执行人、重大税收违法案件当事人名单、政府采购严重违法失信行为记录名单</w:t>
            </w:r>
            <w:r>
              <w:rPr>
                <w:rFonts w:ascii="仿宋" w:hAnsi="仿宋" w:cs="仿宋"/>
                <w:color w:val="auto"/>
                <w:spacing w:val="0"/>
                <w:sz w:val="24"/>
              </w:rPr>
              <w:t>查询结果截图</w:t>
            </w:r>
            <w:r>
              <w:rPr>
                <w:rFonts w:hint="eastAsia" w:ascii="仿宋" w:hAnsi="仿宋" w:cs="仿宋"/>
                <w:color w:val="auto"/>
                <w:spacing w:val="0"/>
                <w:sz w:val="24"/>
                <w:highlight w:val="none"/>
                <w:lang w:eastAsia="zh-CN"/>
              </w:rPr>
              <w:t>；</w:t>
            </w:r>
            <w:r>
              <w:rPr>
                <w:rFonts w:hint="eastAsia" w:ascii="宋体" w:hAnsi="宋体" w:eastAsia="宋体" w:cstheme="minorEastAsia"/>
                <w:color w:val="auto"/>
                <w:kern w:val="0"/>
                <w:sz w:val="24"/>
                <w:szCs w:val="24"/>
                <w:highlight w:val="none"/>
              </w:rPr>
              <w:t>（附件12）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政府采购政策情况表（附件13）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《中小企业声明函》、《残疾人福利性单位声明函》、属于监狱企业的证明文件等（如果有的话）(附件14)。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4400" w:type="dxa"/>
            <w:gridSpan w:val="3"/>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供应商应使用 CA 数字证书加盖投标人的单位电子印章或扫描上传加盖单位公章的电子投标文件；要求“签字”的地方，投标人应使用 CA 数字证书加盖法定代表人的个人电子印章或电子签名章或扫描上传法定代表人签字或盖章的电子投标文件（投标文件签字人非法定代表人的，提供了有效的《法定代表人授权书》）</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供应商需要按照文件要求进行盖章。如果是分支机构参与采购活动，总公司（总所）出具给分支机构的授权书，并加盖总公司（总所）公章</w:t>
            </w:r>
          </w:p>
        </w:tc>
      </w:tr>
    </w:tbl>
    <w:p>
      <w:pPr>
        <w:pageBreakBefore w:val="0"/>
        <w:kinsoku/>
        <w:wordWrap/>
        <w:overflowPunct/>
        <w:topLinePunct w:val="0"/>
        <w:bidi w:val="0"/>
        <w:adjustRightInd/>
        <w:spacing w:line="440" w:lineRule="exact"/>
        <w:ind w:right="0" w:rightChars="0"/>
        <w:textAlignment w:val="auto"/>
        <w:rPr>
          <w:rFonts w:hint="eastAsia" w:ascii="宋体" w:hAnsi="宋体" w:eastAsia="宋体"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31</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39</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2.1非专门面向中小企业的货物类采购项目，按磋商文件中采购清单确定的货物，对小型和微型企业制造的货物价格给予6%的扣除，用扣除后的价格参与评审。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2.2非专门面向中小企业的工程、服务类采购项目，供应商是小型和微型企业的价格给予6%的扣除，用扣除后的价格参与评审。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%×100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55" w:name="_Toc75007959"/>
      <w:bookmarkStart w:id="56" w:name="_Toc1458939"/>
    </w:p>
    <w:p>
      <w:pPr>
        <w:spacing w:line="440" w:lineRule="exact"/>
        <w:ind w:left="0" w:leftChars="0" w:firstLine="422" w:firstLineChars="150"/>
        <w:outlineLvl w:val="1"/>
        <w:rPr>
          <w:rFonts w:ascii="宋体" w:hAnsi="宋体" w:eastAsia="宋体" w:cstheme="minorEastAsia"/>
          <w:b/>
          <w:color w:val="auto"/>
          <w:sz w:val="28"/>
          <w:szCs w:val="28"/>
        </w:rPr>
      </w:pPr>
      <w:bookmarkStart w:id="57" w:name="_Toc19196"/>
      <w:r>
        <w:rPr>
          <w:rFonts w:hint="eastAsia" w:ascii="宋体" w:hAnsi="宋体" w:eastAsia="宋体" w:cstheme="minorEastAsia"/>
          <w:b/>
          <w:color w:val="auto"/>
          <w:sz w:val="28"/>
          <w:szCs w:val="28"/>
        </w:rPr>
        <w:t>三、</w:t>
      </w:r>
      <w:bookmarkStart w:id="58" w:name="_Toc1421491"/>
      <w:bookmarkStart w:id="59" w:name="_Toc509997296"/>
      <w:bookmarkStart w:id="60" w:name="_Toc494799112"/>
      <w:r>
        <w:rPr>
          <w:rFonts w:hint="eastAsia" w:ascii="宋体" w:hAnsi="宋体" w:eastAsia="宋体" w:cstheme="minorEastAsia"/>
          <w:b/>
          <w:color w:val="auto"/>
          <w:sz w:val="28"/>
          <w:szCs w:val="28"/>
        </w:rPr>
        <w:t>评审因素及评分标准</w:t>
      </w:r>
      <w:bookmarkEnd w:id="55"/>
      <w:bookmarkEnd w:id="56"/>
      <w:bookmarkEnd w:id="57"/>
      <w:bookmarkEnd w:id="58"/>
      <w:bookmarkEnd w:id="59"/>
      <w:bookmarkEnd w:id="60"/>
      <w:bookmarkStart w:id="61" w:name="_Toc1458940"/>
      <w:bookmarkStart w:id="62" w:name="_Toc75007960"/>
    </w:p>
    <w:p>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s="Courier New"/>
          <w:color w:val="auto"/>
          <w:sz w:val="24"/>
          <w:szCs w:val="24"/>
          <w:lang w:val="en-US" w:eastAsia="zh-CN"/>
        </w:rPr>
        <w:t>31</w:t>
      </w:r>
      <w:r>
        <w:rPr>
          <w:rFonts w:hint="eastAsia" w:ascii="宋体" w:hAnsi="宋体" w:cs="Courier New"/>
          <w:color w:val="auto"/>
          <w:sz w:val="24"/>
          <w:szCs w:val="24"/>
        </w:rPr>
        <w:t>分</w:t>
      </w:r>
      <w:r>
        <w:rPr>
          <w:rFonts w:hint="eastAsia" w:ascii="宋体" w:hAnsi="宋体"/>
          <w:color w:val="auto"/>
          <w:sz w:val="24"/>
          <w:szCs w:val="24"/>
        </w:rPr>
        <w:t>）</w:t>
      </w:r>
      <w:bookmarkEnd w:id="61"/>
      <w:bookmarkEnd w:id="62"/>
    </w:p>
    <w:tbl>
      <w:tblPr>
        <w:tblStyle w:val="41"/>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50"/>
        <w:gridCol w:w="776"/>
        <w:gridCol w:w="46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600" w:type="dxa"/>
            <w:shd w:val="clear" w:color="C4BC96" w:fill="auto"/>
            <w:noWrap w:val="0"/>
            <w:vAlign w:val="center"/>
          </w:tcPr>
          <w:p>
            <w:pPr>
              <w:widowControl/>
              <w:spacing w:line="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1250"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776" w:type="dxa"/>
            <w:shd w:val="clear" w:color="C4BC96" w:fill="auto"/>
            <w:noWrap w:val="0"/>
            <w:vAlign w:val="center"/>
          </w:tcPr>
          <w:p>
            <w:pPr>
              <w:widowControl/>
              <w:spacing w:line="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4615"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c>
          <w:tcPr>
            <w:tcW w:w="1080" w:type="dxa"/>
            <w:shd w:val="clear" w:color="C4BC96" w:fill="auto"/>
            <w:noWrap w:val="0"/>
            <w:vAlign w:val="center"/>
          </w:tcPr>
          <w:p>
            <w:pPr>
              <w:widowControl/>
              <w:spacing w:line="60" w:lineRule="auto"/>
              <w:ind w:left="-107" w:leftChars="-51" w:right="-107" w:rightChars="-5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Times New Roman" w:hAnsi="Times New Roman" w:eastAsia="宋体" w:cs="Times New Roman"/>
                <w:color w:val="auto"/>
                <w:szCs w:val="24"/>
                <w:lang w:eastAsia="zh-CN"/>
              </w:rPr>
              <w:t>工期</w:t>
            </w: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val="en-US" w:eastAsia="zh-CN"/>
              </w:rPr>
              <w:t>1</w:t>
            </w:r>
          </w:p>
        </w:tc>
        <w:tc>
          <w:tcPr>
            <w:tcW w:w="4615" w:type="dxa"/>
            <w:noWrap w:val="0"/>
            <w:vAlign w:val="center"/>
          </w:tcPr>
          <w:p>
            <w:pPr>
              <w:widowControl/>
              <w:tabs>
                <w:tab w:val="left" w:pos="690"/>
              </w:tabs>
              <w:spacing w:line="60" w:lineRule="auto"/>
              <w:ind w:right="-50" w:rightChars="-24"/>
              <w:jc w:val="left"/>
              <w:rPr>
                <w:rFonts w:hint="default" w:ascii="宋体" w:hAnsi="宋体" w:eastAsia="宋体" w:cs="仿宋_GB2312"/>
                <w:color w:val="auto"/>
                <w:sz w:val="24"/>
                <w:szCs w:val="24"/>
                <w:lang w:val="en-US" w:eastAsia="zh-CN"/>
              </w:rPr>
            </w:pPr>
            <w:r>
              <w:rPr>
                <w:rFonts w:hint="eastAsia" w:ascii="宋体" w:hAnsi="宋体" w:eastAsia="宋体" w:cs="宋体"/>
                <w:kern w:val="2"/>
                <w:sz w:val="24"/>
                <w:szCs w:val="24"/>
                <w:lang w:eastAsia="zh-CN"/>
              </w:rPr>
              <w:t>投标人承诺</w:t>
            </w:r>
            <w:r>
              <w:rPr>
                <w:rFonts w:hint="eastAsia" w:ascii="宋体" w:hAnsi="宋体" w:eastAsia="宋体" w:cs="宋体"/>
                <w:kern w:val="2"/>
                <w:sz w:val="24"/>
                <w:szCs w:val="24"/>
              </w:rPr>
              <w:t>自合同签订后</w:t>
            </w:r>
            <w:r>
              <w:rPr>
                <w:rFonts w:hint="eastAsia" w:ascii="宋体" w:hAnsi="宋体" w:eastAsia="宋体" w:cs="宋体"/>
                <w:kern w:val="2"/>
                <w:sz w:val="24"/>
                <w:szCs w:val="24"/>
                <w:lang w:val="en-US" w:eastAsia="zh-CN"/>
              </w:rPr>
              <w:t>1个月</w:t>
            </w:r>
            <w:r>
              <w:rPr>
                <w:rFonts w:hint="eastAsia" w:ascii="宋体" w:hAnsi="宋体" w:eastAsia="宋体" w:cs="宋体"/>
                <w:kern w:val="2"/>
                <w:sz w:val="24"/>
                <w:szCs w:val="24"/>
              </w:rPr>
              <w:t>内完成建设，并移交采购人使用。</w:t>
            </w:r>
            <w:r>
              <w:rPr>
                <w:rFonts w:hint="eastAsia" w:ascii="宋体" w:hAnsi="宋体" w:eastAsia="宋体" w:cs="宋体"/>
                <w:kern w:val="2"/>
                <w:sz w:val="24"/>
                <w:szCs w:val="24"/>
                <w:lang w:eastAsia="zh-CN"/>
              </w:rPr>
              <w:t>每提前</w:t>
            </w:r>
            <w:r>
              <w:rPr>
                <w:rFonts w:hint="eastAsia" w:ascii="宋体" w:hAnsi="宋体" w:eastAsia="宋体" w:cs="宋体"/>
                <w:kern w:val="2"/>
                <w:sz w:val="24"/>
                <w:szCs w:val="24"/>
                <w:lang w:val="en-US" w:eastAsia="zh-CN"/>
              </w:rPr>
              <w:t>1天得0.5分；最高得1分；不提前交付不得分。</w:t>
            </w:r>
          </w:p>
        </w:tc>
        <w:tc>
          <w:tcPr>
            <w:tcW w:w="1080" w:type="dxa"/>
            <w:noWrap w:val="0"/>
            <w:vAlign w:val="center"/>
          </w:tcPr>
          <w:p>
            <w:pPr>
              <w:widowControl/>
              <w:spacing w:line="60" w:lineRule="auto"/>
              <w:ind w:left="-65" w:leftChars="-31" w:right="-36" w:rightChars="-17"/>
              <w:jc w:val="center"/>
              <w:rPr>
                <w:rFonts w:hint="eastAsia" w:ascii="宋体" w:hAnsi="宋体" w:eastAsia="宋体" w:cs="Times New Roman"/>
                <w:color w:val="auto"/>
                <w:sz w:val="24"/>
                <w:szCs w:val="24"/>
                <w:lang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eastAsia="zh-CN"/>
              </w:rPr>
              <w:t>项目实施方案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8</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投标人对项目组织管理、实施计划、质量控制方案、人员安排及故障或意 处的应急处理方案等进行综合比较：</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项目实施方案全面成熟、合理、科学，相关方案等资料完整，得 8 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项目实施方案较成熟、合理性，相关方案等资料较完整，得 6 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项目实施方案一般、合理性，相关方案等资料一般，得 4 分； </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项目实施方案较差、合理性，相关方案等资料较差，得 2 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没有提供项目实施方案，得 0 分。</w:t>
            </w:r>
          </w:p>
          <w:p>
            <w:pPr>
              <w:widowControl/>
              <w:tabs>
                <w:tab w:val="left" w:pos="690"/>
              </w:tabs>
              <w:spacing w:line="60" w:lineRule="auto"/>
              <w:ind w:right="-50" w:rightChars="-24"/>
              <w:jc w:val="left"/>
              <w:rPr>
                <w:rFonts w:hint="eastAsia" w:ascii="宋体" w:hAnsi="宋体" w:eastAsia="宋体" w:cs="宋体"/>
                <w:kern w:val="2"/>
                <w:sz w:val="24"/>
                <w:szCs w:val="24"/>
                <w:lang w:eastAsia="zh-CN"/>
              </w:rPr>
            </w:pPr>
          </w:p>
        </w:tc>
        <w:tc>
          <w:tcPr>
            <w:tcW w:w="1080" w:type="dxa"/>
            <w:noWrap w:val="0"/>
            <w:vAlign w:val="center"/>
          </w:tcPr>
          <w:p>
            <w:pPr>
              <w:widowControl/>
              <w:spacing w:line="60" w:lineRule="auto"/>
              <w:ind w:left="-65" w:leftChars="-31" w:right="-36" w:rightChars="-17"/>
              <w:jc w:val="center"/>
              <w:rPr>
                <w:rFonts w:ascii="宋体" w:hAnsi="宋体" w:eastAsia="宋体" w:cs="Times New Roman"/>
                <w:color w:val="auto"/>
                <w:sz w:val="24"/>
                <w:szCs w:val="24"/>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rPr>
            </w:pPr>
            <w:r>
              <w:rPr>
                <w:rFonts w:hint="eastAsia" w:ascii="宋体" w:hAnsi="宋体" w:eastAsia="宋体" w:cs="仿宋_GB2312"/>
                <w:color w:val="auto"/>
                <w:sz w:val="24"/>
                <w:szCs w:val="24"/>
              </w:rPr>
              <w:t>售后服务要求</w:t>
            </w:r>
          </w:p>
          <w:p>
            <w:pPr>
              <w:widowControl/>
              <w:spacing w:line="60" w:lineRule="auto"/>
              <w:ind w:left="-57" w:leftChars="-27" w:right="-78" w:rightChars="-37"/>
              <w:jc w:val="both"/>
              <w:rPr>
                <w:rFonts w:ascii="宋体" w:hAnsi="宋体" w:eastAsia="宋体" w:cs="仿宋_GB2312"/>
                <w:color w:val="auto"/>
                <w:sz w:val="24"/>
                <w:szCs w:val="24"/>
              </w:rPr>
            </w:pP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5</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投标人提供完整售后服务方案及售后服务承诺函，根据投标人售后服务方案的完善性、合理性、本地化服务等各方面进行综合评分。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售后服务方案全面、合理、可实施性高、服务团队人员安排完善，得</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售后服务方案一般、较合理、可实施性一般、服务时效性一般得</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分；</w:t>
            </w:r>
          </w:p>
          <w:p>
            <w:pPr>
              <w:widowControl/>
              <w:tabs>
                <w:tab w:val="left" w:pos="690"/>
              </w:tabs>
              <w:spacing w:line="60" w:lineRule="auto"/>
              <w:ind w:right="-50" w:rightChars="-24" w:firstLine="480" w:firstLineChars="20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售后服务方案不完整、可实施性差</w:t>
            </w:r>
            <w:r>
              <w:rPr>
                <w:rFonts w:hint="eastAsia" w:ascii="宋体" w:hAnsi="宋体" w:eastAsia="宋体" w:cs="Times New Roman"/>
                <w:color w:val="auto"/>
                <w:sz w:val="24"/>
                <w:szCs w:val="24"/>
                <w:lang w:eastAsia="zh-CN"/>
              </w:rPr>
              <w:t>得</w:t>
            </w:r>
            <w:r>
              <w:rPr>
                <w:rFonts w:hint="eastAsia" w:ascii="宋体" w:hAnsi="宋体" w:eastAsia="宋体" w:cs="Times New Roman"/>
                <w:color w:val="auto"/>
                <w:sz w:val="24"/>
                <w:szCs w:val="24"/>
                <w:lang w:val="en-US" w:eastAsia="zh-CN"/>
              </w:rPr>
              <w:t>1分；</w:t>
            </w:r>
          </w:p>
          <w:p>
            <w:pPr>
              <w:widowControl/>
              <w:tabs>
                <w:tab w:val="left" w:pos="690"/>
              </w:tabs>
              <w:spacing w:line="60" w:lineRule="auto"/>
              <w:ind w:right="-50" w:rightChars="-24" w:firstLine="480" w:firstLineChars="200"/>
              <w:jc w:val="left"/>
              <w:rPr>
                <w:rFonts w:ascii="宋体" w:hAnsi="宋体" w:eastAsia="宋体" w:cs="仿宋_GB2312"/>
                <w:color w:val="auto"/>
                <w:sz w:val="24"/>
                <w:szCs w:val="24"/>
              </w:rPr>
            </w:pPr>
            <w:r>
              <w:rPr>
                <w:rFonts w:hint="eastAsia" w:ascii="宋体" w:hAnsi="宋体" w:eastAsia="宋体" w:cs="Times New Roman"/>
                <w:color w:val="auto"/>
                <w:sz w:val="24"/>
                <w:szCs w:val="24"/>
              </w:rPr>
              <w:t>未提供售后服务方案得</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分。</w:t>
            </w:r>
          </w:p>
        </w:tc>
        <w:tc>
          <w:tcPr>
            <w:tcW w:w="1080" w:type="dxa"/>
            <w:noWrap w:val="0"/>
            <w:vAlign w:val="center"/>
          </w:tcPr>
          <w:p>
            <w:pPr>
              <w:widowControl/>
              <w:spacing w:line="60" w:lineRule="auto"/>
              <w:ind w:left="-65" w:leftChars="-31" w:right="-36" w:rightChars="-17"/>
              <w:jc w:val="center"/>
              <w:rPr>
                <w:rFonts w:hint="eastAsia" w:ascii="宋体" w:hAnsi="宋体" w:eastAsia="宋体" w:cs="Times New Roman"/>
                <w:color w:val="auto"/>
                <w:sz w:val="24"/>
                <w:szCs w:val="24"/>
                <w:lang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eastAsia="zh-CN"/>
              </w:rPr>
              <w:t>质保期</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5</w:t>
            </w:r>
          </w:p>
        </w:tc>
        <w:tc>
          <w:tcPr>
            <w:tcW w:w="4615" w:type="dxa"/>
            <w:noWrap w:val="0"/>
            <w:vAlign w:val="center"/>
          </w:tcPr>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eastAsia="zh-CN"/>
              </w:rPr>
              <w:t>满足质保期</w:t>
            </w:r>
            <w:r>
              <w:rPr>
                <w:rFonts w:hint="eastAsia" w:ascii="宋体" w:hAnsi="宋体" w:eastAsia="宋体" w:cs="Times New Roman"/>
                <w:color w:val="auto"/>
                <w:sz w:val="24"/>
                <w:szCs w:val="24"/>
                <w:lang w:val="en-US" w:eastAsia="zh-CN"/>
              </w:rPr>
              <w:t>3年得3分，每延长1年得1分；最高得5分。</w:t>
            </w:r>
          </w:p>
        </w:tc>
        <w:tc>
          <w:tcPr>
            <w:tcW w:w="1080" w:type="dxa"/>
            <w:noWrap w:val="0"/>
            <w:vAlign w:val="center"/>
          </w:tcPr>
          <w:p>
            <w:pPr>
              <w:widowControl/>
              <w:spacing w:line="60" w:lineRule="auto"/>
              <w:ind w:left="-65" w:leftChars="-31" w:right="-36" w:rightChars="-17"/>
              <w:jc w:val="center"/>
              <w:rPr>
                <w:rFonts w:ascii="宋体" w:hAnsi="宋体" w:eastAsia="宋体" w:cs="Times New Roman"/>
                <w:color w:val="auto"/>
                <w:sz w:val="24"/>
                <w:szCs w:val="24"/>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rPr>
              <w:t>类似项目业绩</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lang w:val="en-US" w:eastAsia="zh-CN"/>
              </w:rPr>
              <w:t>12</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供应商提供2019年1月1日至投标截止日</w:t>
            </w:r>
            <w:r>
              <w:rPr>
                <w:rFonts w:hint="eastAsia" w:ascii="宋体" w:hAnsi="宋体" w:eastAsia="宋体" w:cs="Times New Roman"/>
                <w:color w:val="auto"/>
                <w:sz w:val="24"/>
                <w:szCs w:val="24"/>
                <w:lang w:val="en-US" w:eastAsia="zh-CN"/>
              </w:rPr>
              <w:t>承担过</w:t>
            </w:r>
            <w:r>
              <w:rPr>
                <w:rFonts w:hint="eastAsia" w:ascii="宋体" w:hAnsi="宋体" w:eastAsia="宋体" w:cs="Times New Roman"/>
                <w:color w:val="auto"/>
                <w:sz w:val="24"/>
                <w:szCs w:val="24"/>
                <w:lang w:eastAsia="zh-CN"/>
              </w:rPr>
              <w:t>同类</w:t>
            </w:r>
            <w:r>
              <w:rPr>
                <w:rFonts w:hint="eastAsia" w:ascii="宋体" w:hAnsi="宋体" w:eastAsia="宋体" w:cs="Times New Roman"/>
                <w:color w:val="auto"/>
                <w:sz w:val="24"/>
                <w:szCs w:val="24"/>
              </w:rPr>
              <w:t>项目业绩的，每提供1个合同业绩得2分，最多</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 xml:space="preserve">分。 </w:t>
            </w:r>
          </w:p>
          <w:p>
            <w:pPr>
              <w:widowControl/>
              <w:tabs>
                <w:tab w:val="left" w:pos="690"/>
              </w:tabs>
              <w:spacing w:line="60" w:lineRule="auto"/>
              <w:ind w:right="-50" w:rightChars="-24"/>
              <w:jc w:val="left"/>
              <w:rPr>
                <w:rFonts w:hint="eastAsia" w:ascii="宋体" w:hAnsi="宋体" w:eastAsia="宋体" w:cs="仿宋_GB2312"/>
                <w:color w:val="auto"/>
                <w:kern w:val="2"/>
                <w:sz w:val="24"/>
                <w:szCs w:val="24"/>
                <w:lang w:val="en-US" w:eastAsia="zh-CN" w:bidi="ar-SA"/>
              </w:rPr>
            </w:pPr>
            <w:r>
              <w:rPr>
                <w:rFonts w:hint="eastAsia" w:ascii="宋体" w:hAnsi="宋体" w:eastAsia="宋体" w:cs="Times New Roman"/>
                <w:color w:val="auto"/>
                <w:sz w:val="24"/>
                <w:szCs w:val="24"/>
              </w:rPr>
              <w:t>（以合同签订时间为准，需提供项目合同及客户盖章验收单和项目联络人及联系电话）</w:t>
            </w:r>
          </w:p>
        </w:tc>
        <w:tc>
          <w:tcPr>
            <w:tcW w:w="1080" w:type="dxa"/>
            <w:noWrap w:val="0"/>
            <w:vAlign w:val="center"/>
          </w:tcPr>
          <w:p>
            <w:pPr>
              <w:widowControl/>
              <w:spacing w:line="60" w:lineRule="auto"/>
              <w:ind w:left="-65" w:leftChars="-31" w:right="-36" w:rightChars="-17"/>
              <w:jc w:val="center"/>
              <w:rPr>
                <w:rFonts w:hint="default" w:ascii="宋体" w:hAnsi="宋体" w:eastAsia="宋体" w:cs="Times New Roman"/>
                <w:color w:val="auto"/>
                <w:kern w:val="2"/>
                <w:sz w:val="24"/>
                <w:szCs w:val="24"/>
                <w:lang w:val="en-US" w:eastAsia="zh-CN" w:bidi="ar-SA"/>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10</w:t>
            </w:r>
          </w:p>
        </w:tc>
      </w:tr>
    </w:tbl>
    <w:p>
      <w:pPr>
        <w:pStyle w:val="2"/>
        <w:rPr>
          <w:color w:val="auto"/>
        </w:rPr>
      </w:pPr>
    </w:p>
    <w:p>
      <w:pPr>
        <w:numPr>
          <w:ilvl w:val="0"/>
          <w:numId w:val="15"/>
        </w:numPr>
        <w:spacing w:line="440" w:lineRule="exact"/>
        <w:ind w:left="0" w:leftChars="0" w:firstLine="480" w:firstLineChars="200"/>
        <w:outlineLvl w:val="2"/>
        <w:rPr>
          <w:rFonts w:hint="eastAsia" w:ascii="宋体" w:hAnsi="宋体"/>
          <w:color w:val="auto"/>
          <w:sz w:val="24"/>
          <w:szCs w:val="24"/>
        </w:rPr>
      </w:pPr>
      <w:bookmarkStart w:id="63" w:name="_Toc1458941"/>
      <w:bookmarkStart w:id="64" w:name="_Toc7500796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color w:val="auto"/>
          <w:sz w:val="24"/>
          <w:szCs w:val="24"/>
          <w:lang w:val="en-US" w:eastAsia="zh-CN"/>
        </w:rPr>
        <w:t>39</w:t>
      </w:r>
      <w:r>
        <w:rPr>
          <w:rFonts w:hint="eastAsia" w:ascii="宋体" w:hAnsi="宋体"/>
          <w:color w:val="auto"/>
          <w:sz w:val="24"/>
          <w:szCs w:val="24"/>
        </w:rPr>
        <w:t>分）</w:t>
      </w:r>
      <w:bookmarkEnd w:id="63"/>
      <w:bookmarkEnd w:id="64"/>
    </w:p>
    <w:tbl>
      <w:tblPr>
        <w:tblStyle w:val="41"/>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9"/>
        <w:gridCol w:w="854"/>
        <w:gridCol w:w="510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bookmarkStart w:id="65" w:name="_Toc389620198"/>
            <w:bookmarkStart w:id="66" w:name="_Toc385992359"/>
            <w:r>
              <w:rPr>
                <w:rFonts w:hint="eastAsia" w:ascii="宋体" w:hAnsi="宋体" w:eastAsia="宋体" w:cs="Times New Roman"/>
                <w:b/>
                <w:color w:val="000000"/>
                <w:sz w:val="24"/>
                <w:szCs w:val="24"/>
              </w:rPr>
              <w:t>序号</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2790"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53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宋体" w:cs="宋体"/>
                <w:sz w:val="28"/>
                <w:szCs w:val="28"/>
              </w:rPr>
            </w:pPr>
            <w:r>
              <w:rPr>
                <w:rFonts w:hint="eastAsia" w:ascii="等线" w:hAnsi="等线" w:eastAsia="宋体" w:cs="宋体"/>
                <w:b/>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p>
        </w:tc>
        <w:tc>
          <w:tcPr>
            <w:tcW w:w="74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宋体"/>
                <w:sz w:val="24"/>
                <w:szCs w:val="24"/>
                <w:lang w:eastAsia="zh-CN"/>
              </w:rPr>
              <w:t>玻璃钢仿木纹材质</w:t>
            </w:r>
          </w:p>
        </w:tc>
        <w:tc>
          <w:tcPr>
            <w:tcW w:w="467" w:type="pc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tabs>
                <w:tab w:val="left" w:pos="690"/>
              </w:tabs>
              <w:spacing w:line="60" w:lineRule="auto"/>
              <w:ind w:right="-50" w:rightChars="-24"/>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28.5</w:t>
            </w:r>
          </w:p>
        </w:tc>
        <w:tc>
          <w:tcPr>
            <w:tcW w:w="2790"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Times New Roman"/>
                <w:sz w:val="24"/>
                <w:szCs w:val="24"/>
                <w:lang w:eastAsia="zh-CN"/>
              </w:rPr>
              <w:t>玻璃钢材仿木纹参数评分点</w:t>
            </w:r>
            <w:r>
              <w:rPr>
                <w:rFonts w:hint="eastAsia" w:ascii="宋体" w:hAnsi="宋体" w:eastAsia="宋体" w:cs="Times New Roman"/>
                <w:sz w:val="24"/>
                <w:szCs w:val="24"/>
              </w:rPr>
              <w:t>对点比较，需完全满足招标文件要求</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功能及技术参数要求中带</w:t>
            </w:r>
            <w:r>
              <w:rPr>
                <w:rFonts w:hint="eastAsia" w:ascii="宋体" w:hAnsi="宋体" w:eastAsia="宋体" w:cs="宋体"/>
                <w:b/>
                <w:sz w:val="24"/>
                <w:szCs w:val="24"/>
              </w:rPr>
              <w:t>△</w:t>
            </w:r>
            <w:r>
              <w:rPr>
                <w:rFonts w:hint="eastAsia" w:ascii="宋体" w:hAnsi="宋体" w:eastAsia="宋体" w:cs="Times New Roman"/>
                <w:sz w:val="24"/>
                <w:szCs w:val="24"/>
                <w:lang w:val="en-US" w:eastAsia="zh-CN"/>
              </w:rPr>
              <w:t>标识的需提供</w:t>
            </w:r>
            <w:r>
              <w:rPr>
                <w:rFonts w:hint="eastAsia" w:ascii="宋体" w:hAnsi="宋体" w:eastAsia="宋体" w:cs="Times New Roman"/>
                <w:sz w:val="24"/>
                <w:szCs w:val="24"/>
              </w:rPr>
              <w:t>功能截图，完全满足得</w:t>
            </w:r>
            <w:r>
              <w:rPr>
                <w:rFonts w:hint="eastAsia" w:ascii="宋体" w:hAnsi="宋体" w:eastAsia="宋体" w:cs="Times New Roman"/>
                <w:sz w:val="24"/>
                <w:szCs w:val="24"/>
                <w:lang w:val="en-US" w:eastAsia="zh-CN"/>
              </w:rPr>
              <w:t>28.5</w:t>
            </w:r>
            <w:r>
              <w:rPr>
                <w:rFonts w:hint="eastAsia" w:ascii="宋体" w:hAnsi="宋体" w:eastAsia="宋体" w:cs="Times New Roman"/>
                <w:sz w:val="24"/>
                <w:szCs w:val="24"/>
              </w:rPr>
              <w:t>分；每有一处缺截图</w:t>
            </w:r>
            <w:r>
              <w:rPr>
                <w:rFonts w:hint="eastAsia" w:ascii="宋体" w:hAnsi="宋体" w:eastAsia="宋体" w:cs="Times New Roman"/>
                <w:sz w:val="24"/>
                <w:szCs w:val="24"/>
                <w:lang w:eastAsia="zh-CN"/>
              </w:rPr>
              <w:t>或存在偏离的</w:t>
            </w:r>
            <w:r>
              <w:rPr>
                <w:rFonts w:hint="eastAsia" w:ascii="宋体" w:hAnsi="宋体" w:eastAsia="宋体" w:cs="Times New Roman"/>
                <w:sz w:val="24"/>
                <w:szCs w:val="24"/>
              </w:rPr>
              <w:t>扣</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分，扣完为止。</w:t>
            </w:r>
          </w:p>
        </w:tc>
        <w:tc>
          <w:tcPr>
            <w:tcW w:w="532" w:type="pct"/>
            <w:tcBorders>
              <w:top w:val="single" w:color="auto" w:sz="4" w:space="0"/>
              <w:left w:val="single" w:color="auto" w:sz="4" w:space="0"/>
              <w:right w:val="single" w:color="auto" w:sz="4" w:space="0"/>
            </w:tcBorders>
            <w:noWrap w:val="0"/>
            <w:vAlign w:val="center"/>
          </w:tcPr>
          <w:p>
            <w:pPr>
              <w:spacing w:line="340" w:lineRule="exact"/>
              <w:rPr>
                <w:rFonts w:ascii="仿宋" w:hAnsi="仿宋" w:eastAsia="仿宋" w:cs="仿宋"/>
                <w:sz w:val="28"/>
                <w:szCs w:val="28"/>
              </w:rPr>
            </w:pPr>
            <w:r>
              <w:rPr>
                <w:rFonts w:hint="eastAsia" w:ascii="仿宋" w:hAnsi="仿宋" w:eastAsia="仿宋" w:cs="仿宋"/>
                <w:sz w:val="28"/>
                <w:szCs w:val="28"/>
              </w:rPr>
              <w:t>技术服务要求1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p>
        </w:tc>
        <w:tc>
          <w:tcPr>
            <w:tcW w:w="74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cs="宋体"/>
                <w:color w:val="000000"/>
                <w:kern w:val="0"/>
                <w:sz w:val="24"/>
                <w:szCs w:val="24"/>
                <w:lang w:val="en-US" w:eastAsia="zh-CN"/>
              </w:rPr>
              <w:t>背板</w:t>
            </w:r>
          </w:p>
        </w:tc>
        <w:tc>
          <w:tcPr>
            <w:tcW w:w="467"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p>
        </w:tc>
        <w:tc>
          <w:tcPr>
            <w:tcW w:w="2790"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宋体"/>
                <w:color w:val="000000"/>
                <w:spacing w:val="0"/>
                <w:w w:val="100"/>
                <w:kern w:val="2"/>
                <w:position w:val="0"/>
                <w:sz w:val="24"/>
                <w:szCs w:val="24"/>
                <w:u w:val="none"/>
                <w:shd w:val="clear" w:color="auto" w:fill="auto"/>
                <w:lang w:val="zh-TW" w:eastAsia="zh-TW" w:bidi="zh-TW"/>
              </w:rPr>
              <w:t>PVC</w:t>
            </w:r>
            <w:r>
              <w:rPr>
                <w:rFonts w:hint="eastAsia" w:ascii="宋体" w:hAnsi="宋体" w:eastAsia="宋体" w:cs="宋体"/>
                <w:color w:val="000000"/>
                <w:spacing w:val="0"/>
                <w:w w:val="100"/>
                <w:kern w:val="2"/>
                <w:position w:val="0"/>
                <w:sz w:val="24"/>
                <w:szCs w:val="24"/>
                <w:u w:val="none"/>
                <w:shd w:val="clear" w:color="auto" w:fill="auto"/>
                <w:lang w:val="en-US" w:eastAsia="zh-CN" w:bidi="zh-TW"/>
              </w:rPr>
              <w:t>具有</w:t>
            </w:r>
            <w:r>
              <w:rPr>
                <w:rFonts w:hint="eastAsia" w:ascii="宋体" w:hAnsi="宋体" w:eastAsia="宋体" w:cs="宋体"/>
                <w:color w:val="000000"/>
                <w:spacing w:val="0"/>
                <w:w w:val="100"/>
                <w:kern w:val="2"/>
                <w:position w:val="0"/>
                <w:sz w:val="24"/>
                <w:szCs w:val="24"/>
                <w:u w:val="none"/>
                <w:shd w:val="clear" w:color="auto" w:fill="auto"/>
                <w:lang w:val="zh-TW" w:eastAsia="zh-TW" w:bidi="zh-TW"/>
              </w:rPr>
              <w:t>防水、阻燃、耐酸碱、防蛀、质轻、保温、隔音、减震的特性。有较高的硬度和力学性能。其裂伸长率高达200%-450%。</w:t>
            </w:r>
            <w:r>
              <w:rPr>
                <w:rFonts w:hint="eastAsia" w:ascii="宋体" w:hAnsi="宋体" w:eastAsia="宋体" w:cs="Times New Roman"/>
                <w:sz w:val="24"/>
                <w:szCs w:val="24"/>
                <w:lang w:val="en-US" w:eastAsia="zh-CN"/>
              </w:rPr>
              <w:t>需提供</w:t>
            </w:r>
            <w:r>
              <w:rPr>
                <w:rFonts w:hint="eastAsia" w:ascii="宋体" w:hAnsi="宋体" w:eastAsia="宋体" w:cs="Times New Roman"/>
                <w:sz w:val="24"/>
                <w:szCs w:val="24"/>
              </w:rPr>
              <w:t>功能截图</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完全</w:t>
            </w:r>
            <w:r>
              <w:rPr>
                <w:rFonts w:hint="eastAsia" w:ascii="宋体" w:hAnsi="宋体" w:eastAsia="宋体" w:cs="Times New Roman"/>
                <w:sz w:val="24"/>
                <w:szCs w:val="24"/>
              </w:rPr>
              <w:t>满</w:t>
            </w:r>
            <w:r>
              <w:rPr>
                <w:rFonts w:hint="eastAsia" w:ascii="宋体" w:hAnsi="宋体" w:eastAsia="宋体" w:cs="Times New Roman"/>
                <w:sz w:val="24"/>
                <w:szCs w:val="24"/>
                <w:lang w:val="en-US" w:eastAsia="zh-CN"/>
              </w:rPr>
              <w:t>足</w:t>
            </w:r>
            <w:r>
              <w:rPr>
                <w:rFonts w:hint="eastAsia" w:ascii="宋体" w:hAnsi="宋体" w:eastAsia="宋体" w:cs="Times New Roman"/>
                <w:sz w:val="24"/>
                <w:szCs w:val="24"/>
                <w:lang w:eastAsia="zh-CN"/>
              </w:rPr>
              <w:t>得</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否则不得分。</w:t>
            </w:r>
          </w:p>
        </w:tc>
        <w:tc>
          <w:tcPr>
            <w:tcW w:w="532" w:type="pct"/>
            <w:tcBorders>
              <w:top w:val="single" w:color="auto" w:sz="4" w:space="0"/>
              <w:left w:val="single" w:color="auto" w:sz="4" w:space="0"/>
              <w:right w:val="single" w:color="auto" w:sz="4" w:space="0"/>
            </w:tcBorders>
            <w:noWrap w:val="0"/>
            <w:vAlign w:val="center"/>
          </w:tcPr>
          <w:p>
            <w:pPr>
              <w:spacing w:line="34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技术服务要求2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p>
        </w:tc>
        <w:tc>
          <w:tcPr>
            <w:tcW w:w="74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cs="宋体"/>
                <w:color w:val="000000"/>
                <w:kern w:val="0"/>
                <w:sz w:val="24"/>
                <w:szCs w:val="24"/>
                <w:lang w:val="en-US" w:eastAsia="zh-CN"/>
              </w:rPr>
              <w:t>车贴</w:t>
            </w:r>
          </w:p>
        </w:tc>
        <w:tc>
          <w:tcPr>
            <w:tcW w:w="467"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left="409" w:leftChars="100" w:right="-50" w:rightChars="-24" w:hanging="199" w:hangingChars="83"/>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5</w:t>
            </w:r>
          </w:p>
        </w:tc>
        <w:tc>
          <w:tcPr>
            <w:tcW w:w="2790"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default" w:ascii="宋体" w:hAnsi="宋体" w:eastAsia="宋体" w:cs="Times New Roman"/>
                <w:sz w:val="24"/>
                <w:szCs w:val="24"/>
                <w:lang w:val="en-US" w:eastAsia="zh-CN"/>
              </w:rPr>
            </w:pPr>
            <w:r>
              <w:rPr>
                <w:rFonts w:hint="eastAsia"/>
                <w:sz w:val="24"/>
                <w:szCs w:val="24"/>
                <w:lang w:val="en-US" w:eastAsia="zh-CN"/>
              </w:rPr>
              <w:t>防晒、防雨、防腐、适应温差大。提供相关检测报告并加盖公章，完全满足得1.5分，否则不得分。</w:t>
            </w:r>
          </w:p>
        </w:tc>
        <w:tc>
          <w:tcPr>
            <w:tcW w:w="532" w:type="pct"/>
            <w:tcBorders>
              <w:top w:val="single" w:color="auto" w:sz="4" w:space="0"/>
              <w:left w:val="single" w:color="auto" w:sz="4" w:space="0"/>
              <w:right w:val="single" w:color="auto" w:sz="4" w:space="0"/>
            </w:tcBorders>
            <w:noWrap w:val="0"/>
            <w:vAlign w:val="center"/>
          </w:tcPr>
          <w:p>
            <w:pPr>
              <w:spacing w:line="360" w:lineRule="exact"/>
              <w:rPr>
                <w:rFonts w:hint="eastAsia" w:ascii="仿宋" w:hAnsi="仿宋" w:eastAsia="仿宋" w:cs="仿宋"/>
                <w:color w:val="000000"/>
                <w:sz w:val="28"/>
                <w:szCs w:val="28"/>
                <w:lang w:eastAsia="zh-CN"/>
              </w:rPr>
            </w:pPr>
            <w:r>
              <w:rPr>
                <w:rFonts w:hint="eastAsia" w:ascii="仿宋" w:hAnsi="仿宋" w:eastAsia="仿宋" w:cs="仿宋"/>
                <w:sz w:val="28"/>
                <w:szCs w:val="28"/>
              </w:rPr>
              <w:t>技术服务要求</w:t>
            </w:r>
            <w:r>
              <w:rPr>
                <w:rFonts w:hint="eastAsia" w:ascii="仿宋" w:hAnsi="仿宋" w:eastAsia="仿宋" w:cs="仿宋"/>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60"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4</w:t>
            </w:r>
          </w:p>
        </w:tc>
        <w:tc>
          <w:tcPr>
            <w:tcW w:w="74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其它要求</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6</w:t>
            </w:r>
          </w:p>
        </w:tc>
        <w:tc>
          <w:tcPr>
            <w:tcW w:w="2790"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宋体"/>
                <w:sz w:val="24"/>
                <w:szCs w:val="24"/>
                <w:lang w:eastAsia="zh-CN"/>
              </w:rPr>
              <w:t>玻璃钢宣传栏具备仿腐蚀性，对水、碱及酸有抵抗能力，使用时间长等。（</w:t>
            </w:r>
            <w:r>
              <w:rPr>
                <w:rFonts w:hint="eastAsia"/>
                <w:sz w:val="24"/>
                <w:szCs w:val="24"/>
                <w:lang w:val="en-US" w:eastAsia="zh-CN"/>
              </w:rPr>
              <w:t>提供相关检测报告并加盖公章，完全满足得1.5分，否则不得分。</w:t>
            </w:r>
            <w:r>
              <w:rPr>
                <w:rFonts w:hint="eastAsia" w:ascii="宋体" w:hAnsi="宋体" w:eastAsia="宋体" w:cs="宋体"/>
                <w:sz w:val="24"/>
                <w:szCs w:val="24"/>
                <w:lang w:eastAsia="zh-CN"/>
              </w:rPr>
              <w:t>）</w:t>
            </w:r>
          </w:p>
          <w:p>
            <w:pPr>
              <w:widowControl w:val="0"/>
              <w:snapToGrid w:val="0"/>
              <w:ind w:firstLine="0" w:firstLineChars="0"/>
              <w:jc w:val="left"/>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24"/>
                <w:szCs w:val="24"/>
              </w:rPr>
              <w:t>2、</w:t>
            </w:r>
            <w:r>
              <w:rPr>
                <w:rFonts w:hint="eastAsia" w:ascii="宋体" w:hAnsi="宋体" w:eastAsia="宋体" w:cs="宋体"/>
                <w:sz w:val="24"/>
                <w:szCs w:val="24"/>
              </w:rPr>
              <w:t>供应商具有</w:t>
            </w:r>
            <w:r>
              <w:rPr>
                <w:rFonts w:hint="eastAsia" w:ascii="宋体" w:hAnsi="宋体" w:eastAsia="宋体" w:cs="宋体"/>
                <w:sz w:val="24"/>
                <w:szCs w:val="24"/>
                <w:lang w:eastAsia="zh-CN"/>
              </w:rPr>
              <w:t>生产制造的实体工厂及安装的相关工程案例。（每提供</w:t>
            </w:r>
            <w:r>
              <w:rPr>
                <w:rFonts w:hint="eastAsia" w:ascii="宋体" w:hAnsi="宋体" w:eastAsia="宋体" w:cs="宋体"/>
                <w:sz w:val="24"/>
                <w:szCs w:val="24"/>
                <w:lang w:val="en-US" w:eastAsia="zh-CN"/>
              </w:rPr>
              <w:t>1个案例得1.5分，最高得4.5分</w:t>
            </w:r>
            <w:r>
              <w:rPr>
                <w:rFonts w:hint="eastAsia" w:ascii="宋体" w:hAnsi="宋体" w:eastAsia="宋体" w:cs="宋体"/>
                <w:sz w:val="24"/>
                <w:szCs w:val="24"/>
                <w:lang w:eastAsia="zh-CN"/>
              </w:rPr>
              <w:t>）</w:t>
            </w: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技术服务要求4</w:t>
            </w:r>
          </w:p>
        </w:tc>
      </w:tr>
      <w:bookmarkEnd w:id="65"/>
      <w:bookmarkEnd w:id="66"/>
    </w:tbl>
    <w:p>
      <w:pPr>
        <w:pStyle w:val="2"/>
        <w:numPr>
          <w:ilvl w:val="0"/>
          <w:numId w:val="0"/>
        </w:numPr>
        <w:rPr>
          <w:color w:val="auto"/>
        </w:rPr>
      </w:pPr>
    </w:p>
    <w:p>
      <w:pPr>
        <w:rPr>
          <w:color w:val="auto"/>
        </w:rPr>
      </w:pPr>
    </w:p>
    <w:p>
      <w:pPr>
        <w:pStyle w:val="27"/>
        <w:rPr>
          <w:color w:val="auto"/>
        </w:rPr>
      </w:pPr>
    </w:p>
    <w:p>
      <w:pPr>
        <w:pStyle w:val="28"/>
        <w:rPr>
          <w:color w:val="auto"/>
        </w:rPr>
      </w:pPr>
    </w:p>
    <w:p/>
    <w:p>
      <w:pPr>
        <w:spacing w:line="440" w:lineRule="exact"/>
        <w:ind w:left="0" w:leftChars="0" w:firstLine="480" w:firstLineChars="200"/>
        <w:jc w:val="left"/>
        <w:outlineLvl w:val="2"/>
        <w:rPr>
          <w:rFonts w:ascii="宋体" w:hAnsi="宋体"/>
          <w:color w:val="auto"/>
          <w:sz w:val="24"/>
          <w:szCs w:val="24"/>
        </w:rPr>
      </w:pPr>
      <w:bookmarkStart w:id="67" w:name="_Toc1458942"/>
      <w:bookmarkStart w:id="68" w:name="_Toc75007962"/>
      <w:r>
        <w:rPr>
          <w:rFonts w:hint="eastAsia" w:ascii="宋体" w:hAnsi="宋体"/>
          <w:color w:val="auto"/>
          <w:sz w:val="24"/>
          <w:szCs w:val="24"/>
        </w:rPr>
        <w:t>3、价格评议（</w:t>
      </w:r>
      <w:r>
        <w:rPr>
          <w:rFonts w:ascii="宋体" w:hAnsi="宋体"/>
          <w:color w:val="auto"/>
          <w:sz w:val="24"/>
          <w:szCs w:val="24"/>
        </w:rPr>
        <w:t xml:space="preserve"> </w:t>
      </w:r>
      <w:r>
        <w:rPr>
          <w:rFonts w:hint="eastAsia" w:ascii="宋体" w:hAnsi="宋体"/>
          <w:color w:val="auto"/>
          <w:sz w:val="24"/>
          <w:szCs w:val="24"/>
          <w:lang w:val="en-US" w:eastAsia="zh-CN"/>
        </w:rPr>
        <w:t>30</w:t>
      </w:r>
      <w:r>
        <w:rPr>
          <w:rFonts w:hint="eastAsia" w:ascii="宋体" w:hAnsi="宋体"/>
          <w:color w:val="auto"/>
          <w:sz w:val="24"/>
          <w:szCs w:val="24"/>
        </w:rPr>
        <w:t>分）</w:t>
      </w:r>
      <w:bookmarkEnd w:id="67"/>
      <w:bookmarkEnd w:id="68"/>
    </w:p>
    <w:tbl>
      <w:tblPr>
        <w:tblStyle w:val="41"/>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63"/>
        <w:gridCol w:w="784"/>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667"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bookmarkStart w:id="69" w:name="_Toc1145"/>
            <w:bookmarkStart w:id="70" w:name="_Toc29258"/>
            <w:r>
              <w:rPr>
                <w:rFonts w:hint="eastAsia" w:ascii="宋体" w:hAnsi="宋体" w:eastAsia="宋体" w:cs="Times New Roman"/>
                <w:b/>
                <w:color w:val="000000"/>
                <w:sz w:val="24"/>
                <w:szCs w:val="24"/>
              </w:rPr>
              <w:t>序号</w:t>
            </w:r>
          </w:p>
        </w:tc>
        <w:tc>
          <w:tcPr>
            <w:tcW w:w="1263"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84" w:type="dxa"/>
            <w:shd w:val="pct10" w:color="C4BC96" w:fill="DDD9C3"/>
            <w:noWrap w:val="0"/>
            <w:vAlign w:val="center"/>
          </w:tcPr>
          <w:p>
            <w:pPr>
              <w:widowControl/>
              <w:spacing w:line="60" w:lineRule="auto"/>
              <w:ind w:left="-73" w:leftChars="-35" w:right="-80" w:rightChars="-38"/>
              <w:jc w:val="center"/>
              <w:rPr>
                <w:rFonts w:ascii="宋体" w:hAnsi="宋体" w:eastAsia="宋体" w:cs="Times New Roman"/>
                <w:b/>
                <w:color w:val="000000"/>
                <w:sz w:val="24"/>
                <w:szCs w:val="24"/>
              </w:rPr>
            </w:pPr>
            <w:r>
              <w:rPr>
                <w:rFonts w:ascii="宋体" w:hAnsi="宋体" w:eastAsia="宋体" w:cs="Times New Roman"/>
                <w:b/>
                <w:color w:val="000000"/>
                <w:sz w:val="24"/>
                <w:szCs w:val="24"/>
              </w:rPr>
              <w:t>分值</w:t>
            </w:r>
          </w:p>
        </w:tc>
        <w:tc>
          <w:tcPr>
            <w:tcW w:w="5531" w:type="dxa"/>
            <w:shd w:val="pct10" w:color="C4BC96" w:fill="DDD9C3"/>
            <w:noWrap w:val="0"/>
            <w:vAlign w:val="center"/>
          </w:tcPr>
          <w:p>
            <w:pPr>
              <w:widowControl/>
              <w:spacing w:line="60" w:lineRule="auto"/>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7" w:type="dxa"/>
            <w:noWrap w:val="0"/>
            <w:vAlign w:val="center"/>
          </w:tcPr>
          <w:p>
            <w:pPr>
              <w:widowControl/>
              <w:spacing w:after="200" w:line="276" w:lineRule="auto"/>
              <w:ind w:left="-48" w:right="-42" w:rightChars="-20"/>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1263" w:type="dxa"/>
            <w:noWrap w:val="0"/>
            <w:vAlign w:val="center"/>
          </w:tcPr>
          <w:p>
            <w:pPr>
              <w:widowControl/>
              <w:tabs>
                <w:tab w:val="left" w:pos="690"/>
              </w:tabs>
              <w:spacing w:line="360" w:lineRule="auto"/>
              <w:ind w:right="-50" w:rightChars="-24"/>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价格</w:t>
            </w:r>
          </w:p>
        </w:tc>
        <w:tc>
          <w:tcPr>
            <w:tcW w:w="784" w:type="dxa"/>
            <w:noWrap w:val="0"/>
            <w:vAlign w:val="center"/>
          </w:tcPr>
          <w:p>
            <w:pPr>
              <w:widowControl/>
              <w:spacing w:line="60" w:lineRule="auto"/>
              <w:jc w:val="center"/>
              <w:rPr>
                <w:rFonts w:ascii="宋体" w:hAnsi="宋体" w:eastAsia="宋体" w:cs="Times New Roman"/>
                <w:color w:val="000000"/>
                <w:sz w:val="24"/>
                <w:szCs w:val="24"/>
              </w:rPr>
            </w:pPr>
            <w:r>
              <w:rPr>
                <w:rFonts w:ascii="宋体" w:hAnsi="宋体" w:eastAsia="宋体" w:cs="Times New Roman"/>
                <w:color w:val="000000"/>
                <w:sz w:val="24"/>
                <w:szCs w:val="24"/>
              </w:rPr>
              <w:t xml:space="preserve"> 30</w:t>
            </w:r>
          </w:p>
        </w:tc>
        <w:tc>
          <w:tcPr>
            <w:tcW w:w="5531" w:type="dxa"/>
            <w:noWrap w:val="0"/>
            <w:vAlign w:val="center"/>
          </w:tcPr>
          <w:p>
            <w:pPr>
              <w:widowControl/>
              <w:spacing w:line="60" w:lineRule="auto"/>
              <w:jc w:val="left"/>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按照下列公式计算：报价分=(评标基准价／投标报价)× 30分</w:t>
            </w:r>
          </w:p>
        </w:tc>
      </w:tr>
    </w:tbl>
    <w:p>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pPr>
        <w:pStyle w:val="2"/>
        <w:rPr>
          <w:rFonts w:hint="eastAsia"/>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69"/>
      <w:bookmarkEnd w:id="70"/>
    </w:p>
    <w:p>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71" w:name="_Toc15277"/>
      <w:bookmarkStart w:id="72" w:name="_Toc4455"/>
      <w:r>
        <w:rPr>
          <w:rFonts w:hint="eastAsia" w:ascii="Times New Roman" w:hAnsi="Times New Roman" w:cs="Times New Roman"/>
          <w:b/>
          <w:color w:val="auto"/>
          <w:sz w:val="44"/>
          <w:szCs w:val="44"/>
        </w:rPr>
        <w:t>第六章响应文件格式</w:t>
      </w:r>
      <w:bookmarkEnd w:id="71"/>
      <w:bookmarkEnd w:id="72"/>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73" w:name="_Toc30715"/>
      <w:bookmarkStart w:id="74" w:name="_Toc22224"/>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73"/>
      <w:bookmarkEnd w:id="74"/>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r>
        <w:rPr>
          <w:rFonts w:hint="eastAsia" w:ascii="Times New Roman" w:hAnsi="Times New Roman" w:eastAsia="宋体" w:cs="Times New Roman"/>
          <w:bCs/>
          <w:color w:val="auto"/>
          <w:spacing w:val="100"/>
          <w:w w:val="110"/>
          <w:sz w:val="24"/>
          <w:szCs w:val="24"/>
          <w:lang w:eastAsia="zh-CN"/>
        </w:rPr>
        <w:t>随县县</w:t>
      </w:r>
      <w:r>
        <w:rPr>
          <w:rFonts w:hint="eastAsia" w:ascii="Times New Roman" w:hAnsi="Times New Roman" w:eastAsia="宋体" w:cs="Times New Roman"/>
          <w:bCs/>
          <w:color w:val="auto"/>
          <w:spacing w:val="100"/>
          <w:w w:val="110"/>
          <w:sz w:val="24"/>
          <w:szCs w:val="24"/>
        </w:rPr>
        <w:t>级政府采购</w:t>
      </w: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color w:val="auto"/>
          <w:spacing w:val="100"/>
          <w:w w:val="110"/>
          <w:sz w:val="24"/>
          <w:szCs w:val="24"/>
        </w:rPr>
      </w:pPr>
      <w:r>
        <w:rPr>
          <w:rFonts w:hint="eastAsia" w:ascii="Times New Roman" w:hAnsi="Times New Roman" w:eastAsia="宋体" w:cs="Times New Roman"/>
          <w:bCs/>
          <w:color w:val="auto"/>
          <w:spacing w:val="100"/>
          <w:w w:val="110"/>
          <w:sz w:val="24"/>
          <w:szCs w:val="24"/>
        </w:rPr>
        <w:t>响应文件</w:t>
      </w: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（正本</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副本）</w:t>
      </w:r>
    </w:p>
    <w:p>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75" w:name="_Toc16366"/>
      <w:bookmarkStart w:id="76" w:name="_Toc24534"/>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75"/>
      <w:bookmarkEnd w:id="76"/>
    </w:p>
    <w:p>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77" w:name="_Toc15319"/>
      <w:bookmarkStart w:id="78" w:name="_Toc13229"/>
      <w:r>
        <w:rPr>
          <w:rFonts w:hint="eastAsia" w:ascii="Times New Roman" w:hAnsi="Times New Roman" w:cs="Times New Roman"/>
          <w:b/>
          <w:color w:val="auto"/>
          <w:sz w:val="24"/>
          <w:szCs w:val="24"/>
          <w:lang w:val="en-US" w:eastAsia="zh-CN"/>
        </w:rPr>
        <w:t>目录</w:t>
      </w:r>
      <w:bookmarkEnd w:id="77"/>
      <w:bookmarkEnd w:id="78"/>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79" w:name="_Toc19053"/>
      <w:bookmarkStart w:id="80" w:name="_Toc2844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79"/>
      <w:bookmarkEnd w:id="80"/>
      <w:r>
        <w:rPr>
          <w:rFonts w:hint="eastAsia" w:ascii="Times New Roman" w:hAnsi="Times New Roman" w:cs="Times New Roman"/>
          <w:color w:val="auto"/>
          <w:sz w:val="24"/>
          <w:szCs w:val="24"/>
        </w:rPr>
        <w:t>磋商书</w:t>
      </w:r>
    </w:p>
    <w:p>
      <w:pPr>
        <w:pStyle w:val="27"/>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技术响应、偏离情况说明表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5)</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6)</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r>
        <w:rPr>
          <w:rFonts w:hint="eastAsia" w:ascii="Times New Roman" w:hAnsi="Times New Roman" w:cs="Times New Roman"/>
          <w:color w:val="auto"/>
          <w:sz w:val="24"/>
          <w:szCs w:val="24"/>
        </w:rPr>
        <w:t>法人（负责人）代表授权书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7)</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r>
        <w:rPr>
          <w:rFonts w:hint="eastAsia" w:ascii="Times New Roman" w:hAnsi="Times New Roman" w:cs="Times New Roman"/>
          <w:color w:val="auto"/>
          <w:sz w:val="24"/>
          <w:szCs w:val="24"/>
        </w:rPr>
        <w:t>法人或者其他组织的营业执照等证明文件，自然人的身份证明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8)</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9.</w:t>
      </w:r>
      <w:r>
        <w:rPr>
          <w:rFonts w:hint="eastAsia" w:ascii="Times New Roman" w:hAnsi="Times New Roman" w:cs="Times New Roman"/>
          <w:color w:val="auto"/>
          <w:sz w:val="24"/>
          <w:szCs w:val="24"/>
        </w:rPr>
        <w:t>财务状况报告，依法缴纳税收和社会保障资金的相关材料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9)</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10.</w:t>
      </w:r>
      <w:r>
        <w:rPr>
          <w:rFonts w:hint="eastAsia" w:ascii="Times New Roman" w:hAnsi="Times New Roman" w:cs="Times New Roman"/>
          <w:color w:val="auto"/>
          <w:sz w:val="24"/>
          <w:szCs w:val="24"/>
        </w:rPr>
        <w:t>具备履行合同所必需的设备和专业技术能力的证明材料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10)</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11.</w:t>
      </w:r>
      <w:r>
        <w:rPr>
          <w:rFonts w:hint="eastAsia" w:ascii="Times New Roman" w:hAnsi="Times New Roman" w:cs="Times New Roman"/>
          <w:color w:val="auto"/>
          <w:sz w:val="24"/>
          <w:szCs w:val="24"/>
        </w:rPr>
        <w:t>参加政府采购活动前</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年内在经营活动中没有重大违法记录的书面声明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12.</w:t>
      </w:r>
      <w:r>
        <w:rPr>
          <w:rFonts w:hint="eastAsia" w:ascii="Times New Roman" w:hAnsi="Times New Roman" w:cs="Times New Roman"/>
          <w:color w:val="auto"/>
          <w:sz w:val="24"/>
          <w:szCs w:val="24"/>
        </w:rPr>
        <w:t>未被列入</w:t>
      </w:r>
      <w:r>
        <w:rPr>
          <w:rFonts w:ascii="Times New Roman" w:hAnsi="Times New Roman" w:cs="Times New Roman"/>
          <w:color w:val="auto"/>
          <w:sz w:val="24"/>
          <w:szCs w:val="24"/>
        </w:rPr>
        <w:t>“</w:t>
      </w:r>
      <w:r>
        <w:rPr>
          <w:rFonts w:hint="eastAsia" w:ascii="Times New Roman" w:hAnsi="Times New Roman" w:cs="Times New Roman"/>
          <w:color w:val="auto"/>
          <w:sz w:val="24"/>
          <w:szCs w:val="24"/>
        </w:rPr>
        <w:t>信用中国</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中国政府采购网</w:t>
      </w:r>
      <w:r>
        <w:rPr>
          <w:rFonts w:ascii="Times New Roman" w:hAnsi="Times New Roman" w:cs="Times New Roman"/>
          <w:color w:val="auto"/>
          <w:sz w:val="24"/>
          <w:szCs w:val="24"/>
        </w:rPr>
        <w:t>”</w:t>
      </w:r>
      <w:r>
        <w:rPr>
          <w:rFonts w:hint="eastAsia" w:ascii="Times New Roman" w:hAnsi="Times New Roman" w:cs="Times New Roman"/>
          <w:color w:val="auto"/>
          <w:sz w:val="24"/>
          <w:szCs w:val="24"/>
        </w:rPr>
        <w:t>失信被执行人、重大税收违法案件当事人名单、政府采购严重违法失信行为记录名单的网页打印件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14.</w:t>
      </w:r>
      <w:r>
        <w:rPr>
          <w:rFonts w:hint="eastAsia" w:ascii="Times New Roman" w:hAnsi="Times New Roman" w:cs="Times New Roman"/>
          <w:color w:val="auto"/>
          <w:sz w:val="24"/>
          <w:szCs w:val="24"/>
        </w:rPr>
        <w:t>《中小企业声明函》、《残疾人福利性单位声明函》、属于监狱企业的证明文件等（如果有的话）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15.</w:t>
      </w:r>
      <w:r>
        <w:rPr>
          <w:rFonts w:hint="eastAsia" w:ascii="Times New Roman" w:hAnsi="Times New Roman" w:cs="Times New Roman"/>
          <w:color w:val="auto"/>
          <w:sz w:val="24"/>
          <w:szCs w:val="24"/>
        </w:rPr>
        <w:t>本文件要求提供的其他资格证明文件及资料。</w:t>
      </w:r>
    </w:p>
    <w:p>
      <w:pPr>
        <w:pStyle w:val="22"/>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将按响应文件的规定履行合同责任和义务；</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响应文件中提供的证照、证书、资料等复印件均为原件复印，并对真实性、合法性承担法律责任；</w:t>
      </w:r>
    </w:p>
    <w:p>
      <w:pPr>
        <w:pStyle w:val="22"/>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81"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81"/>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1"/>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1868"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名称（服务）</w:t>
            </w:r>
          </w:p>
        </w:tc>
        <w:tc>
          <w:tcPr>
            <w:tcW w:w="1236"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80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c>
          <w:tcPr>
            <w:tcW w:w="1653"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912"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单价</w:t>
            </w:r>
          </w:p>
        </w:tc>
        <w:tc>
          <w:tcPr>
            <w:tcW w:w="1136"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其它</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总计</w:t>
            </w:r>
          </w:p>
        </w:tc>
        <w:tc>
          <w:tcPr>
            <w:tcW w:w="2048"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pStyle w:val="22"/>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82"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82"/>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1"/>
        <w:tblW w:w="86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2187"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货物（服务）名称</w:t>
            </w:r>
          </w:p>
        </w:tc>
        <w:tc>
          <w:tcPr>
            <w:tcW w:w="1559"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1560"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生产地</w:t>
            </w:r>
          </w:p>
        </w:tc>
        <w:tc>
          <w:tcPr>
            <w:tcW w:w="170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1134"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7"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说明：提供详细的货物和服务范围，包括货物和服务类别及制造（开发）商、备品备件等。</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eastAsia="仿宋_GB2312"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3"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83"/>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84"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84"/>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85"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85"/>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pStyle w:val="18"/>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86" w:name="_Toc18943"/>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bookmarkEnd w:id="86"/>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7" w:name="_Toc3324"/>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bookmarkEnd w:id="87"/>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88" w:name="_Toc1053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bookmarkEnd w:id="88"/>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lang w:eastAsia="zh-CN"/>
        </w:rPr>
        <w:t>：履行合同所必需的设备和专业技术能力的证明材料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89"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bookmarkEnd w:id="89"/>
      <w:r>
        <w:rPr>
          <w:rFonts w:hint="eastAsia" w:ascii="Times New Roman" w:hAnsi="Times New Roman" w:cs="Times New Roman"/>
          <w:bCs/>
          <w:color w:val="auto"/>
          <w:sz w:val="24"/>
          <w:szCs w:val="24"/>
          <w:lang w:eastAsia="zh-CN"/>
        </w:rPr>
        <w:t>：参加政府采购活动前3年内在经营活动中没有重大违法记录的书面声明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0" w:name="_Toc2810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bookmarkEnd w:id="90"/>
      <w:r>
        <w:rPr>
          <w:rFonts w:hint="eastAsia" w:ascii="Times New Roman" w:hAnsi="Times New Roman" w:cs="Times New Roman"/>
          <w:bCs/>
          <w:color w:val="auto"/>
          <w:sz w:val="24"/>
          <w:szCs w:val="24"/>
          <w:lang w:eastAsia="zh-CN"/>
        </w:rPr>
        <w:t>：信用记录查询网页打印件</w:t>
      </w:r>
    </w:p>
    <w:p>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1" w:name="_Toc11030"/>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bookmarkEnd w:id="91"/>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1"/>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2"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14-1</w:t>
      </w:r>
      <w:bookmarkEnd w:id="92"/>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本公司对上述声明的真实性负责。如有虚假，将依法承担相应责任。</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企业法人（负责人）签字（签章）：</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1"/>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93"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14-2</w:t>
      </w:r>
      <w:bookmarkEnd w:id="93"/>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pPr>
        <w:pStyle w:val="2"/>
        <w:keepNext w:val="0"/>
        <w:keepLines w:val="0"/>
        <w:pageBreakBefore w:val="0"/>
        <w:kinsoku/>
        <w:wordWrap/>
        <w:overflowPunct/>
        <w:topLinePunct w:val="0"/>
        <w:bidi w:val="0"/>
        <w:adjustRightInd/>
        <w:ind w:right="0" w:righ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94" w:name="OLE_LINK13"/>
      <w:bookmarkStart w:id="95" w:name="OLE_LINK14"/>
      <w:r>
        <w:rPr>
          <w:rFonts w:hint="eastAsia" w:ascii="Times New Roman" w:hAnsi="Times New Roman" w:cs="Times New Roman" w:eastAsiaTheme="majorEastAsia"/>
          <w:b/>
          <w:color w:val="auto"/>
          <w:spacing w:val="6"/>
          <w:sz w:val="24"/>
          <w:szCs w:val="24"/>
        </w:rPr>
        <w:t>残疾人福利性单位声明函</w:t>
      </w:r>
    </w:p>
    <w:bookmarkEnd w:id="94"/>
    <w:bookmarkEnd w:id="95"/>
    <w:p>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96"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14-3</w:t>
      </w:r>
      <w:bookmarkEnd w:id="96"/>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pPr>
        <w:pStyle w:val="27"/>
      </w:pPr>
    </w:p>
    <w:p>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ascii="Times New Roman" w:hAnsi="Times New Roman" w:cs="Times New Roman"/>
          <w:bCs/>
          <w:color w:val="auto"/>
          <w:sz w:val="24"/>
          <w:szCs w:val="24"/>
        </w:rPr>
      </w:pPr>
      <w:bookmarkStart w:id="97" w:name="_Toc15768"/>
      <w:r>
        <w:rPr>
          <w:rFonts w:hint="eastAsia" w:ascii="Times New Roman" w:hAnsi="Times New Roman" w:cs="Times New Roman"/>
          <w:bCs/>
          <w:color w:val="auto"/>
          <w:sz w:val="24"/>
          <w:szCs w:val="24"/>
        </w:rPr>
        <w:t>省级以上监狱管理局、戒毒管理局（含新疆生产建设兵团）出具的属于监狱企业的证明文件</w:t>
      </w:r>
      <w:r>
        <w:rPr>
          <w:rFonts w:ascii="Times New Roman" w:hAnsi="Times New Roman" w:cs="Times New Roman"/>
          <w:bCs/>
          <w:color w:val="auto"/>
          <w:sz w:val="24"/>
          <w:szCs w:val="24"/>
        </w:rPr>
        <w:br w:type="textWrapping"/>
      </w:r>
      <w:r>
        <w:rPr>
          <w:rFonts w:ascii="Times New Roman" w:hAnsi="Times New Roman" w:cs="Times New Roman"/>
          <w:bCs/>
          <w:color w:val="auto"/>
          <w:sz w:val="24"/>
          <w:szCs w:val="24"/>
        </w:rPr>
        <w:br w:type="textWrapping"/>
      </w:r>
      <w:bookmarkEnd w:id="97"/>
    </w:p>
    <w:p>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bCs/>
          <w:color w:val="auto"/>
          <w:sz w:val="24"/>
          <w:szCs w:val="24"/>
        </w:rPr>
        <w:t>其他资格证明文件及资料</w:t>
      </w:r>
    </w:p>
    <w:p>
      <w:pPr>
        <w:rPr>
          <w:color w:val="auto"/>
          <w:sz w:val="24"/>
          <w:szCs w:val="24"/>
        </w:rPr>
      </w:pPr>
    </w:p>
    <w:p>
      <w:pPr>
        <w:rPr>
          <w:color w:val="auto"/>
        </w:rPr>
      </w:pPr>
    </w:p>
    <w:p>
      <w:pPr>
        <w:rPr>
          <w:color w:val="auto"/>
        </w:rPr>
      </w:pPr>
    </w:p>
    <w:sectPr>
      <w:headerReference r:id="rId3" w:type="default"/>
      <w:footerReference r:id="rId4"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7"/>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293A3"/>
    <w:multiLevelType w:val="singleLevel"/>
    <w:tmpl w:val="C5C293A3"/>
    <w:lvl w:ilvl="0" w:tentative="0">
      <w:start w:val="1"/>
      <w:numFmt w:val="decimal"/>
      <w:suff w:val="nothing"/>
      <w:lvlText w:val="（%1）"/>
      <w:lvlJc w:val="left"/>
    </w:lvl>
  </w:abstractNum>
  <w:abstractNum w:abstractNumId="1">
    <w:nsid w:val="D40E07F9"/>
    <w:multiLevelType w:val="singleLevel"/>
    <w:tmpl w:val="D40E07F9"/>
    <w:lvl w:ilvl="0" w:tentative="0">
      <w:start w:val="7"/>
      <w:numFmt w:val="chineseCounting"/>
      <w:suff w:val="nothing"/>
      <w:lvlText w:val="%1、"/>
      <w:lvlJc w:val="left"/>
      <w:rPr>
        <w:rFonts w:hint="eastAsia"/>
      </w:rPr>
    </w:lvl>
  </w:abstractNum>
  <w:abstractNum w:abstractNumId="2">
    <w:nsid w:val="DA8447DE"/>
    <w:multiLevelType w:val="singleLevel"/>
    <w:tmpl w:val="DA8447DE"/>
    <w:lvl w:ilvl="0" w:tentative="0">
      <w:start w:val="1"/>
      <w:numFmt w:val="chineseCounting"/>
      <w:suff w:val="nothing"/>
      <w:lvlText w:val="%1、"/>
      <w:lvlJc w:val="left"/>
      <w:rPr>
        <w:rFonts w:hint="eastAsia"/>
      </w:rPr>
    </w:lvl>
  </w:abstractNum>
  <w:abstractNum w:abstractNumId="3">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4">
    <w:nsid w:val="EEC284E0"/>
    <w:multiLevelType w:val="singleLevel"/>
    <w:tmpl w:val="EEC284E0"/>
    <w:lvl w:ilvl="0" w:tentative="0">
      <w:start w:val="5"/>
      <w:numFmt w:val="chineseCounting"/>
      <w:suff w:val="nothing"/>
      <w:lvlText w:val="%1、"/>
      <w:lvlJc w:val="left"/>
      <w:rPr>
        <w:rFonts w:hint="eastAsia"/>
      </w:rPr>
    </w:lvl>
  </w:abstractNum>
  <w:abstractNum w:abstractNumId="5">
    <w:nsid w:val="07987FDE"/>
    <w:multiLevelType w:val="multilevel"/>
    <w:tmpl w:val="07987F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41DFE11"/>
    <w:multiLevelType w:val="singleLevel"/>
    <w:tmpl w:val="141DFE11"/>
    <w:lvl w:ilvl="0" w:tentative="0">
      <w:start w:val="1"/>
      <w:numFmt w:val="decimal"/>
      <w:suff w:val="nothing"/>
      <w:lvlText w:val="%1、"/>
      <w:lvlJc w:val="left"/>
    </w:lvl>
  </w:abstractNum>
  <w:abstractNum w:abstractNumId="8">
    <w:nsid w:val="2581F109"/>
    <w:multiLevelType w:val="singleLevel"/>
    <w:tmpl w:val="2581F109"/>
    <w:lvl w:ilvl="0" w:tentative="0">
      <w:start w:val="1"/>
      <w:numFmt w:val="decimal"/>
      <w:suff w:val="nothing"/>
      <w:lvlText w:val="%1、"/>
      <w:lvlJc w:val="left"/>
    </w:lvl>
  </w:abstractNum>
  <w:abstractNum w:abstractNumId="9">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5"/>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11">
    <w:nsid w:val="57002C8A"/>
    <w:multiLevelType w:val="singleLevel"/>
    <w:tmpl w:val="57002C8A"/>
    <w:lvl w:ilvl="0" w:tentative="0">
      <w:start w:val="1"/>
      <w:numFmt w:val="chineseCounting"/>
      <w:suff w:val="space"/>
      <w:lvlText w:val="第%1章"/>
      <w:lvlJc w:val="left"/>
      <w:rPr>
        <w:rFonts w:hint="eastAsia"/>
      </w:rPr>
    </w:lvl>
  </w:abstractNum>
  <w:abstractNum w:abstractNumId="12">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9CB7350"/>
    <w:multiLevelType w:val="multilevel"/>
    <w:tmpl w:val="69CB7350"/>
    <w:lvl w:ilvl="0" w:tentative="0">
      <w:start w:val="1"/>
      <w:numFmt w:val="decimal"/>
      <w:lvlText w:val="1.%1"/>
      <w:lvlJc w:val="left"/>
      <w:pPr>
        <w:ind w:left="496" w:hanging="341"/>
      </w:pPr>
      <w:rPr>
        <w:rFonts w:hint="default" w:ascii="宋体" w:hAnsi="宋体" w:eastAsia="宋体"/>
        <w:b w:val="0"/>
        <w:color w:val="auto"/>
      </w:rPr>
    </w:lvl>
    <w:lvl w:ilvl="1" w:tentative="0">
      <w:start w:val="1"/>
      <w:numFmt w:val="lowerLetter"/>
      <w:lvlText w:val="%2)"/>
      <w:lvlJc w:val="left"/>
      <w:pPr>
        <w:ind w:left="1019" w:hanging="420"/>
      </w:pPr>
      <w:rPr>
        <w:rFonts w:hint="eastAsia"/>
      </w:rPr>
    </w:lvl>
    <w:lvl w:ilvl="2" w:tentative="0">
      <w:start w:val="1"/>
      <w:numFmt w:val="lowerRoman"/>
      <w:lvlText w:val="%3."/>
      <w:lvlJc w:val="right"/>
      <w:pPr>
        <w:ind w:left="1439" w:hanging="420"/>
      </w:pPr>
      <w:rPr>
        <w:rFonts w:hint="eastAsia"/>
      </w:rPr>
    </w:lvl>
    <w:lvl w:ilvl="3" w:tentative="0">
      <w:start w:val="1"/>
      <w:numFmt w:val="decimal"/>
      <w:lvlText w:val="%4."/>
      <w:lvlJc w:val="left"/>
      <w:pPr>
        <w:ind w:left="1859" w:hanging="420"/>
      </w:pPr>
      <w:rPr>
        <w:rFonts w:hint="eastAsia"/>
      </w:rPr>
    </w:lvl>
    <w:lvl w:ilvl="4" w:tentative="0">
      <w:start w:val="1"/>
      <w:numFmt w:val="lowerLetter"/>
      <w:lvlText w:val="%5)"/>
      <w:lvlJc w:val="left"/>
      <w:pPr>
        <w:ind w:left="2279" w:hanging="420"/>
      </w:pPr>
      <w:rPr>
        <w:rFonts w:hint="eastAsia"/>
      </w:rPr>
    </w:lvl>
    <w:lvl w:ilvl="5" w:tentative="0">
      <w:start w:val="1"/>
      <w:numFmt w:val="lowerRoman"/>
      <w:lvlText w:val="%6."/>
      <w:lvlJc w:val="right"/>
      <w:pPr>
        <w:ind w:left="2699" w:hanging="420"/>
      </w:pPr>
      <w:rPr>
        <w:rFonts w:hint="eastAsia"/>
      </w:rPr>
    </w:lvl>
    <w:lvl w:ilvl="6" w:tentative="0">
      <w:start w:val="1"/>
      <w:numFmt w:val="decimal"/>
      <w:lvlText w:val="%7."/>
      <w:lvlJc w:val="left"/>
      <w:pPr>
        <w:ind w:left="3119" w:hanging="420"/>
      </w:pPr>
      <w:rPr>
        <w:rFonts w:hint="eastAsia"/>
      </w:rPr>
    </w:lvl>
    <w:lvl w:ilvl="7" w:tentative="0">
      <w:start w:val="1"/>
      <w:numFmt w:val="lowerLetter"/>
      <w:lvlText w:val="%8)"/>
      <w:lvlJc w:val="left"/>
      <w:pPr>
        <w:ind w:left="3539" w:hanging="420"/>
      </w:pPr>
      <w:rPr>
        <w:rFonts w:hint="eastAsia"/>
      </w:rPr>
    </w:lvl>
    <w:lvl w:ilvl="8" w:tentative="0">
      <w:start w:val="1"/>
      <w:numFmt w:val="lowerRoman"/>
      <w:lvlText w:val="%9."/>
      <w:lvlJc w:val="right"/>
      <w:pPr>
        <w:ind w:left="3959" w:hanging="420"/>
      </w:pPr>
      <w:rPr>
        <w:rFonts w:hint="eastAsia"/>
      </w:rPr>
    </w:lvl>
  </w:abstractNum>
  <w:abstractNum w:abstractNumId="14">
    <w:nsid w:val="7E54280B"/>
    <w:multiLevelType w:val="singleLevel"/>
    <w:tmpl w:val="7E54280B"/>
    <w:lvl w:ilvl="0" w:tentative="0">
      <w:start w:val="2"/>
      <w:numFmt w:val="decimal"/>
      <w:suff w:val="nothing"/>
      <w:lvlText w:val="%1、"/>
      <w:lvlJc w:val="left"/>
    </w:lvl>
  </w:abstractNum>
  <w:num w:numId="1">
    <w:abstractNumId w:val="10"/>
  </w:num>
  <w:num w:numId="2">
    <w:abstractNumId w:val="6"/>
  </w:num>
  <w:num w:numId="3">
    <w:abstractNumId w:val="9"/>
  </w:num>
  <w:num w:numId="4">
    <w:abstractNumId w:val="11"/>
  </w:num>
  <w:num w:numId="5">
    <w:abstractNumId w:val="4"/>
  </w:num>
  <w:num w:numId="6">
    <w:abstractNumId w:val="7"/>
  </w:num>
  <w:num w:numId="7">
    <w:abstractNumId w:val="1"/>
  </w:num>
  <w:num w:numId="8">
    <w:abstractNumId w:val="12"/>
  </w:num>
  <w:num w:numId="9">
    <w:abstractNumId w:val="0"/>
  </w:num>
  <w:num w:numId="10">
    <w:abstractNumId w:val="3"/>
  </w:num>
  <w:num w:numId="11">
    <w:abstractNumId w:val="2"/>
  </w:num>
  <w:num w:numId="12">
    <w:abstractNumId w:val="8"/>
  </w:num>
  <w:num w:numId="13">
    <w:abstractNumId w:val="5"/>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B3"/>
    <w:rsid w:val="00002D19"/>
    <w:rsid w:val="00006938"/>
    <w:rsid w:val="00007EF9"/>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656B"/>
    <w:rsid w:val="00C7308F"/>
    <w:rsid w:val="00C767D5"/>
    <w:rsid w:val="00CD65F2"/>
    <w:rsid w:val="00CD7ECE"/>
    <w:rsid w:val="00D240EF"/>
    <w:rsid w:val="00D678AE"/>
    <w:rsid w:val="00DA4B47"/>
    <w:rsid w:val="00DC3AFD"/>
    <w:rsid w:val="00DF553F"/>
    <w:rsid w:val="00E92D4B"/>
    <w:rsid w:val="00EB7035"/>
    <w:rsid w:val="00EE2653"/>
    <w:rsid w:val="00EF7446"/>
    <w:rsid w:val="00F27D19"/>
    <w:rsid w:val="00FD1DF5"/>
    <w:rsid w:val="00FF47AE"/>
    <w:rsid w:val="00FF65CD"/>
    <w:rsid w:val="0135138A"/>
    <w:rsid w:val="018330AD"/>
    <w:rsid w:val="01BB614C"/>
    <w:rsid w:val="01E8526A"/>
    <w:rsid w:val="02000B1F"/>
    <w:rsid w:val="023221B6"/>
    <w:rsid w:val="023817D2"/>
    <w:rsid w:val="023C209A"/>
    <w:rsid w:val="02491FE5"/>
    <w:rsid w:val="024E5007"/>
    <w:rsid w:val="02736BB0"/>
    <w:rsid w:val="028D5720"/>
    <w:rsid w:val="02A6660D"/>
    <w:rsid w:val="02BF3353"/>
    <w:rsid w:val="02E132C9"/>
    <w:rsid w:val="02F4335E"/>
    <w:rsid w:val="03451AAA"/>
    <w:rsid w:val="03595C54"/>
    <w:rsid w:val="035961B6"/>
    <w:rsid w:val="03697B0E"/>
    <w:rsid w:val="036A37B8"/>
    <w:rsid w:val="037E4FBC"/>
    <w:rsid w:val="03BC7892"/>
    <w:rsid w:val="03C20A9D"/>
    <w:rsid w:val="03CC3F79"/>
    <w:rsid w:val="03D64AAD"/>
    <w:rsid w:val="03ED6979"/>
    <w:rsid w:val="03FE7EAB"/>
    <w:rsid w:val="042F7047"/>
    <w:rsid w:val="0434199F"/>
    <w:rsid w:val="043D1622"/>
    <w:rsid w:val="043E3628"/>
    <w:rsid w:val="04484106"/>
    <w:rsid w:val="04691461"/>
    <w:rsid w:val="046928C3"/>
    <w:rsid w:val="04703638"/>
    <w:rsid w:val="049E5539"/>
    <w:rsid w:val="04F6588B"/>
    <w:rsid w:val="053864EC"/>
    <w:rsid w:val="05725496"/>
    <w:rsid w:val="05757AA3"/>
    <w:rsid w:val="058F650A"/>
    <w:rsid w:val="05BF16A5"/>
    <w:rsid w:val="05C07B0D"/>
    <w:rsid w:val="05D4645E"/>
    <w:rsid w:val="06036992"/>
    <w:rsid w:val="060F6259"/>
    <w:rsid w:val="062E158F"/>
    <w:rsid w:val="0653526C"/>
    <w:rsid w:val="06B64A6C"/>
    <w:rsid w:val="070F21DB"/>
    <w:rsid w:val="0716104E"/>
    <w:rsid w:val="071E7B37"/>
    <w:rsid w:val="076B2DCE"/>
    <w:rsid w:val="076C036C"/>
    <w:rsid w:val="077855B9"/>
    <w:rsid w:val="07D11074"/>
    <w:rsid w:val="07F910B5"/>
    <w:rsid w:val="0815085B"/>
    <w:rsid w:val="08316113"/>
    <w:rsid w:val="083B2C3D"/>
    <w:rsid w:val="084F56FF"/>
    <w:rsid w:val="08555F5A"/>
    <w:rsid w:val="08774FC2"/>
    <w:rsid w:val="089808CE"/>
    <w:rsid w:val="08B84966"/>
    <w:rsid w:val="08C5351E"/>
    <w:rsid w:val="08D86F1C"/>
    <w:rsid w:val="08EA090B"/>
    <w:rsid w:val="08F73EBE"/>
    <w:rsid w:val="09041F95"/>
    <w:rsid w:val="091C0FD9"/>
    <w:rsid w:val="09324BC4"/>
    <w:rsid w:val="093D33C9"/>
    <w:rsid w:val="095B60E4"/>
    <w:rsid w:val="0960462C"/>
    <w:rsid w:val="098334BD"/>
    <w:rsid w:val="099248CD"/>
    <w:rsid w:val="09A57586"/>
    <w:rsid w:val="09E63157"/>
    <w:rsid w:val="0A430D0D"/>
    <w:rsid w:val="0A9D2FE2"/>
    <w:rsid w:val="0A9F1F5E"/>
    <w:rsid w:val="0AB66287"/>
    <w:rsid w:val="0ABB6AF5"/>
    <w:rsid w:val="0ACA3C4C"/>
    <w:rsid w:val="0AEB67F9"/>
    <w:rsid w:val="0B1F6B95"/>
    <w:rsid w:val="0B412C61"/>
    <w:rsid w:val="0B46799B"/>
    <w:rsid w:val="0B752C93"/>
    <w:rsid w:val="0B823F50"/>
    <w:rsid w:val="0BA63302"/>
    <w:rsid w:val="0BBD6225"/>
    <w:rsid w:val="0BC114DF"/>
    <w:rsid w:val="0C25691C"/>
    <w:rsid w:val="0C4C0933"/>
    <w:rsid w:val="0C5E2022"/>
    <w:rsid w:val="0C670CE3"/>
    <w:rsid w:val="0C7A2AF4"/>
    <w:rsid w:val="0C7B29E0"/>
    <w:rsid w:val="0C86214C"/>
    <w:rsid w:val="0C9D23BE"/>
    <w:rsid w:val="0D163BC6"/>
    <w:rsid w:val="0D6B569C"/>
    <w:rsid w:val="0D935461"/>
    <w:rsid w:val="0DBC24DA"/>
    <w:rsid w:val="0DD76FED"/>
    <w:rsid w:val="0DEB51E0"/>
    <w:rsid w:val="0DF2383E"/>
    <w:rsid w:val="0DF857C7"/>
    <w:rsid w:val="0E2B5527"/>
    <w:rsid w:val="0E59397E"/>
    <w:rsid w:val="0E5F4312"/>
    <w:rsid w:val="0E6446C4"/>
    <w:rsid w:val="0E9D6C3E"/>
    <w:rsid w:val="0EA43A70"/>
    <w:rsid w:val="0EE02FCE"/>
    <w:rsid w:val="0EE7423B"/>
    <w:rsid w:val="0F29227F"/>
    <w:rsid w:val="0F687ABB"/>
    <w:rsid w:val="0FCE2E27"/>
    <w:rsid w:val="100D6038"/>
    <w:rsid w:val="102B6385"/>
    <w:rsid w:val="102D5D9F"/>
    <w:rsid w:val="10321608"/>
    <w:rsid w:val="10CB4356"/>
    <w:rsid w:val="10E20CEC"/>
    <w:rsid w:val="10F44B0F"/>
    <w:rsid w:val="113B4BC4"/>
    <w:rsid w:val="11566C8C"/>
    <w:rsid w:val="119836EC"/>
    <w:rsid w:val="119A0012"/>
    <w:rsid w:val="11D113C2"/>
    <w:rsid w:val="12026E01"/>
    <w:rsid w:val="12051714"/>
    <w:rsid w:val="12333415"/>
    <w:rsid w:val="123C7C16"/>
    <w:rsid w:val="12704DB3"/>
    <w:rsid w:val="12794E06"/>
    <w:rsid w:val="12A3059B"/>
    <w:rsid w:val="12AF2BFA"/>
    <w:rsid w:val="12D74756"/>
    <w:rsid w:val="12EB23CA"/>
    <w:rsid w:val="130C4392"/>
    <w:rsid w:val="130C4532"/>
    <w:rsid w:val="134D74D4"/>
    <w:rsid w:val="1356388C"/>
    <w:rsid w:val="135B74B8"/>
    <w:rsid w:val="135E3B2E"/>
    <w:rsid w:val="136A43C7"/>
    <w:rsid w:val="137B3E80"/>
    <w:rsid w:val="140C1889"/>
    <w:rsid w:val="140F36CB"/>
    <w:rsid w:val="142422AF"/>
    <w:rsid w:val="147C3C8C"/>
    <w:rsid w:val="14A66120"/>
    <w:rsid w:val="14FB20E7"/>
    <w:rsid w:val="150427B3"/>
    <w:rsid w:val="15107A3E"/>
    <w:rsid w:val="1541506E"/>
    <w:rsid w:val="15712BD2"/>
    <w:rsid w:val="159248FD"/>
    <w:rsid w:val="15A9411A"/>
    <w:rsid w:val="15D40158"/>
    <w:rsid w:val="16041175"/>
    <w:rsid w:val="16112C30"/>
    <w:rsid w:val="1623156A"/>
    <w:rsid w:val="164B5385"/>
    <w:rsid w:val="165C044D"/>
    <w:rsid w:val="167665C6"/>
    <w:rsid w:val="16810BF3"/>
    <w:rsid w:val="16CC017F"/>
    <w:rsid w:val="16EA6177"/>
    <w:rsid w:val="171730AB"/>
    <w:rsid w:val="172A2C1F"/>
    <w:rsid w:val="177B1AE6"/>
    <w:rsid w:val="17866D45"/>
    <w:rsid w:val="17B32E54"/>
    <w:rsid w:val="17C567B6"/>
    <w:rsid w:val="17DD43C5"/>
    <w:rsid w:val="17E42573"/>
    <w:rsid w:val="17E663C6"/>
    <w:rsid w:val="183345EB"/>
    <w:rsid w:val="183F12A7"/>
    <w:rsid w:val="18455C50"/>
    <w:rsid w:val="18531E50"/>
    <w:rsid w:val="185A5BA0"/>
    <w:rsid w:val="187E5752"/>
    <w:rsid w:val="18C174DB"/>
    <w:rsid w:val="18C249F0"/>
    <w:rsid w:val="18D214EE"/>
    <w:rsid w:val="191707C1"/>
    <w:rsid w:val="191B18F5"/>
    <w:rsid w:val="19223474"/>
    <w:rsid w:val="194B373A"/>
    <w:rsid w:val="196A7C74"/>
    <w:rsid w:val="198266B8"/>
    <w:rsid w:val="19946A53"/>
    <w:rsid w:val="199C1137"/>
    <w:rsid w:val="19A846E9"/>
    <w:rsid w:val="19B00734"/>
    <w:rsid w:val="19B77438"/>
    <w:rsid w:val="19B968F6"/>
    <w:rsid w:val="19E1107D"/>
    <w:rsid w:val="1A0F4768"/>
    <w:rsid w:val="1A3C68B4"/>
    <w:rsid w:val="1A424778"/>
    <w:rsid w:val="1A492BF8"/>
    <w:rsid w:val="1A4E34E2"/>
    <w:rsid w:val="1A534FE3"/>
    <w:rsid w:val="1AAB3704"/>
    <w:rsid w:val="1ACD6B6C"/>
    <w:rsid w:val="1AE9320B"/>
    <w:rsid w:val="1B5F527B"/>
    <w:rsid w:val="1B701236"/>
    <w:rsid w:val="1BE42BC4"/>
    <w:rsid w:val="1C0735C5"/>
    <w:rsid w:val="1C085913"/>
    <w:rsid w:val="1C170D74"/>
    <w:rsid w:val="1C3425B4"/>
    <w:rsid w:val="1C4650FC"/>
    <w:rsid w:val="1C6C3216"/>
    <w:rsid w:val="1C8B27CB"/>
    <w:rsid w:val="1CA3397A"/>
    <w:rsid w:val="1CAE3253"/>
    <w:rsid w:val="1CAE6F40"/>
    <w:rsid w:val="1CB339A6"/>
    <w:rsid w:val="1CB403CA"/>
    <w:rsid w:val="1CBF0ABE"/>
    <w:rsid w:val="1CE57F1E"/>
    <w:rsid w:val="1D273327"/>
    <w:rsid w:val="1D4946BC"/>
    <w:rsid w:val="1D567639"/>
    <w:rsid w:val="1D764B31"/>
    <w:rsid w:val="1D8F1A5E"/>
    <w:rsid w:val="1D9A07EC"/>
    <w:rsid w:val="1DAD49C3"/>
    <w:rsid w:val="1DC32E09"/>
    <w:rsid w:val="1E2C2CAA"/>
    <w:rsid w:val="1E3302F5"/>
    <w:rsid w:val="1E38656C"/>
    <w:rsid w:val="1E4179CF"/>
    <w:rsid w:val="1E426EBA"/>
    <w:rsid w:val="1E577D0A"/>
    <w:rsid w:val="1E76001E"/>
    <w:rsid w:val="1E7A7539"/>
    <w:rsid w:val="1E886F79"/>
    <w:rsid w:val="1E8A7CBA"/>
    <w:rsid w:val="1EA45E3E"/>
    <w:rsid w:val="1EB660B9"/>
    <w:rsid w:val="1EDA29DE"/>
    <w:rsid w:val="1F470500"/>
    <w:rsid w:val="1F4D16E9"/>
    <w:rsid w:val="1F4E065F"/>
    <w:rsid w:val="1F5275D0"/>
    <w:rsid w:val="1F59095F"/>
    <w:rsid w:val="1F7667D5"/>
    <w:rsid w:val="1F9078D7"/>
    <w:rsid w:val="1F95570F"/>
    <w:rsid w:val="20230F6D"/>
    <w:rsid w:val="20410142"/>
    <w:rsid w:val="20BD525B"/>
    <w:rsid w:val="20D94C8E"/>
    <w:rsid w:val="20EC48AF"/>
    <w:rsid w:val="212B632B"/>
    <w:rsid w:val="212D2EAE"/>
    <w:rsid w:val="21633C8B"/>
    <w:rsid w:val="2169631B"/>
    <w:rsid w:val="21BD0297"/>
    <w:rsid w:val="21D06ED2"/>
    <w:rsid w:val="21E76A79"/>
    <w:rsid w:val="21F24981"/>
    <w:rsid w:val="225C3FC7"/>
    <w:rsid w:val="22836C12"/>
    <w:rsid w:val="228569AB"/>
    <w:rsid w:val="228D26CE"/>
    <w:rsid w:val="22945315"/>
    <w:rsid w:val="22963F54"/>
    <w:rsid w:val="229C12E2"/>
    <w:rsid w:val="22CD0355"/>
    <w:rsid w:val="22D85D40"/>
    <w:rsid w:val="23027641"/>
    <w:rsid w:val="230C4AB2"/>
    <w:rsid w:val="23150761"/>
    <w:rsid w:val="232C09A6"/>
    <w:rsid w:val="2390167A"/>
    <w:rsid w:val="239E204B"/>
    <w:rsid w:val="23EB3B50"/>
    <w:rsid w:val="245E4322"/>
    <w:rsid w:val="248A7123"/>
    <w:rsid w:val="24E64B69"/>
    <w:rsid w:val="24FC1D1C"/>
    <w:rsid w:val="250A069B"/>
    <w:rsid w:val="257E2E5B"/>
    <w:rsid w:val="25D02FFD"/>
    <w:rsid w:val="25E47B7D"/>
    <w:rsid w:val="26021802"/>
    <w:rsid w:val="262325D7"/>
    <w:rsid w:val="26425255"/>
    <w:rsid w:val="26797EDA"/>
    <w:rsid w:val="26B2554F"/>
    <w:rsid w:val="26DB7EAB"/>
    <w:rsid w:val="270A70EA"/>
    <w:rsid w:val="270D4AD8"/>
    <w:rsid w:val="272A0FBB"/>
    <w:rsid w:val="27476DD9"/>
    <w:rsid w:val="279664FC"/>
    <w:rsid w:val="27C94F39"/>
    <w:rsid w:val="27CE1102"/>
    <w:rsid w:val="27CE42CA"/>
    <w:rsid w:val="27E2755C"/>
    <w:rsid w:val="27E97193"/>
    <w:rsid w:val="27EC34A4"/>
    <w:rsid w:val="28171939"/>
    <w:rsid w:val="28687E65"/>
    <w:rsid w:val="287B307B"/>
    <w:rsid w:val="28860263"/>
    <w:rsid w:val="28A349F9"/>
    <w:rsid w:val="28B22F7D"/>
    <w:rsid w:val="28C42EEB"/>
    <w:rsid w:val="28D83258"/>
    <w:rsid w:val="28FB2A3F"/>
    <w:rsid w:val="29212E8D"/>
    <w:rsid w:val="296042FF"/>
    <w:rsid w:val="296E07D8"/>
    <w:rsid w:val="296F69EA"/>
    <w:rsid w:val="2993139B"/>
    <w:rsid w:val="299376BB"/>
    <w:rsid w:val="299B5F04"/>
    <w:rsid w:val="29A155D7"/>
    <w:rsid w:val="29BF51B1"/>
    <w:rsid w:val="29F924A3"/>
    <w:rsid w:val="2A151926"/>
    <w:rsid w:val="2A2E2D26"/>
    <w:rsid w:val="2A5138A5"/>
    <w:rsid w:val="2AB26AF0"/>
    <w:rsid w:val="2AC84ACB"/>
    <w:rsid w:val="2ACB66B1"/>
    <w:rsid w:val="2B144892"/>
    <w:rsid w:val="2B4E756B"/>
    <w:rsid w:val="2B711930"/>
    <w:rsid w:val="2B8054C5"/>
    <w:rsid w:val="2B8F3953"/>
    <w:rsid w:val="2B986D03"/>
    <w:rsid w:val="2BA60E1F"/>
    <w:rsid w:val="2BBC67D4"/>
    <w:rsid w:val="2BDB3D96"/>
    <w:rsid w:val="2C1969DA"/>
    <w:rsid w:val="2C3607CC"/>
    <w:rsid w:val="2C4C53A8"/>
    <w:rsid w:val="2CF306DD"/>
    <w:rsid w:val="2CFC255E"/>
    <w:rsid w:val="2CFE48F4"/>
    <w:rsid w:val="2D151532"/>
    <w:rsid w:val="2D2865B7"/>
    <w:rsid w:val="2D7F2DB0"/>
    <w:rsid w:val="2DB80421"/>
    <w:rsid w:val="2DD85145"/>
    <w:rsid w:val="2DDD304C"/>
    <w:rsid w:val="2DE05D4B"/>
    <w:rsid w:val="2E0D1686"/>
    <w:rsid w:val="2E1B67F8"/>
    <w:rsid w:val="2E295E1B"/>
    <w:rsid w:val="2E326796"/>
    <w:rsid w:val="2E474078"/>
    <w:rsid w:val="2E507989"/>
    <w:rsid w:val="2E8433D9"/>
    <w:rsid w:val="2EA14EC7"/>
    <w:rsid w:val="2EE01394"/>
    <w:rsid w:val="2EEE335E"/>
    <w:rsid w:val="2F282022"/>
    <w:rsid w:val="2F445408"/>
    <w:rsid w:val="2F4B4049"/>
    <w:rsid w:val="2F6F5865"/>
    <w:rsid w:val="2FAA5B44"/>
    <w:rsid w:val="2FC70C25"/>
    <w:rsid w:val="300F6E18"/>
    <w:rsid w:val="30262C13"/>
    <w:rsid w:val="302E54F0"/>
    <w:rsid w:val="30443639"/>
    <w:rsid w:val="304E7CB0"/>
    <w:rsid w:val="30501FCB"/>
    <w:rsid w:val="30595A18"/>
    <w:rsid w:val="305F38FB"/>
    <w:rsid w:val="30607673"/>
    <w:rsid w:val="30765F3C"/>
    <w:rsid w:val="30935804"/>
    <w:rsid w:val="30A9369A"/>
    <w:rsid w:val="30AB389E"/>
    <w:rsid w:val="30B57438"/>
    <w:rsid w:val="30B87E1B"/>
    <w:rsid w:val="30F37206"/>
    <w:rsid w:val="31081195"/>
    <w:rsid w:val="310C3B5A"/>
    <w:rsid w:val="31310683"/>
    <w:rsid w:val="316565AF"/>
    <w:rsid w:val="31A05036"/>
    <w:rsid w:val="31B40F34"/>
    <w:rsid w:val="31EB6A65"/>
    <w:rsid w:val="320901D0"/>
    <w:rsid w:val="322E56F7"/>
    <w:rsid w:val="325D2C33"/>
    <w:rsid w:val="326020E9"/>
    <w:rsid w:val="32805A9D"/>
    <w:rsid w:val="328C0BF4"/>
    <w:rsid w:val="32941CF1"/>
    <w:rsid w:val="32C0264B"/>
    <w:rsid w:val="32E97C4F"/>
    <w:rsid w:val="32EB1A69"/>
    <w:rsid w:val="32F04CDF"/>
    <w:rsid w:val="330B7787"/>
    <w:rsid w:val="338C5873"/>
    <w:rsid w:val="339007B2"/>
    <w:rsid w:val="33974B3A"/>
    <w:rsid w:val="33AA7583"/>
    <w:rsid w:val="33DA0B96"/>
    <w:rsid w:val="33E63FEB"/>
    <w:rsid w:val="33EA1602"/>
    <w:rsid w:val="34041A98"/>
    <w:rsid w:val="340A3E7E"/>
    <w:rsid w:val="346516FC"/>
    <w:rsid w:val="34771064"/>
    <w:rsid w:val="348B7895"/>
    <w:rsid w:val="34BE65D8"/>
    <w:rsid w:val="34C81D0F"/>
    <w:rsid w:val="34CE737B"/>
    <w:rsid w:val="34F32D46"/>
    <w:rsid w:val="35312B01"/>
    <w:rsid w:val="353317B2"/>
    <w:rsid w:val="35616BDC"/>
    <w:rsid w:val="35627CEB"/>
    <w:rsid w:val="357C50CC"/>
    <w:rsid w:val="35C02DAE"/>
    <w:rsid w:val="363C1E23"/>
    <w:rsid w:val="364B3C57"/>
    <w:rsid w:val="36603C16"/>
    <w:rsid w:val="36723C5D"/>
    <w:rsid w:val="368D43F8"/>
    <w:rsid w:val="36A16CDA"/>
    <w:rsid w:val="36BD5378"/>
    <w:rsid w:val="36D95871"/>
    <w:rsid w:val="36E16BA3"/>
    <w:rsid w:val="36F00469"/>
    <w:rsid w:val="373566CD"/>
    <w:rsid w:val="37BC1633"/>
    <w:rsid w:val="37CC44F9"/>
    <w:rsid w:val="3809396B"/>
    <w:rsid w:val="38160A60"/>
    <w:rsid w:val="38170E61"/>
    <w:rsid w:val="385A0A9D"/>
    <w:rsid w:val="38766B4A"/>
    <w:rsid w:val="391B34FF"/>
    <w:rsid w:val="391C048E"/>
    <w:rsid w:val="394E3410"/>
    <w:rsid w:val="39D701D9"/>
    <w:rsid w:val="3A4B5CFF"/>
    <w:rsid w:val="3A5826B6"/>
    <w:rsid w:val="3A782816"/>
    <w:rsid w:val="3A960F1D"/>
    <w:rsid w:val="3AB85C59"/>
    <w:rsid w:val="3AD84E92"/>
    <w:rsid w:val="3AEC0481"/>
    <w:rsid w:val="3B107F0F"/>
    <w:rsid w:val="3B412579"/>
    <w:rsid w:val="3B4B1C4C"/>
    <w:rsid w:val="3B533197"/>
    <w:rsid w:val="3B7D7E13"/>
    <w:rsid w:val="3BC907C3"/>
    <w:rsid w:val="3BD01CB4"/>
    <w:rsid w:val="3BDF1F72"/>
    <w:rsid w:val="3C031541"/>
    <w:rsid w:val="3C056013"/>
    <w:rsid w:val="3C1308C2"/>
    <w:rsid w:val="3C3860E7"/>
    <w:rsid w:val="3C5924B3"/>
    <w:rsid w:val="3C8C2C34"/>
    <w:rsid w:val="3C9A5CBB"/>
    <w:rsid w:val="3CAF5C0A"/>
    <w:rsid w:val="3CB430FE"/>
    <w:rsid w:val="3CD967E3"/>
    <w:rsid w:val="3CF46C13"/>
    <w:rsid w:val="3CFD7F37"/>
    <w:rsid w:val="3D0C79E0"/>
    <w:rsid w:val="3D0D7122"/>
    <w:rsid w:val="3D27089C"/>
    <w:rsid w:val="3D346DC1"/>
    <w:rsid w:val="3D477B05"/>
    <w:rsid w:val="3D792776"/>
    <w:rsid w:val="3D9828A9"/>
    <w:rsid w:val="3DE2791A"/>
    <w:rsid w:val="3E296CB4"/>
    <w:rsid w:val="3E8B1D5F"/>
    <w:rsid w:val="3EA25030"/>
    <w:rsid w:val="3EA36F25"/>
    <w:rsid w:val="3F051B12"/>
    <w:rsid w:val="3F10258B"/>
    <w:rsid w:val="3F37118A"/>
    <w:rsid w:val="3F656D7F"/>
    <w:rsid w:val="3F7A098E"/>
    <w:rsid w:val="3F9959F3"/>
    <w:rsid w:val="3FBA3F5C"/>
    <w:rsid w:val="3FBF1CCE"/>
    <w:rsid w:val="3FCC6F8E"/>
    <w:rsid w:val="3FD716B8"/>
    <w:rsid w:val="3FDA2E5D"/>
    <w:rsid w:val="3FDB4513"/>
    <w:rsid w:val="3FE47979"/>
    <w:rsid w:val="40317410"/>
    <w:rsid w:val="403E4B1D"/>
    <w:rsid w:val="404F739E"/>
    <w:rsid w:val="40574C5C"/>
    <w:rsid w:val="405F4321"/>
    <w:rsid w:val="40603DED"/>
    <w:rsid w:val="406C4ABE"/>
    <w:rsid w:val="40831BCD"/>
    <w:rsid w:val="40BF1EEA"/>
    <w:rsid w:val="40C52EAE"/>
    <w:rsid w:val="40DF6392"/>
    <w:rsid w:val="40EE7DCE"/>
    <w:rsid w:val="416F7716"/>
    <w:rsid w:val="41725AC2"/>
    <w:rsid w:val="41874A60"/>
    <w:rsid w:val="418A5888"/>
    <w:rsid w:val="41AA69A0"/>
    <w:rsid w:val="41BF0AC3"/>
    <w:rsid w:val="41D16EB3"/>
    <w:rsid w:val="41DB66A4"/>
    <w:rsid w:val="421D7172"/>
    <w:rsid w:val="424C0CD0"/>
    <w:rsid w:val="42621029"/>
    <w:rsid w:val="42660B19"/>
    <w:rsid w:val="42A33B1C"/>
    <w:rsid w:val="42A41DA4"/>
    <w:rsid w:val="43140775"/>
    <w:rsid w:val="43174146"/>
    <w:rsid w:val="431B01DC"/>
    <w:rsid w:val="435374E2"/>
    <w:rsid w:val="435A1C72"/>
    <w:rsid w:val="436104D5"/>
    <w:rsid w:val="436A1CEB"/>
    <w:rsid w:val="43B417B7"/>
    <w:rsid w:val="43C94D0A"/>
    <w:rsid w:val="43DB5CE2"/>
    <w:rsid w:val="440E66CB"/>
    <w:rsid w:val="44772B8D"/>
    <w:rsid w:val="44A30AD6"/>
    <w:rsid w:val="44AB360A"/>
    <w:rsid w:val="44BA3374"/>
    <w:rsid w:val="44C63791"/>
    <w:rsid w:val="451A5F22"/>
    <w:rsid w:val="451D08A7"/>
    <w:rsid w:val="45490368"/>
    <w:rsid w:val="455B5334"/>
    <w:rsid w:val="459E1862"/>
    <w:rsid w:val="45A37EE8"/>
    <w:rsid w:val="45B12031"/>
    <w:rsid w:val="45B54770"/>
    <w:rsid w:val="45BC6AA8"/>
    <w:rsid w:val="45F55B38"/>
    <w:rsid w:val="4613720A"/>
    <w:rsid w:val="461E1835"/>
    <w:rsid w:val="46556A6B"/>
    <w:rsid w:val="46733FB8"/>
    <w:rsid w:val="467C4DAF"/>
    <w:rsid w:val="467E61C4"/>
    <w:rsid w:val="468477C0"/>
    <w:rsid w:val="468C4AA7"/>
    <w:rsid w:val="46913047"/>
    <w:rsid w:val="46A706A5"/>
    <w:rsid w:val="46FB0A43"/>
    <w:rsid w:val="47195646"/>
    <w:rsid w:val="47353062"/>
    <w:rsid w:val="477A3B2C"/>
    <w:rsid w:val="4780658C"/>
    <w:rsid w:val="47853783"/>
    <w:rsid w:val="47D211D2"/>
    <w:rsid w:val="47D41458"/>
    <w:rsid w:val="47F00E85"/>
    <w:rsid w:val="4801558F"/>
    <w:rsid w:val="48031F77"/>
    <w:rsid w:val="481F0A20"/>
    <w:rsid w:val="48434278"/>
    <w:rsid w:val="487359D2"/>
    <w:rsid w:val="4887604C"/>
    <w:rsid w:val="48BC5937"/>
    <w:rsid w:val="48C80CA0"/>
    <w:rsid w:val="48F04BCA"/>
    <w:rsid w:val="496054B6"/>
    <w:rsid w:val="496E29BE"/>
    <w:rsid w:val="496F0BFB"/>
    <w:rsid w:val="49D428AC"/>
    <w:rsid w:val="49D51101"/>
    <w:rsid w:val="49E20EB5"/>
    <w:rsid w:val="4A7A7858"/>
    <w:rsid w:val="4AEA0A9B"/>
    <w:rsid w:val="4B1203F7"/>
    <w:rsid w:val="4B5C3E20"/>
    <w:rsid w:val="4BB33E83"/>
    <w:rsid w:val="4BD20EF3"/>
    <w:rsid w:val="4C531E74"/>
    <w:rsid w:val="4C9B2BDF"/>
    <w:rsid w:val="4CA7676E"/>
    <w:rsid w:val="4CAA4A07"/>
    <w:rsid w:val="4CBB09FE"/>
    <w:rsid w:val="4CF606AD"/>
    <w:rsid w:val="4CFE6256"/>
    <w:rsid w:val="4D017D0E"/>
    <w:rsid w:val="4D14078D"/>
    <w:rsid w:val="4D302606"/>
    <w:rsid w:val="4D510618"/>
    <w:rsid w:val="4D6C1FED"/>
    <w:rsid w:val="4D851CA0"/>
    <w:rsid w:val="4DCC0992"/>
    <w:rsid w:val="4DF416CF"/>
    <w:rsid w:val="4DF8629D"/>
    <w:rsid w:val="4E154513"/>
    <w:rsid w:val="4E2512C8"/>
    <w:rsid w:val="4E252F9E"/>
    <w:rsid w:val="4E4E16AF"/>
    <w:rsid w:val="4EA24EB1"/>
    <w:rsid w:val="4EB26A8E"/>
    <w:rsid w:val="4ED41501"/>
    <w:rsid w:val="4ED4505D"/>
    <w:rsid w:val="4EF86CC0"/>
    <w:rsid w:val="4F2A76C7"/>
    <w:rsid w:val="4F463604"/>
    <w:rsid w:val="4F72170C"/>
    <w:rsid w:val="4F7F141F"/>
    <w:rsid w:val="4F8965F3"/>
    <w:rsid w:val="4F8D562A"/>
    <w:rsid w:val="4FBF1097"/>
    <w:rsid w:val="4FCB2904"/>
    <w:rsid w:val="4FE279E5"/>
    <w:rsid w:val="503843E8"/>
    <w:rsid w:val="503A5C56"/>
    <w:rsid w:val="50401423"/>
    <w:rsid w:val="504B6593"/>
    <w:rsid w:val="504F0E3F"/>
    <w:rsid w:val="50630821"/>
    <w:rsid w:val="506508DD"/>
    <w:rsid w:val="506643B4"/>
    <w:rsid w:val="506D7FF8"/>
    <w:rsid w:val="50711C50"/>
    <w:rsid w:val="51273DCC"/>
    <w:rsid w:val="5129736E"/>
    <w:rsid w:val="512D7218"/>
    <w:rsid w:val="514161D5"/>
    <w:rsid w:val="515D758B"/>
    <w:rsid w:val="516E2B15"/>
    <w:rsid w:val="51863A6C"/>
    <w:rsid w:val="51A92228"/>
    <w:rsid w:val="51AA02F7"/>
    <w:rsid w:val="51E87A97"/>
    <w:rsid w:val="52374280"/>
    <w:rsid w:val="52444B99"/>
    <w:rsid w:val="52472C6E"/>
    <w:rsid w:val="524F3C49"/>
    <w:rsid w:val="5281172B"/>
    <w:rsid w:val="529A5359"/>
    <w:rsid w:val="52A33C8A"/>
    <w:rsid w:val="52AD68DD"/>
    <w:rsid w:val="52CF6267"/>
    <w:rsid w:val="52EB52B5"/>
    <w:rsid w:val="5312128A"/>
    <w:rsid w:val="536477CB"/>
    <w:rsid w:val="537103F8"/>
    <w:rsid w:val="53C847FE"/>
    <w:rsid w:val="53D63625"/>
    <w:rsid w:val="53ED7F01"/>
    <w:rsid w:val="53F84BB6"/>
    <w:rsid w:val="540439CF"/>
    <w:rsid w:val="540A1C44"/>
    <w:rsid w:val="541E10A8"/>
    <w:rsid w:val="544031EB"/>
    <w:rsid w:val="5499291E"/>
    <w:rsid w:val="54A35BFD"/>
    <w:rsid w:val="54B90C6C"/>
    <w:rsid w:val="55175CA3"/>
    <w:rsid w:val="552C79A0"/>
    <w:rsid w:val="55387195"/>
    <w:rsid w:val="555E38D2"/>
    <w:rsid w:val="556355CA"/>
    <w:rsid w:val="556A04C9"/>
    <w:rsid w:val="558143CA"/>
    <w:rsid w:val="55991245"/>
    <w:rsid w:val="55A52777"/>
    <w:rsid w:val="55C220B3"/>
    <w:rsid w:val="55DC047A"/>
    <w:rsid w:val="55F16041"/>
    <w:rsid w:val="56154105"/>
    <w:rsid w:val="561F04E5"/>
    <w:rsid w:val="562E14F6"/>
    <w:rsid w:val="56472894"/>
    <w:rsid w:val="565D04BF"/>
    <w:rsid w:val="56B03DC5"/>
    <w:rsid w:val="56DF5EA4"/>
    <w:rsid w:val="56E57FF1"/>
    <w:rsid w:val="573E341D"/>
    <w:rsid w:val="57783D9C"/>
    <w:rsid w:val="578926C7"/>
    <w:rsid w:val="578C2F80"/>
    <w:rsid w:val="57961367"/>
    <w:rsid w:val="57A919F7"/>
    <w:rsid w:val="581225E1"/>
    <w:rsid w:val="58231207"/>
    <w:rsid w:val="58232884"/>
    <w:rsid w:val="583B32E8"/>
    <w:rsid w:val="586456A3"/>
    <w:rsid w:val="588C08D1"/>
    <w:rsid w:val="5898359F"/>
    <w:rsid w:val="58E36CD2"/>
    <w:rsid w:val="58E40B5C"/>
    <w:rsid w:val="59117494"/>
    <w:rsid w:val="592F41AF"/>
    <w:rsid w:val="59455C0C"/>
    <w:rsid w:val="5983112E"/>
    <w:rsid w:val="59C56849"/>
    <w:rsid w:val="59C72AA6"/>
    <w:rsid w:val="59D734D4"/>
    <w:rsid w:val="59E56191"/>
    <w:rsid w:val="59EF3692"/>
    <w:rsid w:val="5A3966BC"/>
    <w:rsid w:val="5A841A64"/>
    <w:rsid w:val="5AB64AC4"/>
    <w:rsid w:val="5ABF40E5"/>
    <w:rsid w:val="5ACB1E38"/>
    <w:rsid w:val="5ADD7144"/>
    <w:rsid w:val="5B456296"/>
    <w:rsid w:val="5B5A4B3C"/>
    <w:rsid w:val="5B723CA8"/>
    <w:rsid w:val="5B72714E"/>
    <w:rsid w:val="5B8B15E4"/>
    <w:rsid w:val="5B8B4FDC"/>
    <w:rsid w:val="5B995596"/>
    <w:rsid w:val="5B9B1643"/>
    <w:rsid w:val="5BED20C1"/>
    <w:rsid w:val="5C0536A1"/>
    <w:rsid w:val="5C2D5CBA"/>
    <w:rsid w:val="5C313392"/>
    <w:rsid w:val="5C425CFC"/>
    <w:rsid w:val="5C4F6328"/>
    <w:rsid w:val="5C712EAE"/>
    <w:rsid w:val="5CAB38A1"/>
    <w:rsid w:val="5CC32DBF"/>
    <w:rsid w:val="5CDE151C"/>
    <w:rsid w:val="5D604059"/>
    <w:rsid w:val="5D687337"/>
    <w:rsid w:val="5D7B4E54"/>
    <w:rsid w:val="5D9E7743"/>
    <w:rsid w:val="5DA9205A"/>
    <w:rsid w:val="5DB93D22"/>
    <w:rsid w:val="5DC11B92"/>
    <w:rsid w:val="5DCF1811"/>
    <w:rsid w:val="5E090FA4"/>
    <w:rsid w:val="5E400CDF"/>
    <w:rsid w:val="5E471FC2"/>
    <w:rsid w:val="5E912F5F"/>
    <w:rsid w:val="5EBC5F3E"/>
    <w:rsid w:val="5F28567D"/>
    <w:rsid w:val="5F2C67EF"/>
    <w:rsid w:val="5F341537"/>
    <w:rsid w:val="5F7E41B6"/>
    <w:rsid w:val="5F831C34"/>
    <w:rsid w:val="5FA45965"/>
    <w:rsid w:val="5FBF20F5"/>
    <w:rsid w:val="601569D7"/>
    <w:rsid w:val="601A28EB"/>
    <w:rsid w:val="603706C5"/>
    <w:rsid w:val="603810FF"/>
    <w:rsid w:val="60545A9A"/>
    <w:rsid w:val="606340E6"/>
    <w:rsid w:val="60C07B37"/>
    <w:rsid w:val="61217456"/>
    <w:rsid w:val="61240687"/>
    <w:rsid w:val="613E7560"/>
    <w:rsid w:val="616B6D93"/>
    <w:rsid w:val="61891CD7"/>
    <w:rsid w:val="61931174"/>
    <w:rsid w:val="61DA337A"/>
    <w:rsid w:val="61DF4169"/>
    <w:rsid w:val="61E34380"/>
    <w:rsid w:val="620504F1"/>
    <w:rsid w:val="6223305C"/>
    <w:rsid w:val="622E7628"/>
    <w:rsid w:val="6238329F"/>
    <w:rsid w:val="623D12F6"/>
    <w:rsid w:val="624F0B60"/>
    <w:rsid w:val="6268494D"/>
    <w:rsid w:val="62B954DB"/>
    <w:rsid w:val="62D7137C"/>
    <w:rsid w:val="62E30C79"/>
    <w:rsid w:val="62F31AFE"/>
    <w:rsid w:val="62F51D1A"/>
    <w:rsid w:val="63203A80"/>
    <w:rsid w:val="6325172A"/>
    <w:rsid w:val="632610E9"/>
    <w:rsid w:val="63290614"/>
    <w:rsid w:val="634D067F"/>
    <w:rsid w:val="63656C59"/>
    <w:rsid w:val="637644DD"/>
    <w:rsid w:val="63790C76"/>
    <w:rsid w:val="63911720"/>
    <w:rsid w:val="639C03E7"/>
    <w:rsid w:val="63A70ADC"/>
    <w:rsid w:val="63BD1A08"/>
    <w:rsid w:val="63C818EC"/>
    <w:rsid w:val="63D800D9"/>
    <w:rsid w:val="63FD3869"/>
    <w:rsid w:val="64041E13"/>
    <w:rsid w:val="64177A6E"/>
    <w:rsid w:val="64444319"/>
    <w:rsid w:val="645161E4"/>
    <w:rsid w:val="64764706"/>
    <w:rsid w:val="647E6F66"/>
    <w:rsid w:val="64836A95"/>
    <w:rsid w:val="648F0188"/>
    <w:rsid w:val="64920F15"/>
    <w:rsid w:val="64BF79E1"/>
    <w:rsid w:val="64F720BA"/>
    <w:rsid w:val="651915C4"/>
    <w:rsid w:val="655B422B"/>
    <w:rsid w:val="65A1703E"/>
    <w:rsid w:val="65BA2DA7"/>
    <w:rsid w:val="65BD5903"/>
    <w:rsid w:val="65CE2D35"/>
    <w:rsid w:val="65DF1F54"/>
    <w:rsid w:val="662D146F"/>
    <w:rsid w:val="66342B59"/>
    <w:rsid w:val="663E1CE5"/>
    <w:rsid w:val="66423429"/>
    <w:rsid w:val="666E7CEA"/>
    <w:rsid w:val="667F66FB"/>
    <w:rsid w:val="66976C44"/>
    <w:rsid w:val="66CE5358"/>
    <w:rsid w:val="66E850F0"/>
    <w:rsid w:val="67097C2E"/>
    <w:rsid w:val="671007B9"/>
    <w:rsid w:val="674D05B9"/>
    <w:rsid w:val="674D6636"/>
    <w:rsid w:val="676F5399"/>
    <w:rsid w:val="67773F9D"/>
    <w:rsid w:val="67BE7207"/>
    <w:rsid w:val="67CD74FD"/>
    <w:rsid w:val="681F2E0E"/>
    <w:rsid w:val="682016C0"/>
    <w:rsid w:val="68232E85"/>
    <w:rsid w:val="68282E4B"/>
    <w:rsid w:val="683C2438"/>
    <w:rsid w:val="68564138"/>
    <w:rsid w:val="687F687B"/>
    <w:rsid w:val="68844A51"/>
    <w:rsid w:val="689A2CB9"/>
    <w:rsid w:val="68DA34E7"/>
    <w:rsid w:val="69181935"/>
    <w:rsid w:val="693370F8"/>
    <w:rsid w:val="69584DB0"/>
    <w:rsid w:val="6968396B"/>
    <w:rsid w:val="699B1675"/>
    <w:rsid w:val="69CC2514"/>
    <w:rsid w:val="69F824D3"/>
    <w:rsid w:val="69F9496F"/>
    <w:rsid w:val="6A086F97"/>
    <w:rsid w:val="6A4053F4"/>
    <w:rsid w:val="6A421C2D"/>
    <w:rsid w:val="6A6D488B"/>
    <w:rsid w:val="6A793230"/>
    <w:rsid w:val="6A8B78DD"/>
    <w:rsid w:val="6A9D6853"/>
    <w:rsid w:val="6AF8399D"/>
    <w:rsid w:val="6AFD3B53"/>
    <w:rsid w:val="6B0E4C3A"/>
    <w:rsid w:val="6B1765A5"/>
    <w:rsid w:val="6B5C045C"/>
    <w:rsid w:val="6B672E50"/>
    <w:rsid w:val="6B886E32"/>
    <w:rsid w:val="6B952CA4"/>
    <w:rsid w:val="6BAA7385"/>
    <w:rsid w:val="6BBF5200"/>
    <w:rsid w:val="6BD9385B"/>
    <w:rsid w:val="6BEC47F0"/>
    <w:rsid w:val="6BF66B60"/>
    <w:rsid w:val="6C305081"/>
    <w:rsid w:val="6C884BBB"/>
    <w:rsid w:val="6C8C3076"/>
    <w:rsid w:val="6C8D7096"/>
    <w:rsid w:val="6C9003BD"/>
    <w:rsid w:val="6CB735FA"/>
    <w:rsid w:val="6CBA368C"/>
    <w:rsid w:val="6CFA617E"/>
    <w:rsid w:val="6D67032A"/>
    <w:rsid w:val="6DB0559C"/>
    <w:rsid w:val="6DD422BD"/>
    <w:rsid w:val="6DF40CCD"/>
    <w:rsid w:val="6E017A54"/>
    <w:rsid w:val="6E1716F4"/>
    <w:rsid w:val="6E6D549A"/>
    <w:rsid w:val="6E840FA7"/>
    <w:rsid w:val="6E845A1E"/>
    <w:rsid w:val="6E885CDC"/>
    <w:rsid w:val="6E934F2F"/>
    <w:rsid w:val="6EAE5472"/>
    <w:rsid w:val="6EBB1D37"/>
    <w:rsid w:val="6EBE69D3"/>
    <w:rsid w:val="6EC47B15"/>
    <w:rsid w:val="6EC6761E"/>
    <w:rsid w:val="6EFA2AD9"/>
    <w:rsid w:val="6F4D0DEE"/>
    <w:rsid w:val="6F6D2F36"/>
    <w:rsid w:val="6F703537"/>
    <w:rsid w:val="6F9771B5"/>
    <w:rsid w:val="6FB55565"/>
    <w:rsid w:val="70012AEC"/>
    <w:rsid w:val="70241EE0"/>
    <w:rsid w:val="70292969"/>
    <w:rsid w:val="704F6F95"/>
    <w:rsid w:val="707C03B1"/>
    <w:rsid w:val="70821F84"/>
    <w:rsid w:val="7086638A"/>
    <w:rsid w:val="709E3FA2"/>
    <w:rsid w:val="71232251"/>
    <w:rsid w:val="71260C9B"/>
    <w:rsid w:val="7128150C"/>
    <w:rsid w:val="713A37F8"/>
    <w:rsid w:val="7153231D"/>
    <w:rsid w:val="715B3690"/>
    <w:rsid w:val="71925DB5"/>
    <w:rsid w:val="720C2CBF"/>
    <w:rsid w:val="7246216E"/>
    <w:rsid w:val="72600832"/>
    <w:rsid w:val="72914E8F"/>
    <w:rsid w:val="72A20473"/>
    <w:rsid w:val="72AA7D37"/>
    <w:rsid w:val="72E26ED5"/>
    <w:rsid w:val="72E51913"/>
    <w:rsid w:val="733C0404"/>
    <w:rsid w:val="73CE3FC9"/>
    <w:rsid w:val="74016CFC"/>
    <w:rsid w:val="74996DF5"/>
    <w:rsid w:val="74A36660"/>
    <w:rsid w:val="74B0159F"/>
    <w:rsid w:val="74C652C4"/>
    <w:rsid w:val="74E20230"/>
    <w:rsid w:val="750044AD"/>
    <w:rsid w:val="751E482D"/>
    <w:rsid w:val="756B19C7"/>
    <w:rsid w:val="75950C22"/>
    <w:rsid w:val="75CE1F56"/>
    <w:rsid w:val="75EB7A6A"/>
    <w:rsid w:val="76221663"/>
    <w:rsid w:val="7634447F"/>
    <w:rsid w:val="76415001"/>
    <w:rsid w:val="76733030"/>
    <w:rsid w:val="769470F3"/>
    <w:rsid w:val="769D7C6D"/>
    <w:rsid w:val="76C24AC8"/>
    <w:rsid w:val="76CF5CCC"/>
    <w:rsid w:val="76DC47E3"/>
    <w:rsid w:val="76F86B86"/>
    <w:rsid w:val="77241D1A"/>
    <w:rsid w:val="77275D4A"/>
    <w:rsid w:val="775B5DC8"/>
    <w:rsid w:val="776517EF"/>
    <w:rsid w:val="777841F5"/>
    <w:rsid w:val="779142E8"/>
    <w:rsid w:val="780A4798"/>
    <w:rsid w:val="783B5C62"/>
    <w:rsid w:val="784500F5"/>
    <w:rsid w:val="7846303C"/>
    <w:rsid w:val="78833532"/>
    <w:rsid w:val="78936C2A"/>
    <w:rsid w:val="78A0413C"/>
    <w:rsid w:val="78E24696"/>
    <w:rsid w:val="7908577F"/>
    <w:rsid w:val="791A13CD"/>
    <w:rsid w:val="7924080B"/>
    <w:rsid w:val="795D2CD0"/>
    <w:rsid w:val="79654A77"/>
    <w:rsid w:val="79C7410C"/>
    <w:rsid w:val="79C84311"/>
    <w:rsid w:val="79D8107C"/>
    <w:rsid w:val="7A125A0C"/>
    <w:rsid w:val="7A6D33A6"/>
    <w:rsid w:val="7A7D7E20"/>
    <w:rsid w:val="7A8A0A8B"/>
    <w:rsid w:val="7AA20C8F"/>
    <w:rsid w:val="7ACD4877"/>
    <w:rsid w:val="7B294A71"/>
    <w:rsid w:val="7B441F57"/>
    <w:rsid w:val="7B981D49"/>
    <w:rsid w:val="7B9C54A1"/>
    <w:rsid w:val="7BB72877"/>
    <w:rsid w:val="7BF65B78"/>
    <w:rsid w:val="7BFE112F"/>
    <w:rsid w:val="7C6764BE"/>
    <w:rsid w:val="7CC95A8A"/>
    <w:rsid w:val="7D1868D9"/>
    <w:rsid w:val="7D1D4835"/>
    <w:rsid w:val="7D3229F4"/>
    <w:rsid w:val="7D362B6A"/>
    <w:rsid w:val="7D73418E"/>
    <w:rsid w:val="7D7F2115"/>
    <w:rsid w:val="7D9B76DA"/>
    <w:rsid w:val="7DA17B86"/>
    <w:rsid w:val="7DF502E2"/>
    <w:rsid w:val="7DF9751C"/>
    <w:rsid w:val="7E61240B"/>
    <w:rsid w:val="7E7D275B"/>
    <w:rsid w:val="7E807A47"/>
    <w:rsid w:val="7E8E1A90"/>
    <w:rsid w:val="7EB64039"/>
    <w:rsid w:val="7F0345A3"/>
    <w:rsid w:val="7F0B7D77"/>
    <w:rsid w:val="7F424BEE"/>
    <w:rsid w:val="7F523730"/>
    <w:rsid w:val="7F60215C"/>
    <w:rsid w:val="7F657FCF"/>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2"/>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4">
    <w:name w:val="heading 2"/>
    <w:basedOn w:val="1"/>
    <w:next w:val="1"/>
    <w:link w:val="53"/>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5">
    <w:name w:val="heading 3"/>
    <w:basedOn w:val="1"/>
    <w:next w:val="1"/>
    <w:link w:val="54"/>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6">
    <w:name w:val="heading 4"/>
    <w:basedOn w:val="1"/>
    <w:next w:val="1"/>
    <w:link w:val="55"/>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7">
    <w:name w:val="heading 5"/>
    <w:basedOn w:val="1"/>
    <w:next w:val="1"/>
    <w:link w:val="56"/>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57"/>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9">
    <w:name w:val="heading 7"/>
    <w:basedOn w:val="1"/>
    <w:next w:val="1"/>
    <w:link w:val="58"/>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0">
    <w:name w:val="heading 8"/>
    <w:basedOn w:val="1"/>
    <w:next w:val="1"/>
    <w:link w:val="59"/>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1">
    <w:name w:val="heading 9"/>
    <w:basedOn w:val="1"/>
    <w:next w:val="1"/>
    <w:link w:val="60"/>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eastAsia="宋体" w:cs="Times New Roman"/>
      <w:i/>
      <w:iCs/>
      <w:sz w:val="20"/>
      <w:szCs w:val="20"/>
    </w:rPr>
  </w:style>
  <w:style w:type="paragraph" w:styleId="12">
    <w:name w:val="toc 7"/>
    <w:basedOn w:val="1"/>
    <w:next w:val="1"/>
    <w:qFormat/>
    <w:uiPriority w:val="99"/>
    <w:pPr>
      <w:ind w:left="1260"/>
      <w:jc w:val="left"/>
    </w:pPr>
    <w:rPr>
      <w:rFonts w:ascii="Calibri" w:hAnsi="Calibri" w:eastAsia="宋体" w:cs="Times New Roman"/>
      <w:sz w:val="18"/>
      <w:szCs w:val="18"/>
    </w:rPr>
  </w:style>
  <w:style w:type="paragraph" w:styleId="13">
    <w:name w:val="Normal Indent"/>
    <w:basedOn w:val="1"/>
    <w:link w:val="89"/>
    <w:qFormat/>
    <w:uiPriority w:val="0"/>
    <w:pPr>
      <w:ind w:firstLine="420"/>
    </w:pPr>
    <w:rPr>
      <w:rFonts w:eastAsia="宋体"/>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2"/>
    <w:qFormat/>
    <w:uiPriority w:val="99"/>
    <w:rPr>
      <w:rFonts w:ascii="宋体" w:eastAsia="宋体"/>
      <w:sz w:val="18"/>
      <w:szCs w:val="18"/>
    </w:rPr>
  </w:style>
  <w:style w:type="paragraph" w:styleId="16">
    <w:name w:val="annotation text"/>
    <w:basedOn w:val="1"/>
    <w:link w:val="63"/>
    <w:unhideWhenUsed/>
    <w:qFormat/>
    <w:uiPriority w:val="0"/>
    <w:pPr>
      <w:jc w:val="left"/>
    </w:pPr>
  </w:style>
  <w:style w:type="paragraph" w:styleId="17">
    <w:name w:val="Body Text"/>
    <w:basedOn w:val="1"/>
    <w:next w:val="1"/>
    <w:link w:val="64"/>
    <w:unhideWhenUsed/>
    <w:qFormat/>
    <w:uiPriority w:val="99"/>
    <w:pPr>
      <w:spacing w:after="120"/>
    </w:pPr>
  </w:style>
  <w:style w:type="paragraph" w:styleId="18">
    <w:name w:val="Body Text Indent"/>
    <w:basedOn w:val="1"/>
    <w:link w:val="65"/>
    <w:qFormat/>
    <w:uiPriority w:val="99"/>
    <w:pPr>
      <w:ind w:firstLine="600"/>
    </w:pPr>
    <w:rPr>
      <w:sz w:val="32"/>
      <w:szCs w:val="20"/>
    </w:r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Plain Text"/>
    <w:basedOn w:val="1"/>
    <w:link w:val="66"/>
    <w:qFormat/>
    <w:uiPriority w:val="99"/>
    <w:rPr>
      <w:rFonts w:ascii="宋体" w:hAnsi="Courier New" w:cs="Courier New"/>
      <w:szCs w:val="21"/>
    </w:rPr>
  </w:style>
  <w:style w:type="paragraph" w:styleId="23">
    <w:name w:val="toc 8"/>
    <w:basedOn w:val="1"/>
    <w:next w:val="1"/>
    <w:qFormat/>
    <w:uiPriority w:val="99"/>
    <w:pPr>
      <w:ind w:left="1470"/>
      <w:jc w:val="left"/>
    </w:pPr>
    <w:rPr>
      <w:rFonts w:ascii="Calibri" w:hAnsi="Calibri" w:eastAsia="宋体" w:cs="Times New Roman"/>
      <w:sz w:val="18"/>
      <w:szCs w:val="18"/>
    </w:rPr>
  </w:style>
  <w:style w:type="paragraph" w:styleId="24">
    <w:name w:val="Date"/>
    <w:basedOn w:val="1"/>
    <w:next w:val="1"/>
    <w:link w:val="67"/>
    <w:unhideWhenUsed/>
    <w:qFormat/>
    <w:uiPriority w:val="99"/>
    <w:pPr>
      <w:ind w:left="100" w:leftChars="2500"/>
    </w:pPr>
  </w:style>
  <w:style w:type="paragraph" w:styleId="25">
    <w:name w:val="Body Text Indent 2"/>
    <w:basedOn w:val="1"/>
    <w:link w:val="68"/>
    <w:qFormat/>
    <w:uiPriority w:val="99"/>
    <w:pPr>
      <w:spacing w:after="120" w:line="480" w:lineRule="auto"/>
      <w:ind w:left="420" w:leftChars="200"/>
    </w:pPr>
    <w:rPr>
      <w:rFonts w:ascii="Times New Roman" w:hAnsi="Times New Roman" w:eastAsia="宋体" w:cs="Times New Roman"/>
      <w:sz w:val="28"/>
      <w:szCs w:val="24"/>
    </w:rPr>
  </w:style>
  <w:style w:type="paragraph" w:styleId="26">
    <w:name w:val="Balloon Text"/>
    <w:basedOn w:val="1"/>
    <w:link w:val="69"/>
    <w:unhideWhenUsed/>
    <w:qFormat/>
    <w:uiPriority w:val="0"/>
    <w:rPr>
      <w:sz w:val="18"/>
      <w:szCs w:val="18"/>
    </w:rPr>
  </w:style>
  <w:style w:type="paragraph" w:styleId="27">
    <w:name w:val="footer"/>
    <w:basedOn w:val="1"/>
    <w:next w:val="28"/>
    <w:link w:val="70"/>
    <w:unhideWhenUsed/>
    <w:qFormat/>
    <w:uiPriority w:val="0"/>
    <w:pPr>
      <w:tabs>
        <w:tab w:val="center" w:pos="4153"/>
        <w:tab w:val="right" w:pos="8306"/>
      </w:tabs>
      <w:snapToGrid w:val="0"/>
      <w:jc w:val="left"/>
    </w:pPr>
    <w:rPr>
      <w:sz w:val="18"/>
      <w:szCs w:val="18"/>
    </w:rPr>
  </w:style>
  <w:style w:type="paragraph" w:customStyle="1" w:styleId="28">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29">
    <w:name w:val="header"/>
    <w:basedOn w:val="1"/>
    <w:link w:val="71"/>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99"/>
    <w:pPr>
      <w:ind w:left="630"/>
      <w:jc w:val="left"/>
    </w:pPr>
    <w:rPr>
      <w:rFonts w:ascii="Calibri" w:hAnsi="Calibri" w:eastAsia="宋体" w:cs="Times New Roman"/>
      <w:sz w:val="18"/>
      <w:szCs w:val="18"/>
    </w:rPr>
  </w:style>
  <w:style w:type="paragraph" w:styleId="32">
    <w:name w:val="toc 6"/>
    <w:basedOn w:val="1"/>
    <w:next w:val="1"/>
    <w:qFormat/>
    <w:uiPriority w:val="99"/>
    <w:pPr>
      <w:ind w:left="1050"/>
      <w:jc w:val="left"/>
    </w:pPr>
    <w:rPr>
      <w:rFonts w:ascii="Calibri" w:hAnsi="Calibri" w:eastAsia="宋体" w:cs="Times New Roman"/>
      <w:sz w:val="18"/>
      <w:szCs w:val="18"/>
    </w:rPr>
  </w:style>
  <w:style w:type="paragraph" w:styleId="33">
    <w:name w:val="Body Text Indent 3"/>
    <w:basedOn w:val="1"/>
    <w:link w:val="72"/>
    <w:qFormat/>
    <w:uiPriority w:val="99"/>
    <w:pPr>
      <w:spacing w:after="120"/>
      <w:ind w:left="420" w:leftChars="200"/>
    </w:pPr>
    <w:rPr>
      <w:rFonts w:ascii="Times New Roman" w:hAnsi="Times New Roman" w:eastAsia="宋体" w:cs="Times New Roman"/>
      <w:sz w:val="16"/>
      <w:szCs w:val="16"/>
    </w:rPr>
  </w:style>
  <w:style w:type="paragraph" w:styleId="34">
    <w:name w:val="toc 2"/>
    <w:basedOn w:val="1"/>
    <w:next w:val="1"/>
    <w:qFormat/>
    <w:uiPriority w:val="39"/>
    <w:pPr>
      <w:ind w:left="210"/>
      <w:jc w:val="left"/>
    </w:pPr>
    <w:rPr>
      <w:rFonts w:ascii="Calibri" w:hAnsi="Calibri" w:eastAsia="宋体" w:cs="Times New Roman"/>
      <w:smallCaps/>
      <w:sz w:val="20"/>
      <w:szCs w:val="20"/>
    </w:rPr>
  </w:style>
  <w:style w:type="paragraph" w:styleId="35">
    <w:name w:val="toc 9"/>
    <w:basedOn w:val="1"/>
    <w:next w:val="1"/>
    <w:qFormat/>
    <w:uiPriority w:val="99"/>
    <w:pPr>
      <w:ind w:left="1680"/>
      <w:jc w:val="left"/>
    </w:pPr>
    <w:rPr>
      <w:rFonts w:ascii="Calibri" w:hAnsi="Calibri" w:eastAsia="宋体" w:cs="Times New Roman"/>
      <w:sz w:val="18"/>
      <w:szCs w:val="18"/>
    </w:rPr>
  </w:style>
  <w:style w:type="paragraph" w:styleId="36">
    <w:name w:val="Body Text 2"/>
    <w:basedOn w:val="1"/>
    <w:link w:val="73"/>
    <w:qFormat/>
    <w:uiPriority w:val="99"/>
    <w:pPr>
      <w:spacing w:after="120" w:line="480" w:lineRule="auto"/>
    </w:pPr>
    <w:rPr>
      <w:rFonts w:ascii="Times New Roman" w:hAnsi="Times New Roman" w:eastAsia="宋体" w:cs="Times New Roman"/>
      <w:sz w:val="28"/>
      <w:szCs w:val="24"/>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4"/>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39">
    <w:name w:val="annotation subject"/>
    <w:basedOn w:val="16"/>
    <w:next w:val="16"/>
    <w:link w:val="75"/>
    <w:unhideWhenUsed/>
    <w:qFormat/>
    <w:uiPriority w:val="0"/>
    <w:rPr>
      <w:b/>
      <w:bCs/>
    </w:rPr>
  </w:style>
  <w:style w:type="paragraph" w:styleId="40">
    <w:name w:val="Body Text First Indent"/>
    <w:basedOn w:val="17"/>
    <w:link w:val="76"/>
    <w:qFormat/>
    <w:uiPriority w:val="99"/>
    <w:pPr>
      <w:tabs>
        <w:tab w:val="left" w:pos="840"/>
      </w:tabs>
      <w:ind w:firstLine="420"/>
    </w:pPr>
    <w:rPr>
      <w:rFonts w:ascii="Times New Roman" w:hAnsi="Times New Roman" w:eastAsia="宋体" w:cs="Times New Roman"/>
      <w:szCs w:val="20"/>
    </w:rPr>
  </w:style>
  <w:style w:type="table" w:styleId="42">
    <w:name w:val="Table Grid"/>
    <w:basedOn w:val="4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0"/>
    <w:rPr>
      <w:color w:val="800080" w:themeColor="followedHyperlink"/>
      <w:u w:val="single"/>
      <w14:textFill>
        <w14:solidFill>
          <w14:schemeClr w14:val="folHlink"/>
        </w14:solidFill>
      </w14:textFill>
    </w:rPr>
  </w:style>
  <w:style w:type="character" w:styleId="47">
    <w:name w:val="Hyperlink"/>
    <w:basedOn w:val="43"/>
    <w:unhideWhenUsed/>
    <w:qFormat/>
    <w:uiPriority w:val="99"/>
    <w:rPr>
      <w:color w:val="0000FF" w:themeColor="hyperlink"/>
      <w:u w:val="single"/>
      <w14:textFill>
        <w14:solidFill>
          <w14:schemeClr w14:val="hlink"/>
        </w14:solidFill>
      </w14:textFill>
    </w:rPr>
  </w:style>
  <w:style w:type="character" w:styleId="48">
    <w:name w:val="annotation reference"/>
    <w:qFormat/>
    <w:uiPriority w:val="0"/>
    <w:rPr>
      <w:sz w:val="21"/>
    </w:rPr>
  </w:style>
  <w:style w:type="paragraph" w:customStyle="1" w:styleId="49">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0">
    <w:name w:val="BodyText1I2"/>
    <w:basedOn w:val="51"/>
    <w:next w:val="1"/>
    <w:qFormat/>
    <w:uiPriority w:val="0"/>
    <w:pPr>
      <w:spacing w:after="120"/>
      <w:ind w:left="420" w:leftChars="200" w:firstLine="420" w:firstLineChars="200"/>
      <w:jc w:val="both"/>
      <w:textAlignment w:val="baseline"/>
    </w:pPr>
  </w:style>
  <w:style w:type="paragraph" w:customStyle="1" w:styleId="51">
    <w:name w:val="BodyTextIndent"/>
    <w:basedOn w:val="1"/>
    <w:qFormat/>
    <w:uiPriority w:val="0"/>
    <w:pPr>
      <w:spacing w:after="120"/>
      <w:ind w:left="420" w:leftChars="200"/>
      <w:jc w:val="both"/>
      <w:textAlignment w:val="baseline"/>
    </w:pPr>
  </w:style>
  <w:style w:type="character" w:customStyle="1" w:styleId="52">
    <w:name w:val="标题 1 字符"/>
    <w:basedOn w:val="43"/>
    <w:link w:val="3"/>
    <w:qFormat/>
    <w:uiPriority w:val="0"/>
    <w:rPr>
      <w:rFonts w:ascii="Calibri" w:hAnsi="Calibri" w:eastAsia="仿宋" w:cs="Times New Roman"/>
      <w:b/>
      <w:bCs/>
      <w:kern w:val="44"/>
      <w:sz w:val="30"/>
      <w:szCs w:val="30"/>
    </w:rPr>
  </w:style>
  <w:style w:type="character" w:customStyle="1" w:styleId="53">
    <w:name w:val="标题 2 字符1"/>
    <w:basedOn w:val="43"/>
    <w:link w:val="4"/>
    <w:qFormat/>
    <w:uiPriority w:val="0"/>
    <w:rPr>
      <w:rFonts w:ascii="Cambria" w:hAnsi="Cambria" w:eastAsia="宋体" w:cs="Times New Roman"/>
      <w:b/>
      <w:bCs/>
      <w:kern w:val="0"/>
      <w:sz w:val="28"/>
      <w:szCs w:val="28"/>
    </w:rPr>
  </w:style>
  <w:style w:type="character" w:customStyle="1" w:styleId="54">
    <w:name w:val="标题 3 字符"/>
    <w:basedOn w:val="43"/>
    <w:link w:val="5"/>
    <w:qFormat/>
    <w:uiPriority w:val="0"/>
    <w:rPr>
      <w:rFonts w:ascii="Calibri" w:hAnsi="Calibri" w:eastAsia="宋体" w:cs="Times New Roman"/>
      <w:b/>
      <w:bCs/>
      <w:kern w:val="0"/>
      <w:sz w:val="32"/>
      <w:szCs w:val="32"/>
    </w:rPr>
  </w:style>
  <w:style w:type="character" w:customStyle="1" w:styleId="55">
    <w:name w:val="标题 4 字符"/>
    <w:basedOn w:val="43"/>
    <w:link w:val="6"/>
    <w:qFormat/>
    <w:uiPriority w:val="0"/>
    <w:rPr>
      <w:rFonts w:ascii="Cambria" w:hAnsi="Cambria" w:eastAsia="宋体" w:cs="Times New Roman"/>
      <w:b/>
      <w:bCs/>
      <w:kern w:val="0"/>
      <w:sz w:val="28"/>
      <w:szCs w:val="28"/>
    </w:rPr>
  </w:style>
  <w:style w:type="character" w:customStyle="1" w:styleId="56">
    <w:name w:val="标题 5 字符"/>
    <w:basedOn w:val="43"/>
    <w:link w:val="7"/>
    <w:qFormat/>
    <w:uiPriority w:val="0"/>
    <w:rPr>
      <w:rFonts w:ascii="Times New Roman" w:hAnsi="Times New Roman" w:eastAsia="宋体" w:cs="Times New Roman"/>
      <w:b/>
      <w:bCs/>
      <w:kern w:val="0"/>
      <w:sz w:val="28"/>
      <w:szCs w:val="28"/>
    </w:rPr>
  </w:style>
  <w:style w:type="character" w:customStyle="1" w:styleId="57">
    <w:name w:val="标题 6 字符"/>
    <w:basedOn w:val="43"/>
    <w:link w:val="8"/>
    <w:qFormat/>
    <w:uiPriority w:val="0"/>
    <w:rPr>
      <w:rFonts w:ascii="Arial" w:hAnsi="Arial" w:eastAsia="黑体" w:cs="Times New Roman"/>
      <w:b/>
      <w:bCs/>
      <w:kern w:val="0"/>
      <w:sz w:val="24"/>
      <w:szCs w:val="24"/>
    </w:rPr>
  </w:style>
  <w:style w:type="character" w:customStyle="1" w:styleId="58">
    <w:name w:val="标题 7 字符"/>
    <w:basedOn w:val="43"/>
    <w:link w:val="9"/>
    <w:qFormat/>
    <w:uiPriority w:val="99"/>
    <w:rPr>
      <w:rFonts w:ascii="Times New Roman" w:hAnsi="Times New Roman" w:eastAsia="宋体" w:cs="Times New Roman"/>
      <w:b/>
      <w:bCs/>
      <w:kern w:val="0"/>
      <w:sz w:val="24"/>
      <w:szCs w:val="24"/>
    </w:rPr>
  </w:style>
  <w:style w:type="character" w:customStyle="1" w:styleId="59">
    <w:name w:val="标题 8 字符"/>
    <w:basedOn w:val="43"/>
    <w:link w:val="10"/>
    <w:qFormat/>
    <w:uiPriority w:val="99"/>
    <w:rPr>
      <w:rFonts w:ascii="Arial" w:hAnsi="Arial" w:eastAsia="黑体" w:cs="Times New Roman"/>
      <w:kern w:val="0"/>
      <w:sz w:val="24"/>
      <w:szCs w:val="24"/>
    </w:rPr>
  </w:style>
  <w:style w:type="character" w:customStyle="1" w:styleId="60">
    <w:name w:val="标题 9 字符"/>
    <w:basedOn w:val="43"/>
    <w:link w:val="11"/>
    <w:qFormat/>
    <w:uiPriority w:val="99"/>
    <w:rPr>
      <w:rFonts w:ascii="Arial" w:hAnsi="Arial" w:eastAsia="黑体" w:cs="Times New Roman"/>
      <w:kern w:val="0"/>
      <w:sz w:val="20"/>
      <w:szCs w:val="20"/>
    </w:rPr>
  </w:style>
  <w:style w:type="paragraph" w:customStyle="1" w:styleId="6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62">
    <w:name w:val="文档结构图 字符"/>
    <w:basedOn w:val="43"/>
    <w:link w:val="15"/>
    <w:qFormat/>
    <w:uiPriority w:val="99"/>
    <w:rPr>
      <w:rFonts w:ascii="宋体" w:eastAsia="宋体"/>
      <w:sz w:val="18"/>
      <w:szCs w:val="18"/>
    </w:rPr>
  </w:style>
  <w:style w:type="character" w:customStyle="1" w:styleId="63">
    <w:name w:val="批注文字 字符"/>
    <w:basedOn w:val="43"/>
    <w:link w:val="16"/>
    <w:qFormat/>
    <w:uiPriority w:val="0"/>
  </w:style>
  <w:style w:type="character" w:customStyle="1" w:styleId="64">
    <w:name w:val="正文文本 字符"/>
    <w:basedOn w:val="43"/>
    <w:link w:val="17"/>
    <w:qFormat/>
    <w:uiPriority w:val="99"/>
  </w:style>
  <w:style w:type="character" w:customStyle="1" w:styleId="65">
    <w:name w:val="正文文本缩进 字符"/>
    <w:basedOn w:val="43"/>
    <w:link w:val="18"/>
    <w:qFormat/>
    <w:uiPriority w:val="99"/>
    <w:rPr>
      <w:sz w:val="32"/>
      <w:szCs w:val="20"/>
    </w:rPr>
  </w:style>
  <w:style w:type="character" w:customStyle="1" w:styleId="66">
    <w:name w:val="纯文本 字符"/>
    <w:basedOn w:val="43"/>
    <w:link w:val="22"/>
    <w:qFormat/>
    <w:uiPriority w:val="99"/>
    <w:rPr>
      <w:rFonts w:ascii="宋体" w:hAnsi="Courier New" w:cs="Courier New"/>
      <w:szCs w:val="21"/>
    </w:rPr>
  </w:style>
  <w:style w:type="character" w:customStyle="1" w:styleId="67">
    <w:name w:val="日期 字符"/>
    <w:basedOn w:val="43"/>
    <w:link w:val="24"/>
    <w:qFormat/>
    <w:uiPriority w:val="99"/>
  </w:style>
  <w:style w:type="character" w:customStyle="1" w:styleId="68">
    <w:name w:val="正文文本缩进 2 字符"/>
    <w:basedOn w:val="43"/>
    <w:link w:val="25"/>
    <w:qFormat/>
    <w:uiPriority w:val="99"/>
    <w:rPr>
      <w:rFonts w:ascii="Times New Roman" w:hAnsi="Times New Roman" w:eastAsia="宋体" w:cs="Times New Roman"/>
      <w:sz w:val="28"/>
      <w:szCs w:val="24"/>
    </w:rPr>
  </w:style>
  <w:style w:type="character" w:customStyle="1" w:styleId="69">
    <w:name w:val="批注框文本 字符"/>
    <w:basedOn w:val="43"/>
    <w:link w:val="26"/>
    <w:qFormat/>
    <w:uiPriority w:val="0"/>
    <w:rPr>
      <w:sz w:val="18"/>
      <w:szCs w:val="18"/>
    </w:rPr>
  </w:style>
  <w:style w:type="character" w:customStyle="1" w:styleId="70">
    <w:name w:val="页脚 字符"/>
    <w:basedOn w:val="43"/>
    <w:link w:val="27"/>
    <w:qFormat/>
    <w:uiPriority w:val="0"/>
    <w:rPr>
      <w:sz w:val="18"/>
      <w:szCs w:val="18"/>
    </w:rPr>
  </w:style>
  <w:style w:type="character" w:customStyle="1" w:styleId="71">
    <w:name w:val="页眉 字符"/>
    <w:basedOn w:val="43"/>
    <w:link w:val="29"/>
    <w:qFormat/>
    <w:uiPriority w:val="0"/>
    <w:rPr>
      <w:sz w:val="18"/>
      <w:szCs w:val="18"/>
    </w:rPr>
  </w:style>
  <w:style w:type="character" w:customStyle="1" w:styleId="72">
    <w:name w:val="正文文本缩进 3 字符"/>
    <w:basedOn w:val="43"/>
    <w:link w:val="33"/>
    <w:qFormat/>
    <w:uiPriority w:val="99"/>
    <w:rPr>
      <w:rFonts w:ascii="Times New Roman" w:hAnsi="Times New Roman" w:eastAsia="宋体" w:cs="Times New Roman"/>
      <w:sz w:val="16"/>
      <w:szCs w:val="16"/>
    </w:rPr>
  </w:style>
  <w:style w:type="character" w:customStyle="1" w:styleId="73">
    <w:name w:val="正文文本 2 字符"/>
    <w:basedOn w:val="43"/>
    <w:link w:val="36"/>
    <w:qFormat/>
    <w:uiPriority w:val="99"/>
    <w:rPr>
      <w:rFonts w:ascii="Times New Roman" w:hAnsi="Times New Roman" w:eastAsia="宋体" w:cs="Times New Roman"/>
      <w:sz w:val="28"/>
      <w:szCs w:val="24"/>
    </w:rPr>
  </w:style>
  <w:style w:type="character" w:customStyle="1" w:styleId="74">
    <w:name w:val="标题 字符"/>
    <w:basedOn w:val="43"/>
    <w:link w:val="38"/>
    <w:qFormat/>
    <w:uiPriority w:val="99"/>
    <w:rPr>
      <w:rFonts w:ascii="宋体" w:hAnsi="Arial" w:eastAsia="宋体" w:cs="Arial"/>
      <w:b/>
      <w:bCs/>
      <w:kern w:val="28"/>
      <w:sz w:val="32"/>
      <w:szCs w:val="32"/>
    </w:rPr>
  </w:style>
  <w:style w:type="character" w:customStyle="1" w:styleId="75">
    <w:name w:val="批注主题 字符"/>
    <w:basedOn w:val="63"/>
    <w:link w:val="39"/>
    <w:qFormat/>
    <w:uiPriority w:val="0"/>
    <w:rPr>
      <w:b/>
      <w:bCs/>
    </w:rPr>
  </w:style>
  <w:style w:type="character" w:customStyle="1" w:styleId="76">
    <w:name w:val="正文文本首行缩进 字符"/>
    <w:basedOn w:val="64"/>
    <w:link w:val="40"/>
    <w:qFormat/>
    <w:uiPriority w:val="99"/>
    <w:rPr>
      <w:rFonts w:ascii="Times New Roman" w:hAnsi="Times New Roman" w:eastAsia="宋体" w:cs="Times New Roman"/>
      <w:szCs w:val="20"/>
    </w:rPr>
  </w:style>
  <w:style w:type="character" w:customStyle="1" w:styleId="77">
    <w:name w:val="正文文本首行缩进 2 字符"/>
    <w:basedOn w:val="65"/>
    <w:qFormat/>
    <w:uiPriority w:val="99"/>
    <w:rPr>
      <w:rFonts w:ascii="Times New Roman" w:hAnsi="Times New Roman" w:eastAsia="宋体" w:cs="Times New Roman"/>
      <w:sz w:val="32"/>
      <w:szCs w:val="24"/>
    </w:rPr>
  </w:style>
  <w:style w:type="paragraph" w:customStyle="1" w:styleId="78">
    <w:name w:val="列出段落1"/>
    <w:basedOn w:val="1"/>
    <w:qFormat/>
    <w:uiPriority w:val="0"/>
    <w:pPr>
      <w:ind w:firstLine="420" w:firstLineChars="200"/>
    </w:pPr>
  </w:style>
  <w:style w:type="paragraph" w:customStyle="1" w:styleId="79">
    <w:name w:val="_Style 3"/>
    <w:basedOn w:val="1"/>
    <w:next w:val="1"/>
    <w:qFormat/>
    <w:uiPriority w:val="99"/>
    <w:pPr>
      <w:spacing w:line="360" w:lineRule="auto"/>
      <w:ind w:firstLine="420" w:firstLineChars="200"/>
    </w:pPr>
    <w:rPr>
      <w:sz w:val="24"/>
      <w:szCs w:val="24"/>
    </w:rPr>
  </w:style>
  <w:style w:type="character" w:customStyle="1" w:styleId="80">
    <w:name w:val="font01"/>
    <w:basedOn w:val="43"/>
    <w:qFormat/>
    <w:uiPriority w:val="0"/>
    <w:rPr>
      <w:rFonts w:ascii="Helvetica" w:hAnsi="Helvetica" w:eastAsia="Helvetica" w:cs="Helvetica"/>
      <w:color w:val="000000"/>
      <w:sz w:val="16"/>
      <w:szCs w:val="16"/>
      <w:u w:val="none"/>
    </w:rPr>
  </w:style>
  <w:style w:type="character" w:customStyle="1" w:styleId="81">
    <w:name w:val="font41"/>
    <w:basedOn w:val="43"/>
    <w:qFormat/>
    <w:uiPriority w:val="0"/>
    <w:rPr>
      <w:rFonts w:hint="eastAsia" w:ascii="宋体" w:hAnsi="宋体" w:eastAsia="宋体" w:cs="宋体"/>
      <w:color w:val="000000"/>
      <w:sz w:val="16"/>
      <w:szCs w:val="16"/>
      <w:u w:val="none"/>
    </w:rPr>
  </w:style>
  <w:style w:type="character" w:customStyle="1" w:styleId="82">
    <w:name w:val="font11"/>
    <w:basedOn w:val="43"/>
    <w:qFormat/>
    <w:uiPriority w:val="0"/>
    <w:rPr>
      <w:rFonts w:hint="default" w:ascii="Times New Roman" w:hAnsi="Times New Roman" w:cs="Times New Roman"/>
      <w:color w:val="000000"/>
      <w:sz w:val="16"/>
      <w:szCs w:val="16"/>
      <w:u w:val="none"/>
    </w:rPr>
  </w:style>
  <w:style w:type="character" w:customStyle="1" w:styleId="83">
    <w:name w:val="font21"/>
    <w:basedOn w:val="43"/>
    <w:qFormat/>
    <w:uiPriority w:val="0"/>
    <w:rPr>
      <w:rFonts w:ascii="Helvetica" w:hAnsi="Helvetica" w:eastAsia="Helvetica" w:cs="Helvetica"/>
      <w:color w:val="000000"/>
      <w:sz w:val="16"/>
      <w:szCs w:val="16"/>
      <w:u w:val="none"/>
    </w:rPr>
  </w:style>
  <w:style w:type="character" w:customStyle="1" w:styleId="84">
    <w:name w:val="font51"/>
    <w:basedOn w:val="43"/>
    <w:qFormat/>
    <w:uiPriority w:val="0"/>
    <w:rPr>
      <w:rFonts w:hint="eastAsia" w:ascii="宋体" w:hAnsi="宋体" w:eastAsia="宋体" w:cs="宋体"/>
      <w:color w:val="000000"/>
      <w:sz w:val="16"/>
      <w:szCs w:val="16"/>
      <w:u w:val="none"/>
    </w:rPr>
  </w:style>
  <w:style w:type="character" w:customStyle="1" w:styleId="85">
    <w:name w:val="font31"/>
    <w:basedOn w:val="43"/>
    <w:qFormat/>
    <w:uiPriority w:val="0"/>
    <w:rPr>
      <w:rFonts w:hint="eastAsia" w:ascii="宋体" w:hAnsi="宋体" w:eastAsia="宋体" w:cs="宋体"/>
      <w:color w:val="000000"/>
      <w:sz w:val="16"/>
      <w:szCs w:val="16"/>
      <w:u w:val="none"/>
    </w:rPr>
  </w:style>
  <w:style w:type="character" w:customStyle="1" w:styleId="86">
    <w:name w:val="font61"/>
    <w:basedOn w:val="43"/>
    <w:qFormat/>
    <w:uiPriority w:val="0"/>
    <w:rPr>
      <w:rFonts w:hint="eastAsia" w:ascii="宋体" w:hAnsi="宋体" w:eastAsia="宋体" w:cs="宋体"/>
      <w:color w:val="000000"/>
      <w:sz w:val="16"/>
      <w:szCs w:val="16"/>
      <w:u w:val="none"/>
    </w:rPr>
  </w:style>
  <w:style w:type="paragraph" w:customStyle="1" w:styleId="87">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8">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89">
    <w:name w:val="正文缩进 字符"/>
    <w:link w:val="13"/>
    <w:qFormat/>
    <w:uiPriority w:val="0"/>
    <w:rPr>
      <w:rFonts w:eastAsia="宋体"/>
    </w:rPr>
  </w:style>
  <w:style w:type="character" w:customStyle="1" w:styleId="90">
    <w:name w:val="无间隔 字符"/>
    <w:link w:val="91"/>
    <w:qFormat/>
    <w:uiPriority w:val="0"/>
    <w:rPr>
      <w:rFonts w:ascii="Cambria" w:hAnsi="Cambria"/>
      <w:sz w:val="22"/>
      <w:lang w:eastAsia="en-US" w:bidi="en-US"/>
    </w:rPr>
  </w:style>
  <w:style w:type="paragraph" w:styleId="91">
    <w:name w:val="No Spacing"/>
    <w:basedOn w:val="1"/>
    <w:link w:val="90"/>
    <w:qFormat/>
    <w:uiPriority w:val="0"/>
    <w:pPr>
      <w:widowControl/>
      <w:numPr>
        <w:ilvl w:val="4"/>
        <w:numId w:val="2"/>
      </w:numPr>
      <w:ind w:left="0" w:firstLine="0"/>
      <w:jc w:val="left"/>
    </w:pPr>
    <w:rPr>
      <w:rFonts w:ascii="Cambria" w:hAnsi="Cambria"/>
      <w:sz w:val="22"/>
      <w:lang w:eastAsia="en-US" w:bidi="en-US"/>
    </w:rPr>
  </w:style>
  <w:style w:type="character" w:customStyle="1" w:styleId="92">
    <w:name w:val="样式2 Char"/>
    <w:link w:val="93"/>
    <w:qFormat/>
    <w:uiPriority w:val="0"/>
    <w:rPr>
      <w:rFonts w:ascii="宋体" w:hAnsi="宋体"/>
      <w:sz w:val="28"/>
      <w:szCs w:val="28"/>
    </w:rPr>
  </w:style>
  <w:style w:type="paragraph" w:customStyle="1" w:styleId="93">
    <w:name w:val="样式2"/>
    <w:basedOn w:val="1"/>
    <w:link w:val="92"/>
    <w:qFormat/>
    <w:uiPriority w:val="0"/>
    <w:pPr>
      <w:widowControl/>
      <w:spacing w:line="590" w:lineRule="exact"/>
      <w:ind w:firstLine="560" w:firstLineChars="200"/>
    </w:pPr>
    <w:rPr>
      <w:rFonts w:ascii="宋体" w:hAnsi="宋体"/>
      <w:sz w:val="28"/>
      <w:szCs w:val="28"/>
    </w:rPr>
  </w:style>
  <w:style w:type="character" w:customStyle="1" w:styleId="94">
    <w:name w:val="zj-122 Char"/>
    <w:link w:val="95"/>
    <w:qFormat/>
    <w:uiPriority w:val="99"/>
    <w:rPr>
      <w:rFonts w:ascii="Cambria" w:hAnsi="Cambria"/>
      <w:iCs/>
      <w:szCs w:val="21"/>
      <w:lang w:bidi="en-US"/>
    </w:rPr>
  </w:style>
  <w:style w:type="paragraph" w:customStyle="1" w:styleId="95">
    <w:name w:val="zj-122"/>
    <w:basedOn w:val="91"/>
    <w:link w:val="94"/>
    <w:qFormat/>
    <w:uiPriority w:val="99"/>
    <w:rPr>
      <w:iCs/>
      <w:sz w:val="21"/>
      <w:szCs w:val="21"/>
      <w:lang w:eastAsia="zh-CN"/>
    </w:rPr>
  </w:style>
  <w:style w:type="paragraph" w:customStyle="1" w:styleId="96">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a9"/>
    <w:basedOn w:val="43"/>
    <w:qFormat/>
    <w:uiPriority w:val="0"/>
  </w:style>
  <w:style w:type="character" w:customStyle="1" w:styleId="98">
    <w:name w:val="msonormal"/>
    <w:basedOn w:val="43"/>
    <w:qFormat/>
    <w:uiPriority w:val="0"/>
  </w:style>
  <w:style w:type="character" w:customStyle="1" w:styleId="99">
    <w:name w:val="标题 1 Char Char"/>
    <w:qFormat/>
    <w:uiPriority w:val="0"/>
    <w:rPr>
      <w:rFonts w:eastAsia="宋体"/>
      <w:b/>
      <w:spacing w:val="-2"/>
      <w:sz w:val="24"/>
      <w:lang w:val="en-US" w:eastAsia="zh-CN" w:bidi="ar-SA"/>
    </w:rPr>
  </w:style>
  <w:style w:type="character" w:customStyle="1" w:styleId="100">
    <w:name w:val="标题 2 字符"/>
    <w:qFormat/>
    <w:uiPriority w:val="0"/>
    <w:rPr>
      <w:rFonts w:ascii="Arial" w:hAnsi="Arial" w:eastAsia="黑体"/>
      <w:b/>
      <w:bCs/>
      <w:kern w:val="2"/>
      <w:sz w:val="32"/>
      <w:szCs w:val="32"/>
    </w:rPr>
  </w:style>
  <w:style w:type="character" w:customStyle="1" w:styleId="101">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2">
    <w:name w:val="text-4"/>
    <w:basedOn w:val="43"/>
    <w:qFormat/>
    <w:uiPriority w:val="0"/>
  </w:style>
  <w:style w:type="character" w:customStyle="1" w:styleId="103">
    <w:name w:val="boldtitle1"/>
    <w:qFormat/>
    <w:uiPriority w:val="0"/>
    <w:rPr>
      <w:rFonts w:hint="default" w:ascii="Arial Black" w:hAnsi="Arial Black"/>
      <w:sz w:val="36"/>
      <w:szCs w:val="36"/>
    </w:rPr>
  </w:style>
  <w:style w:type="character" w:customStyle="1" w:styleId="104">
    <w:name w:val="Body Char"/>
    <w:link w:val="105"/>
    <w:qFormat/>
    <w:uiPriority w:val="0"/>
    <w:rPr>
      <w:szCs w:val="21"/>
    </w:rPr>
  </w:style>
  <w:style w:type="paragraph" w:customStyle="1" w:styleId="105">
    <w:name w:val="Body"/>
    <w:basedOn w:val="1"/>
    <w:link w:val="104"/>
    <w:qFormat/>
    <w:uiPriority w:val="0"/>
    <w:pPr>
      <w:widowControl/>
      <w:tabs>
        <w:tab w:val="left" w:pos="9356"/>
      </w:tabs>
      <w:spacing w:before="80" w:after="80" w:line="288" w:lineRule="auto"/>
      <w:ind w:left="426" w:leftChars="213" w:right="200"/>
    </w:pPr>
    <w:rPr>
      <w:szCs w:val="21"/>
    </w:rPr>
  </w:style>
  <w:style w:type="paragraph" w:customStyle="1" w:styleId="106">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7">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8">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09">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0">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1">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2">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3">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4">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5">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6">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7">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8">
    <w:name w:val="Char Char"/>
    <w:basedOn w:val="1"/>
    <w:qFormat/>
    <w:uiPriority w:val="99"/>
    <w:rPr>
      <w:rFonts w:ascii="Tahoma" w:hAnsi="Tahoma" w:eastAsia="宋体" w:cs="Times New Roman"/>
      <w:sz w:val="24"/>
      <w:szCs w:val="20"/>
    </w:rPr>
  </w:style>
  <w:style w:type="paragraph" w:customStyle="1" w:styleId="119">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0">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1">
    <w:name w:val="Char Char Char1 Char"/>
    <w:basedOn w:val="1"/>
    <w:qFormat/>
    <w:uiPriority w:val="99"/>
    <w:rPr>
      <w:rFonts w:ascii="仿宋_GB2312" w:hAnsi="Times New Roman" w:eastAsia="仿宋_GB2312" w:cs="Times New Roman"/>
      <w:b/>
      <w:sz w:val="32"/>
      <w:szCs w:val="32"/>
    </w:rPr>
  </w:style>
  <w:style w:type="paragraph" w:customStyle="1" w:styleId="122">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3">
    <w:name w:val="List Paragraph1"/>
    <w:basedOn w:val="1"/>
    <w:qFormat/>
    <w:uiPriority w:val="99"/>
    <w:pPr>
      <w:ind w:firstLine="420" w:firstLineChars="200"/>
    </w:pPr>
    <w:rPr>
      <w:rFonts w:ascii="Calibri" w:hAnsi="Calibri" w:eastAsia="宋体" w:cs="Calibri"/>
      <w:szCs w:val="21"/>
    </w:rPr>
  </w:style>
  <w:style w:type="paragraph" w:customStyle="1" w:styleId="124">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5">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6">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8">
    <w:name w:val="Char Char Char Char"/>
    <w:basedOn w:val="15"/>
    <w:qFormat/>
    <w:uiPriority w:val="99"/>
    <w:pPr>
      <w:shd w:val="clear" w:color="auto" w:fill="000080"/>
      <w:adjustRightInd w:val="0"/>
      <w:snapToGrid w:val="0"/>
      <w:spacing w:line="360" w:lineRule="auto"/>
    </w:pPr>
    <w:rPr>
      <w:rFonts w:ascii="Tahoma" w:hAnsi="Tahoma"/>
      <w:sz w:val="24"/>
      <w:szCs w:val="24"/>
    </w:rPr>
  </w:style>
  <w:style w:type="paragraph" w:customStyle="1" w:styleId="12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0">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1">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2">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4">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5">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6">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7">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8">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39">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0">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1">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2">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3">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4">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5">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6">
    <w:name w:val="ZTE标题6"/>
    <w:basedOn w:val="144"/>
    <w:qFormat/>
    <w:uiPriority w:val="99"/>
    <w:pPr>
      <w:tabs>
        <w:tab w:val="left" w:pos="1276"/>
      </w:tabs>
      <w:spacing w:before="120"/>
      <w:ind w:left="1276" w:hanging="1276"/>
    </w:pPr>
  </w:style>
  <w:style w:type="paragraph" w:customStyle="1" w:styleId="147">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8">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49">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0">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2">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4">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5">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6">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7">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8">
    <w:name w:val="正文 3"/>
    <w:basedOn w:val="129"/>
    <w:next w:val="129"/>
    <w:qFormat/>
    <w:uiPriority w:val="99"/>
    <w:pPr>
      <w:spacing w:before="120"/>
    </w:pPr>
    <w:rPr>
      <w:rFonts w:ascii="Garamond" w:hAnsi="Garamond"/>
      <w:color w:val="auto"/>
    </w:rPr>
  </w:style>
  <w:style w:type="paragraph" w:customStyle="1" w:styleId="159">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0">
    <w:name w:val="List Paragraph"/>
    <w:basedOn w:val="1"/>
    <w:link w:val="164"/>
    <w:qFormat/>
    <w:uiPriority w:val="99"/>
    <w:pPr>
      <w:ind w:firstLine="420" w:firstLineChars="200"/>
    </w:pPr>
    <w:rPr>
      <w:rFonts w:ascii="Calibri" w:hAnsi="Calibri" w:eastAsia="宋体" w:cs="Times New Roman"/>
    </w:rPr>
  </w:style>
  <w:style w:type="paragraph" w:customStyle="1" w:styleId="161">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2">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3">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4">
    <w:name w:val="列表段落 字符"/>
    <w:link w:val="160"/>
    <w:qFormat/>
    <w:locked/>
    <w:uiPriority w:val="99"/>
    <w:rPr>
      <w:rFonts w:ascii="Calibri" w:hAnsi="Calibri" w:eastAsia="宋体" w:cs="Times New Roman"/>
    </w:rPr>
  </w:style>
  <w:style w:type="paragraph" w:customStyle="1" w:styleId="165">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6">
    <w:name w:val="font81"/>
    <w:basedOn w:val="43"/>
    <w:qFormat/>
    <w:uiPriority w:val="0"/>
    <w:rPr>
      <w:rFonts w:hint="eastAsia" w:ascii="宋体" w:hAnsi="宋体" w:eastAsia="宋体" w:cs="宋体"/>
      <w:color w:val="000000"/>
      <w:sz w:val="20"/>
      <w:szCs w:val="20"/>
      <w:u w:val="none"/>
    </w:rPr>
  </w:style>
  <w:style w:type="character" w:customStyle="1" w:styleId="167">
    <w:name w:val="font71"/>
    <w:basedOn w:val="43"/>
    <w:qFormat/>
    <w:uiPriority w:val="0"/>
    <w:rPr>
      <w:rFonts w:ascii="Arial" w:hAnsi="Arial" w:cs="Arial"/>
      <w:color w:val="000000"/>
      <w:sz w:val="24"/>
      <w:szCs w:val="24"/>
      <w:u w:val="none"/>
    </w:rPr>
  </w:style>
  <w:style w:type="character" w:customStyle="1" w:styleId="168">
    <w:name w:val="font91"/>
    <w:basedOn w:val="43"/>
    <w:qFormat/>
    <w:uiPriority w:val="0"/>
    <w:rPr>
      <w:rFonts w:hint="default" w:ascii="Arial" w:hAnsi="Arial" w:cs="Arial"/>
      <w:color w:val="000000"/>
      <w:sz w:val="24"/>
      <w:szCs w:val="24"/>
      <w:u w:val="none"/>
    </w:rPr>
  </w:style>
  <w:style w:type="character" w:customStyle="1" w:styleId="169">
    <w:name w:val="font101"/>
    <w:basedOn w:val="43"/>
    <w:qFormat/>
    <w:uiPriority w:val="0"/>
    <w:rPr>
      <w:rFonts w:hint="eastAsia" w:ascii="宋体" w:hAnsi="宋体" w:eastAsia="宋体" w:cs="宋体"/>
      <w:color w:val="000000"/>
      <w:sz w:val="24"/>
      <w:szCs w:val="24"/>
      <w:u w:val="none"/>
    </w:rPr>
  </w:style>
  <w:style w:type="character" w:customStyle="1" w:styleId="170">
    <w:name w:val="标题 1 Char1"/>
    <w:basedOn w:val="43"/>
    <w:qFormat/>
    <w:uiPriority w:val="0"/>
    <w:rPr>
      <w:rFonts w:asciiTheme="minorHAnsi" w:hAnsiTheme="minorHAnsi" w:eastAsiaTheme="minorEastAsia" w:cstheme="minorBidi"/>
      <w:b/>
      <w:bCs/>
      <w:kern w:val="44"/>
      <w:sz w:val="44"/>
      <w:szCs w:val="44"/>
    </w:rPr>
  </w:style>
  <w:style w:type="character" w:customStyle="1" w:styleId="171">
    <w:name w:val="标题 2 Char1"/>
    <w:basedOn w:val="43"/>
    <w:semiHidden/>
    <w:qFormat/>
    <w:uiPriority w:val="0"/>
    <w:rPr>
      <w:rFonts w:asciiTheme="majorHAnsi" w:hAnsiTheme="majorHAnsi" w:eastAsiaTheme="majorEastAsia" w:cstheme="majorBidi"/>
      <w:b/>
      <w:bCs/>
      <w:kern w:val="2"/>
      <w:sz w:val="32"/>
      <w:szCs w:val="32"/>
    </w:rPr>
  </w:style>
  <w:style w:type="character" w:customStyle="1" w:styleId="172">
    <w:name w:val="标题 3 Char1"/>
    <w:basedOn w:val="43"/>
    <w:semiHidden/>
    <w:qFormat/>
    <w:uiPriority w:val="0"/>
    <w:rPr>
      <w:rFonts w:asciiTheme="minorHAnsi" w:hAnsiTheme="minorHAnsi" w:eastAsiaTheme="minorEastAsia" w:cstheme="minorBidi"/>
      <w:b/>
      <w:bCs/>
      <w:kern w:val="2"/>
      <w:sz w:val="32"/>
      <w:szCs w:val="32"/>
    </w:rPr>
  </w:style>
  <w:style w:type="character" w:customStyle="1" w:styleId="173">
    <w:name w:val="标题 4 Char1"/>
    <w:basedOn w:val="43"/>
    <w:semiHidden/>
    <w:qFormat/>
    <w:uiPriority w:val="0"/>
    <w:rPr>
      <w:rFonts w:asciiTheme="majorHAnsi" w:hAnsiTheme="majorHAnsi" w:eastAsiaTheme="majorEastAsia" w:cstheme="majorBidi"/>
      <w:b/>
      <w:bCs/>
      <w:kern w:val="2"/>
      <w:sz w:val="28"/>
      <w:szCs w:val="28"/>
    </w:rPr>
  </w:style>
  <w:style w:type="character" w:customStyle="1" w:styleId="174">
    <w:name w:val="标题 5 Char1"/>
    <w:basedOn w:val="43"/>
    <w:semiHidden/>
    <w:qFormat/>
    <w:uiPriority w:val="0"/>
    <w:rPr>
      <w:rFonts w:asciiTheme="minorHAnsi" w:hAnsiTheme="minorHAnsi" w:eastAsiaTheme="minorEastAsia" w:cstheme="minorBidi"/>
      <w:b/>
      <w:bCs/>
      <w:kern w:val="2"/>
      <w:sz w:val="28"/>
      <w:szCs w:val="28"/>
    </w:rPr>
  </w:style>
  <w:style w:type="character" w:customStyle="1" w:styleId="175">
    <w:name w:val="标题 6 Char1"/>
    <w:basedOn w:val="43"/>
    <w:semiHidden/>
    <w:qFormat/>
    <w:uiPriority w:val="0"/>
    <w:rPr>
      <w:rFonts w:asciiTheme="majorHAnsi" w:hAnsiTheme="majorHAnsi" w:eastAsiaTheme="majorEastAsia" w:cstheme="majorBidi"/>
      <w:b/>
      <w:bCs/>
      <w:kern w:val="2"/>
      <w:sz w:val="24"/>
      <w:szCs w:val="24"/>
    </w:rPr>
  </w:style>
  <w:style w:type="character" w:customStyle="1" w:styleId="176">
    <w:name w:val="标题 7 Char1"/>
    <w:basedOn w:val="43"/>
    <w:semiHidden/>
    <w:qFormat/>
    <w:uiPriority w:val="0"/>
    <w:rPr>
      <w:rFonts w:asciiTheme="minorHAnsi" w:hAnsiTheme="minorHAnsi" w:eastAsiaTheme="minorEastAsia" w:cstheme="minorBidi"/>
      <w:b/>
      <w:bCs/>
      <w:kern w:val="2"/>
      <w:sz w:val="24"/>
      <w:szCs w:val="24"/>
    </w:rPr>
  </w:style>
  <w:style w:type="character" w:customStyle="1" w:styleId="177">
    <w:name w:val="标题 8 Char1"/>
    <w:basedOn w:val="43"/>
    <w:semiHidden/>
    <w:qFormat/>
    <w:uiPriority w:val="0"/>
    <w:rPr>
      <w:rFonts w:asciiTheme="majorHAnsi" w:hAnsiTheme="majorHAnsi" w:eastAsiaTheme="majorEastAsia" w:cstheme="majorBidi"/>
      <w:kern w:val="2"/>
      <w:sz w:val="24"/>
      <w:szCs w:val="24"/>
    </w:rPr>
  </w:style>
  <w:style w:type="character" w:customStyle="1" w:styleId="178">
    <w:name w:val="标题 9 Char1"/>
    <w:basedOn w:val="43"/>
    <w:semiHidden/>
    <w:qFormat/>
    <w:uiPriority w:val="0"/>
    <w:rPr>
      <w:rFonts w:asciiTheme="majorHAnsi" w:hAnsiTheme="majorHAnsi" w:eastAsiaTheme="majorEastAsia" w:cstheme="majorBidi"/>
      <w:kern w:val="2"/>
      <w:sz w:val="21"/>
      <w:szCs w:val="21"/>
    </w:rPr>
  </w:style>
  <w:style w:type="paragraph" w:customStyle="1" w:styleId="179">
    <w:name w:val="列出段落11"/>
    <w:basedOn w:val="1"/>
    <w:qFormat/>
    <w:uiPriority w:val="99"/>
    <w:pPr>
      <w:ind w:firstLine="420" w:firstLineChars="200"/>
    </w:pPr>
    <w:rPr>
      <w:rFonts w:ascii="Calibri" w:hAnsi="Calibri" w:eastAsia="宋体" w:cs="Times New Roman"/>
    </w:rPr>
  </w:style>
  <w:style w:type="paragraph" w:customStyle="1" w:styleId="180">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1">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2">
    <w:name w:val="网格型1"/>
    <w:basedOn w:val="41"/>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3">
    <w:name w:val="网格型11"/>
    <w:basedOn w:val="4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4">
    <w:name w:val="TOC 标题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列表段落1"/>
    <w:basedOn w:val="1"/>
    <w:qFormat/>
    <w:uiPriority w:val="0"/>
    <w:pPr>
      <w:ind w:firstLine="420" w:firstLineChars="200"/>
    </w:pPr>
    <w:rPr>
      <w:rFonts w:ascii="Calibri" w:hAnsi="Calibri" w:eastAsia="宋体" w:cs="Times New Roman"/>
    </w:rPr>
  </w:style>
  <w:style w:type="paragraph" w:customStyle="1" w:styleId="187">
    <w:name w:val="TOC 标题1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8">
    <w:name w:val="网格型2"/>
    <w:basedOn w:val="4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WPSOffice手动目录 1"/>
    <w:qFormat/>
    <w:uiPriority w:val="0"/>
    <w:pPr>
      <w:ind w:leftChars="0"/>
    </w:pPr>
    <w:rPr>
      <w:rFonts w:asciiTheme="minorHAnsi" w:hAnsiTheme="minorHAnsi" w:eastAsiaTheme="minorEastAsia" w:cstheme="minorBidi"/>
      <w:sz w:val="20"/>
      <w:szCs w:val="20"/>
    </w:rPr>
  </w:style>
  <w:style w:type="paragraph" w:customStyle="1" w:styleId="190">
    <w:name w:val="WPSOffice手动目录 2"/>
    <w:qFormat/>
    <w:uiPriority w:val="0"/>
    <w:pPr>
      <w:ind w:leftChars="200"/>
    </w:pPr>
    <w:rPr>
      <w:rFonts w:asciiTheme="minorHAnsi" w:hAnsiTheme="minorHAnsi" w:eastAsiaTheme="minorEastAsia" w:cstheme="minorBidi"/>
      <w:sz w:val="20"/>
      <w:szCs w:val="20"/>
    </w:rPr>
  </w:style>
  <w:style w:type="character" w:customStyle="1" w:styleId="191">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2">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3">
    <w:name w:val="179"/>
    <w:basedOn w:val="1"/>
    <w:qFormat/>
    <w:uiPriority w:val="0"/>
    <w:pPr>
      <w:spacing w:line="360" w:lineRule="auto"/>
      <w:ind w:firstLine="420" w:firstLineChars="200"/>
      <w:jc w:val="both"/>
      <w:textAlignment w:val="baseline"/>
    </w:pPr>
  </w:style>
  <w:style w:type="paragraph" w:customStyle="1" w:styleId="194">
    <w:name w:val="Heading3"/>
    <w:next w:val="195"/>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5">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6">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197">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198">
    <w:name w:val="Normal (Web)"/>
    <w:basedOn w:val="1"/>
    <w:qFormat/>
    <w:uiPriority w:val="0"/>
    <w:pPr>
      <w:widowControl/>
      <w:jc w:val="left"/>
    </w:pPr>
    <w:rPr>
      <w:rFonts w:hint="eastAsia" w:ascii="宋体" w:hAnsi="宋体" w:cs="Times New Roman"/>
      <w:kern w:val="0"/>
      <w:sz w:val="24"/>
    </w:rPr>
  </w:style>
  <w:style w:type="paragraph" w:customStyle="1" w:styleId="199">
    <w:name w:val="Other|1"/>
    <w:basedOn w:val="1"/>
    <w:qFormat/>
    <w:uiPriority w:val="0"/>
    <w:pPr>
      <w:widowControl w:val="0"/>
      <w:shd w:val="clear" w:color="auto" w:fill="auto"/>
      <w:jc w:val="center"/>
    </w:pPr>
    <w:rPr>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4423</Words>
  <Characters>25212</Characters>
  <Lines>210</Lines>
  <Paragraphs>59</Paragraphs>
  <TotalTime>109</TotalTime>
  <ScaleCrop>false</ScaleCrop>
  <LinksUpToDate>false</LinksUpToDate>
  <CharactersWithSpaces>29576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WPS_1642155775</cp:lastModifiedBy>
  <dcterms:modified xsi:type="dcterms:W3CDTF">2022-02-28T08:13:55Z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4F0AA080BA4C42F898AD8EF134B168B0</vt:lpwstr>
  </property>
</Properties>
</file>