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jc w:val="center"/>
        <w:rPr>
          <w:rFonts w:hint="eastAsia" w:ascii="仿宋_GB2312" w:eastAsia="仿宋_GB2312"/>
          <w:color w:val="000000"/>
          <w:sz w:val="32"/>
          <w:szCs w:val="32"/>
          <w:shd w:val="clear" w:color="auto" w:fill="FFFFFF"/>
        </w:rPr>
      </w:pPr>
      <w:r>
        <w:rPr>
          <w:rFonts w:hint="eastAsia" w:ascii="方正小标宋_GBK" w:hAnsi="方正小标宋_GBK" w:eastAsia="方正小标宋_GBK" w:cs="方正小标宋_GBK"/>
          <w:color w:val="000000"/>
          <w:sz w:val="44"/>
          <w:szCs w:val="44"/>
          <w:shd w:val="clear" w:color="auto" w:fill="FFFFFF"/>
        </w:rPr>
        <w:t>失效的规范性文件目录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434"/>
        <w:gridCol w:w="226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序号</w:t>
            </w:r>
          </w:p>
        </w:tc>
        <w:tc>
          <w:tcPr>
            <w:tcW w:w="6595"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文件名称</w:t>
            </w:r>
          </w:p>
        </w:tc>
        <w:tc>
          <w:tcPr>
            <w:tcW w:w="231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理由</w:t>
            </w:r>
          </w:p>
        </w:tc>
        <w:tc>
          <w:tcPr>
            <w:tcW w:w="347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71"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1</w:t>
            </w:r>
          </w:p>
        </w:tc>
        <w:tc>
          <w:tcPr>
            <w:tcW w:w="6595"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随县人民政府办公室关于印发《随县土地整治项目后期管护办法》的通知</w:t>
            </w:r>
          </w:p>
        </w:tc>
        <w:tc>
          <w:tcPr>
            <w:tcW w:w="231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超过五年有效期</w:t>
            </w:r>
          </w:p>
        </w:tc>
        <w:tc>
          <w:tcPr>
            <w:tcW w:w="347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随县政办发〔2015〕</w:t>
            </w:r>
            <w:bookmarkStart w:id="0" w:name="_GoBack"/>
            <w:bookmarkEnd w:id="0"/>
            <w:r>
              <w:rPr>
                <w:rFonts w:hint="eastAsia" w:ascii="仿宋_GB2312" w:hAnsi="仿宋_GB2312" w:eastAsia="仿宋_GB2312" w:cs="仿宋_GB2312"/>
                <w:sz w:val="28"/>
                <w:szCs w:val="28"/>
              </w:rPr>
              <w:t>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71"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2</w:t>
            </w:r>
          </w:p>
        </w:tc>
        <w:tc>
          <w:tcPr>
            <w:tcW w:w="6595"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随县人民政府办公室关于印发《随县农业产业化县级重点农头企业认定和监测管理办法》的通知</w:t>
            </w:r>
          </w:p>
        </w:tc>
        <w:tc>
          <w:tcPr>
            <w:tcW w:w="231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超过五年有效期</w:t>
            </w:r>
          </w:p>
        </w:tc>
        <w:tc>
          <w:tcPr>
            <w:tcW w:w="347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随县政办发〔2015〕39号</w:t>
            </w:r>
          </w:p>
        </w:tc>
      </w:tr>
    </w:tbl>
    <w:p>
      <w:pPr>
        <w:rPr>
          <w:rFonts w:hint="eastAsia" w:ascii="仿宋_GB2312" w:eastAsia="仿宋_GB2312"/>
          <w:color w:val="000000"/>
          <w:sz w:val="32"/>
          <w:szCs w:val="32"/>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2</w:t>
      </w:r>
    </w:p>
    <w:p>
      <w:pPr>
        <w:jc w:val="left"/>
        <w:rPr>
          <w:rFonts w:hint="eastAsia" w:ascii="黑体" w:hAnsi="黑体" w:eastAsia="黑体" w:cs="黑体"/>
          <w:color w:val="000000"/>
          <w:sz w:val="32"/>
          <w:szCs w:val="32"/>
          <w:shd w:val="clear" w:color="auto" w:fill="FFFFFF"/>
          <w:lang w:val="en-US" w:eastAsia="zh-CN"/>
        </w:rPr>
      </w:pPr>
    </w:p>
    <w:p>
      <w:pPr>
        <w:jc w:val="center"/>
        <w:rPr>
          <w:rFonts w:hint="eastAsia" w:ascii="仿宋_GB2312" w:eastAsia="仿宋_GB2312"/>
          <w:color w:val="000000"/>
          <w:sz w:val="32"/>
          <w:szCs w:val="32"/>
          <w:shd w:val="clear" w:color="auto" w:fill="FFFFFF"/>
        </w:rPr>
      </w:pPr>
      <w:r>
        <w:rPr>
          <w:rFonts w:hint="eastAsia" w:ascii="方正小标宋_GBK" w:hAnsi="方正小标宋_GBK" w:eastAsia="方正小标宋_GBK" w:cs="方正小标宋_GBK"/>
          <w:color w:val="000000"/>
          <w:sz w:val="44"/>
          <w:szCs w:val="44"/>
          <w:shd w:val="clear" w:color="auto" w:fill="FFFFFF"/>
        </w:rPr>
        <w:t>拟修改的规范性文件目录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56"/>
        <w:gridCol w:w="1707"/>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序号</w:t>
            </w:r>
          </w:p>
        </w:tc>
        <w:tc>
          <w:tcPr>
            <w:tcW w:w="7135"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文件名称</w:t>
            </w:r>
          </w:p>
        </w:tc>
        <w:tc>
          <w:tcPr>
            <w:tcW w:w="174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理由</w:t>
            </w:r>
          </w:p>
        </w:tc>
        <w:tc>
          <w:tcPr>
            <w:tcW w:w="3500"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1</w:t>
            </w:r>
          </w:p>
        </w:tc>
        <w:tc>
          <w:tcPr>
            <w:tcW w:w="7135"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随县人民政府办公室关于印发随县税费征收保障实施办法的通知</w:t>
            </w:r>
          </w:p>
        </w:tc>
        <w:tc>
          <w:tcPr>
            <w:tcW w:w="174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内容需调整</w:t>
            </w:r>
          </w:p>
        </w:tc>
        <w:tc>
          <w:tcPr>
            <w:tcW w:w="3500" w:type="dxa"/>
            <w:noWrap w:val="0"/>
            <w:vAlign w:val="center"/>
          </w:tcPr>
          <w:p>
            <w:pPr>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随县政办发〔2018〕36号</w:t>
            </w:r>
          </w:p>
        </w:tc>
      </w:tr>
    </w:tbl>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center"/>
        <w:rPr>
          <w:rFonts w:hint="eastAsia" w:ascii="仿宋_GB2312" w:eastAsia="仿宋_GB2312"/>
          <w:color w:val="000000"/>
          <w:sz w:val="44"/>
          <w:szCs w:val="44"/>
          <w:shd w:val="clear" w:color="auto" w:fill="FFFFFF"/>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黑体" w:hAnsi="黑体" w:eastAsia="黑体" w:cs="黑体"/>
          <w:color w:val="000000"/>
          <w:sz w:val="32"/>
          <w:szCs w:val="32"/>
          <w:shd w:val="clear" w:color="auto" w:fill="FFFFFF"/>
          <w:lang w:eastAsia="zh-CN"/>
        </w:rPr>
      </w:pPr>
    </w:p>
    <w:p>
      <w:pPr>
        <w:jc w:val="left"/>
        <w:rPr>
          <w:rFonts w:hint="eastAsia" w:ascii="仿宋_GB2312" w:eastAsia="仿宋_GB2312"/>
          <w:color w:val="000000"/>
          <w:sz w:val="44"/>
          <w:szCs w:val="44"/>
          <w:shd w:val="clear" w:color="auto" w:fill="FFFFFF"/>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3</w:t>
      </w:r>
    </w:p>
    <w:p>
      <w:pPr>
        <w:jc w:val="center"/>
        <w:rPr>
          <w:rFonts w:hint="eastAsia" w:ascii="仿宋_GB2312" w:eastAsia="仿宋_GB2312"/>
          <w:color w:val="000000"/>
          <w:sz w:val="32"/>
          <w:szCs w:val="32"/>
          <w:shd w:val="clear" w:color="auto" w:fill="FFFFFF"/>
        </w:rPr>
      </w:pPr>
      <w:r>
        <w:rPr>
          <w:rFonts w:hint="eastAsia" w:ascii="方正小标宋_GBK" w:hAnsi="方正小标宋_GBK" w:eastAsia="方正小标宋_GBK" w:cs="方正小标宋_GBK"/>
          <w:color w:val="000000"/>
          <w:sz w:val="44"/>
          <w:szCs w:val="44"/>
          <w:shd w:val="clear" w:color="auto" w:fill="FFFFFF"/>
        </w:rPr>
        <w:t>继续有效的规范性文件目录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618"/>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序号</w:t>
            </w:r>
          </w:p>
        </w:tc>
        <w:tc>
          <w:tcPr>
            <w:tcW w:w="8829"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文件名称</w:t>
            </w:r>
          </w:p>
        </w:tc>
        <w:tc>
          <w:tcPr>
            <w:tcW w:w="3545" w:type="dxa"/>
            <w:noWrap w:val="0"/>
            <w:vAlign w:val="center"/>
          </w:tcPr>
          <w:p>
            <w:pPr>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1</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随县人民政府办公室关于印发《随县城乡居民基本养老保险实施办法》的通知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随县政办发〔2015〕57号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随县人民政府办公室关于印发《随县封江口国家湿地公园管理办法》的通知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随县政办发〔2016〕32号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随县人民政府办公室关于印发《随县县级行政权力清单和责任清单动态调整管理办法》的通知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随县政办发〔2016〕61号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随县人民政府办公室关于印发随县县级储备粮管理办法的通知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随县人民政府办公室关于印发随县政府投资审计实施细则的通知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随县人民政府办公室关于印发随县政府投资项目管理办法的通知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随县人民政府办公室关于印发随县自然灾害救助应急预案的通知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随县人民政府办公室关于印发调整随县行政审批事项目录的通知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随县人民政府办公室关于印发随县重大林业有害生物灾害应急预案的通知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随县人民政府办公室关于公布随县乡镇政府权责清单的通知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随县人民政府办公室关于印发随县食品安全突发事件应急预案的通知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jc w:val="center"/>
              <w:rPr>
                <w:rFonts w:hint="eastAsia" w:ascii="仿宋_GB2312" w:eastAsia="仿宋_GB2312"/>
                <w:sz w:val="28"/>
                <w:szCs w:val="28"/>
              </w:rPr>
            </w:pPr>
            <w:r>
              <w:rPr>
                <w:rFonts w:hint="eastAsia" w:ascii="黑体" w:hAnsi="黑体" w:eastAsia="黑体" w:cs="黑体"/>
                <w:color w:val="000000"/>
                <w:sz w:val="28"/>
                <w:szCs w:val="28"/>
                <w:shd w:val="clear" w:color="auto" w:fill="FFFFFF"/>
              </w:rPr>
              <w:t>序号</w:t>
            </w:r>
          </w:p>
        </w:tc>
        <w:tc>
          <w:tcPr>
            <w:tcW w:w="8829" w:type="dxa"/>
            <w:noWrap w:val="0"/>
            <w:vAlign w:val="center"/>
          </w:tcPr>
          <w:p>
            <w:pPr>
              <w:jc w:val="center"/>
              <w:rPr>
                <w:rFonts w:hint="eastAsia" w:ascii="仿宋_GB2312" w:eastAsia="仿宋_GB2312"/>
                <w:sz w:val="28"/>
                <w:szCs w:val="28"/>
              </w:rPr>
            </w:pPr>
            <w:r>
              <w:rPr>
                <w:rFonts w:hint="eastAsia" w:ascii="黑体" w:hAnsi="黑体" w:eastAsia="黑体" w:cs="黑体"/>
                <w:color w:val="000000"/>
                <w:sz w:val="28"/>
                <w:szCs w:val="28"/>
                <w:shd w:val="clear" w:color="auto" w:fill="FFFFFF"/>
              </w:rPr>
              <w:t>文件名称</w:t>
            </w:r>
          </w:p>
        </w:tc>
        <w:tc>
          <w:tcPr>
            <w:tcW w:w="3545" w:type="dxa"/>
            <w:noWrap w:val="0"/>
            <w:vAlign w:val="center"/>
          </w:tcPr>
          <w:p>
            <w:pPr>
              <w:jc w:val="center"/>
              <w:rPr>
                <w:rFonts w:hint="eastAsia" w:ascii="仿宋_GB2312" w:eastAsia="仿宋_GB2312"/>
                <w:sz w:val="28"/>
                <w:szCs w:val="28"/>
              </w:rPr>
            </w:pPr>
            <w:r>
              <w:rPr>
                <w:rFonts w:hint="eastAsia" w:ascii="黑体" w:hAnsi="黑体" w:eastAsia="黑体" w:cs="黑体"/>
                <w:color w:val="000000"/>
                <w:sz w:val="28"/>
                <w:szCs w:val="28"/>
                <w:shd w:val="clear" w:color="auto"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随县人民政府办公室关于印发《随县优抚对象医疗保障“一站式”结算实施办法》的通知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随县政办发〔2017〕59号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随县人民政府办公室关于印发《随县土地收购储备供应管理办法》的通知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随县人民政府办公室关于印发《随县乡村振兴财政专项资金统筹实施办法》的通知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随县政办发〔2018〕50号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随县人民政府办公室关于印发《随县农村民居建设管理办法（试行）》的通知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随县人民政府办公室关于印发《随县“闲置农房盘活行动”奖补办法（试行）》的通知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随县人民政府办公室关于印发随县惠民惠农财政补贴资金“一卡通”发放管理实施细则的通知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随县人民政府办公室关于印发《随县城区禁止燃放烟花爆竹实施方案》的通知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随县人民政府办公室关于随县落实到龄离岗乡村医生生活补助实施方案的通知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随县政办发〔201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88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随县人民政府关于印发《随县县城规划区个人自建住宅危房改造管理办法》的通知</w:t>
            </w:r>
          </w:p>
        </w:tc>
        <w:tc>
          <w:tcPr>
            <w:tcW w:w="3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随县政发〔20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〕1号</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417" w:right="1440" w:bottom="1417" w:left="255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E17F7"/>
    <w:rsid w:val="00BB7B37"/>
    <w:rsid w:val="0FA1043E"/>
    <w:rsid w:val="199E373A"/>
    <w:rsid w:val="3F2061FC"/>
    <w:rsid w:val="53F912F4"/>
    <w:rsid w:val="5E257379"/>
    <w:rsid w:val="5EC32556"/>
    <w:rsid w:val="61FE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2020-08-26T02:34:00Z</dcterms:created>
  <dc:creator>青涩不及当初</dc:creator>
  <cp:lastModifiedBy>青涩不及当初</cp:lastModifiedBy>
  <cp:lastPrinted>2020-09-16T08:00:33Z</cp:lastPrinted>
  <dcterms:modified xsi:type="dcterms:W3CDTF">2020-09-16T08:19:19Z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