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bookmarkStart w:id="0" w:name="_GoBack"/>
      <w:bookmarkEnd w:id="0"/>
      <w:r>
        <w:rPr>
          <w:rFonts w:hint="eastAsia" w:ascii="黑体" w:hAnsi="黑体" w:eastAsia="黑体" w:cs="黑体"/>
          <w:b w:val="0"/>
          <w:bCs/>
          <w:i w:val="0"/>
          <w:color w:val="000000"/>
          <w:kern w:val="0"/>
          <w:sz w:val="32"/>
          <w:szCs w:val="32"/>
          <w:u w:val="none"/>
          <w:lang w:val="en-US" w:eastAsia="zh-CN" w:bidi="ar"/>
        </w:rPr>
        <w:t>附件</w:t>
      </w:r>
    </w:p>
    <w:tbl>
      <w:tblPr>
        <w:tblStyle w:val="4"/>
        <w:tblW w:w="14216" w:type="dxa"/>
        <w:jc w:val="center"/>
        <w:shd w:val="clear" w:color="auto" w:fill="auto"/>
        <w:tblLayout w:type="autofit"/>
        <w:tblCellMar>
          <w:top w:w="0" w:type="dxa"/>
          <w:left w:w="0" w:type="dxa"/>
          <w:bottom w:w="0" w:type="dxa"/>
          <w:right w:w="0" w:type="dxa"/>
        </w:tblCellMar>
      </w:tblPr>
      <w:tblGrid>
        <w:gridCol w:w="525"/>
        <w:gridCol w:w="1830"/>
        <w:gridCol w:w="1440"/>
        <w:gridCol w:w="1815"/>
        <w:gridCol w:w="1349"/>
        <w:gridCol w:w="1410"/>
        <w:gridCol w:w="857"/>
        <w:gridCol w:w="632"/>
        <w:gridCol w:w="929"/>
        <w:gridCol w:w="819"/>
        <w:gridCol w:w="2610"/>
      </w:tblGrid>
      <w:tr>
        <w:tblPrEx>
          <w:shd w:val="clear" w:color="auto" w:fill="auto"/>
          <w:tblCellMar>
            <w:top w:w="0" w:type="dxa"/>
            <w:left w:w="0" w:type="dxa"/>
            <w:bottom w:w="0" w:type="dxa"/>
            <w:right w:w="0" w:type="dxa"/>
          </w:tblCellMar>
        </w:tblPrEx>
        <w:trPr>
          <w:trHeight w:val="690" w:hRule="atLeast"/>
          <w:jc w:val="center"/>
        </w:trPr>
        <w:tc>
          <w:tcPr>
            <w:tcW w:w="1421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_GBK" w:hAnsi="方正小标宋_GBK" w:eastAsia="方正小标宋_GBK" w:cs="方正小标宋_GBK"/>
                <w:b w:val="0"/>
                <w:bCs/>
                <w:i w:val="0"/>
                <w:color w:val="000000"/>
                <w:kern w:val="0"/>
                <w:sz w:val="40"/>
                <w:szCs w:val="40"/>
                <w:u w:val="none"/>
                <w:lang w:val="en-US" w:eastAsia="zh-CN" w:bidi="ar"/>
              </w:rPr>
              <w:t>随县市场监管领域2021年度部门联合“双随机、一公开”抽查工作计划表</w:t>
            </w:r>
          </w:p>
        </w:tc>
      </w:tr>
      <w:tr>
        <w:tblPrEx>
          <w:shd w:val="clear" w:color="auto" w:fill="auto"/>
          <w:tblCellMar>
            <w:top w:w="0" w:type="dxa"/>
            <w:left w:w="0" w:type="dxa"/>
            <w:bottom w:w="0" w:type="dxa"/>
            <w:right w:w="0" w:type="dxa"/>
          </w:tblCellMar>
        </w:tblPrEx>
        <w:trPr>
          <w:trHeight w:val="71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对燃气经营企业安全生产的检查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城镇燃气经营企业（市场主体）</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对燃气经营企业安全生产的检查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县住建局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县市场监管局、县交通运输局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现场检查、书面检查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《湖北省燃气管理条例》</w:t>
            </w:r>
          </w:p>
        </w:tc>
      </w:tr>
      <w:tr>
        <w:tblPrEx>
          <w:shd w:val="clear" w:color="auto" w:fill="auto"/>
          <w:tblCellMar>
            <w:top w:w="0" w:type="dxa"/>
            <w:left w:w="0" w:type="dxa"/>
            <w:bottom w:w="0" w:type="dxa"/>
            <w:right w:w="0" w:type="dxa"/>
          </w:tblCellMar>
        </w:tblPrEx>
        <w:trPr>
          <w:trHeight w:val="10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随县2021年工业企业安全生产情况双随机联合抽查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各类工业企业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工业企业取得安全生产许可证情况的检查、工业企业安全生产有关制度设置落实等情况的检查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县应急管理局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县市场监管局、县卫健局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《安全生产法》</w:t>
            </w:r>
          </w:p>
        </w:tc>
      </w:tr>
      <w:tr>
        <w:tblPrEx>
          <w:shd w:val="clear" w:color="auto" w:fill="auto"/>
          <w:tblCellMar>
            <w:top w:w="0" w:type="dxa"/>
            <w:left w:w="0" w:type="dxa"/>
            <w:bottom w:w="0" w:type="dxa"/>
            <w:right w:w="0" w:type="dxa"/>
          </w:tblCellMar>
        </w:tblPrEx>
        <w:trPr>
          <w:trHeight w:val="24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随县2021年文化旅游市场双随机联合抽查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网吧、KTV、书店、星级饭店</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文化旅游场所检查</w:t>
            </w:r>
          </w:p>
        </w:tc>
        <w:tc>
          <w:tcPr>
            <w:tcW w:w="13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县文化和旅游局</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县公安局、</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县市场监管局、</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县卫健局、</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县消防大队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6月、</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11月</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《娱乐场所管理条例》《娱乐场所管理办法》《互联网上网服务营业场所管理条例》《文化部 工商总局 公安部 工业和信息化部关于加强执法监督 完善管理政策 促进互联网上网服务行业健康有序发展的通知》《著作权法》《出版管理条例》</w:t>
            </w:r>
          </w:p>
        </w:tc>
      </w:tr>
      <w:tr>
        <w:tblPrEx>
          <w:shd w:val="clear" w:color="auto" w:fill="auto"/>
          <w:tblCellMar>
            <w:top w:w="0" w:type="dxa"/>
            <w:left w:w="0" w:type="dxa"/>
            <w:bottom w:w="0" w:type="dxa"/>
            <w:right w:w="0" w:type="dxa"/>
          </w:tblCellMar>
        </w:tblPrEx>
        <w:trPr>
          <w:trHeight w:val="12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对餐饮具集中消毒服务单位监督检查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餐饮具集中消毒服务单位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抽查餐具、饮具集中消毒服务单位依法生产情况，抽查餐具、饮具卫生质量</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县卫健局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县卫健局、</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《传染病防治法》第二十九条、第五十三条；《消毒管理办法》第三十六条；《消毒产品卫生监督工作规范》</w:t>
            </w:r>
          </w:p>
        </w:tc>
      </w:tr>
      <w:tr>
        <w:tblPrEx>
          <w:shd w:val="clear" w:color="auto" w:fill="auto"/>
          <w:tblCellMar>
            <w:top w:w="0" w:type="dxa"/>
            <w:left w:w="0" w:type="dxa"/>
            <w:bottom w:w="0" w:type="dxa"/>
            <w:right w:w="0"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12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随县2021年统计法执行情况双随机联合抽查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统计调查对象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统计调查对象依法设置原始记录、统计台账以及统计数据质量情况检查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县统计局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县科经局（商务局）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8—10月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《中华人民共和国统计法》</w:t>
            </w:r>
          </w:p>
        </w:tc>
      </w:tr>
      <w:tr>
        <w:tblPrEx>
          <w:shd w:val="clear" w:color="auto" w:fill="auto"/>
          <w:tblCellMar>
            <w:top w:w="0" w:type="dxa"/>
            <w:left w:w="0" w:type="dxa"/>
            <w:bottom w:w="0" w:type="dxa"/>
            <w:right w:w="0" w:type="dxa"/>
          </w:tblCellMar>
        </w:tblPrEx>
        <w:trPr>
          <w:trHeight w:val="12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随县2021年常压液体危险货物罐车产品质量监督检查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常压液体危险货物罐车产品生产取证企业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常压液体危险货物罐车产品生产条件和产品质量</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现场监督检查、现场抽样检验</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《中华人民共和国工业产品生产许可证管理条例》《中华人民共和国产品质量法》《产品质量监督抽查管理暂行</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办法》</w:t>
            </w:r>
          </w:p>
        </w:tc>
      </w:tr>
      <w:tr>
        <w:tblPrEx>
          <w:shd w:val="clear" w:color="auto" w:fill="auto"/>
          <w:tblCellMar>
            <w:top w:w="0" w:type="dxa"/>
            <w:left w:w="0" w:type="dxa"/>
            <w:bottom w:w="0" w:type="dxa"/>
            <w:right w:w="0" w:type="dxa"/>
          </w:tblCellMar>
        </w:tblPrEx>
        <w:trPr>
          <w:trHeight w:val="89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随县专用车等七大类（车用油品）产品质量监督抽查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车用油生产、销售企业（加油站）</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重点区域车用油品质量抽查监测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县公安局、县生态环境分局、县科经局（商务局）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一般抽查事项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《产品质量监督抽查管理暂行办法（18号令）》《抽查实施细则》</w:t>
            </w:r>
          </w:p>
        </w:tc>
      </w:tr>
      <w:tr>
        <w:tblPrEx>
          <w:shd w:val="clear" w:color="auto" w:fill="auto"/>
          <w:tblCellMar>
            <w:top w:w="0" w:type="dxa"/>
            <w:left w:w="0" w:type="dxa"/>
            <w:bottom w:w="0" w:type="dxa"/>
            <w:right w:w="0" w:type="dxa"/>
          </w:tblCellMar>
        </w:tblPrEx>
        <w:trPr>
          <w:trHeight w:val="26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2021年城镇污水处理设施双随机联合抽查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乡镇污水处理厂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乡镇污水处理设施污染防治情况的检查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县生态环境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县住建局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《城镇排水与污水处理条例》第三十四条 县级以上地方人民政府环境保护主管部门应当依法对城镇污水处理设施的出水水质和水量进行监督检查。城镇排水主管部门应当对城镇污水处理设施运营情况进行监督和考核，并将监督考核情况向社会公布。</w:t>
            </w:r>
          </w:p>
        </w:tc>
      </w:tr>
      <w:tr>
        <w:tblPrEx>
          <w:shd w:val="clear" w:color="auto" w:fill="auto"/>
          <w:tblCellMar>
            <w:top w:w="0" w:type="dxa"/>
            <w:left w:w="0" w:type="dxa"/>
            <w:bottom w:w="0" w:type="dxa"/>
            <w:right w:w="0" w:type="dxa"/>
          </w:tblCellMar>
        </w:tblPrEx>
        <w:trPr>
          <w:trHeight w:val="15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2021年度对各类用人单位（与劳动者建立劳动关系）遵守工资支付、参保缴费等规定情况的检查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各类用人单位、人力资源服务机构、建筑施工项目（与劳动者建立劳动关系）</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对各类用人单位（与劳动者建立劳动关系）遵守工资支付、参保缴费等规定情况的检查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县人社局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                县住建局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现场检查书面检查网络检查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《劳动法》《劳动合同法》《社会保险法》《就业促进法》《禁止使用童工规定》《劳动保障监察条例》《保障农民工工资支付条例》等</w:t>
            </w:r>
          </w:p>
        </w:tc>
      </w:tr>
      <w:tr>
        <w:tblPrEx>
          <w:shd w:val="clear" w:color="auto" w:fill="auto"/>
          <w:tblCellMar>
            <w:top w:w="0" w:type="dxa"/>
            <w:left w:w="0" w:type="dxa"/>
            <w:bottom w:w="0" w:type="dxa"/>
            <w:right w:w="0"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3994"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随县2021年度清理整顿人力资源市场秩序专项行动双随机</w:t>
            </w:r>
          </w:p>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人力资源服务机构、劳务派遣机构、劳务派遣用工单位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对人力资源服务机构、劳务派遣机构及用工单位的检查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县人社局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县市场监管局、     </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就业促进法》《人力资源市场暂行条例》《就业服务与就业管理规定》《人才市场管理规定》《中外合资人才中介机构管理暂行规定》《湖北省就业促进条例》《湖北省劳动和社会保障监察条例》《湖北省劳动力市场管理条例》《湖北省人才市场管理条例》《劳动合同法》《劳务派遣行政许可实施办法》《劳动保障监察</w:t>
            </w:r>
          </w:p>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条例》</w:t>
            </w:r>
          </w:p>
        </w:tc>
      </w:tr>
      <w:tr>
        <w:tblPrEx>
          <w:shd w:val="clear" w:color="auto" w:fill="auto"/>
          <w:tblCellMar>
            <w:top w:w="0" w:type="dxa"/>
            <w:left w:w="0" w:type="dxa"/>
            <w:bottom w:w="0" w:type="dxa"/>
            <w:right w:w="0" w:type="dxa"/>
          </w:tblCellMar>
        </w:tblPrEx>
        <w:trPr>
          <w:trHeight w:val="16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农药监督检查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农药生产经营者</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农药监督检查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县农业农村局(县农业综合执法大队、县种子管理局联合</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《农药管理条例》</w:t>
            </w:r>
          </w:p>
        </w:tc>
      </w:tr>
      <w:tr>
        <w:tblPrEx>
          <w:shd w:val="clear" w:color="auto" w:fill="auto"/>
          <w:tblCellMar>
            <w:top w:w="0" w:type="dxa"/>
            <w:left w:w="0" w:type="dxa"/>
            <w:bottom w:w="0" w:type="dxa"/>
            <w:right w:w="0" w:type="dxa"/>
          </w:tblCellMar>
        </w:tblPrEx>
        <w:trPr>
          <w:trHeight w:val="16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种子监督检查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种子生产经营者</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种子监督检查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县农业农村局(县农业综合执法大队、县种子管理局联合</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《中华人民共和国种子法》《中华人民共和国植物新品种保护条例》《非主要农作物品种登记办法》《农作物种质资源管理办法》</w:t>
            </w:r>
          </w:p>
        </w:tc>
      </w:tr>
      <w:tr>
        <w:tblPrEx>
          <w:shd w:val="clear" w:color="auto" w:fill="auto"/>
          <w:tblCellMar>
            <w:top w:w="0" w:type="dxa"/>
            <w:left w:w="0" w:type="dxa"/>
            <w:bottom w:w="0" w:type="dxa"/>
            <w:right w:w="0" w:type="dxa"/>
          </w:tblCellMar>
        </w:tblPrEx>
        <w:trPr>
          <w:trHeight w:val="8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156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肥料监督检查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化肥生产经营者</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肥料监督检查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县农业农村局(县农业综合执法大队、县植物保护站联合</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《肥料登记管理办法》</w:t>
            </w:r>
          </w:p>
        </w:tc>
      </w:tr>
      <w:tr>
        <w:tblPrEx>
          <w:shd w:val="clear" w:color="auto" w:fill="auto"/>
          <w:tblCellMar>
            <w:top w:w="0" w:type="dxa"/>
            <w:left w:w="0" w:type="dxa"/>
            <w:bottom w:w="0" w:type="dxa"/>
            <w:right w:w="0" w:type="dxa"/>
          </w:tblCellMar>
        </w:tblPrEx>
        <w:trPr>
          <w:trHeight w:val="16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兽药监督检查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兽药生产经营企业、使用单位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兽药监督检查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县农业农村局(县农业综合执法大队、县动物卫生监督所联合检查）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《兽药管理条例》</w:t>
            </w:r>
          </w:p>
        </w:tc>
      </w:tr>
      <w:tr>
        <w:tblPrEx>
          <w:shd w:val="clear" w:color="auto" w:fill="auto"/>
          <w:tblCellMar>
            <w:top w:w="0" w:type="dxa"/>
            <w:left w:w="0" w:type="dxa"/>
            <w:bottom w:w="0" w:type="dxa"/>
            <w:right w:w="0" w:type="dxa"/>
          </w:tblCellMar>
        </w:tblPrEx>
        <w:trPr>
          <w:trHeight w:val="14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饲料、饲料添加剂监督检查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饲料、饲料添加剂生产经营企业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饲料、饲料添加剂监督检查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县农业农村局(县农业综合执法大队、县动物卫生监督所联合检查）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《饲料和饲料添加剂管理条例》</w:t>
            </w:r>
          </w:p>
        </w:tc>
      </w:tr>
      <w:tr>
        <w:tblPrEx>
          <w:shd w:val="clear" w:color="auto" w:fill="auto"/>
          <w:tblCellMar>
            <w:top w:w="0" w:type="dxa"/>
            <w:left w:w="0" w:type="dxa"/>
            <w:bottom w:w="0" w:type="dxa"/>
            <w:right w:w="0" w:type="dxa"/>
          </w:tblCellMar>
        </w:tblPrEx>
        <w:trPr>
          <w:trHeight w:val="96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学校招生、办学、收费等情况双随机联合抽查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学科类培训机构</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学校招生、办学、收费等情况的抽查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县教育局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县市场监管局、县消防大队</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《随州市文化教育类民办校外培训机构设置标准（试行）》《随州市校外培训机构设置标准（试行）》</w:t>
            </w:r>
          </w:p>
        </w:tc>
      </w:tr>
      <w:tr>
        <w:tblPrEx>
          <w:shd w:val="clear" w:color="auto" w:fill="auto"/>
          <w:tblCellMar>
            <w:top w:w="0" w:type="dxa"/>
            <w:left w:w="0" w:type="dxa"/>
            <w:bottom w:w="0" w:type="dxa"/>
            <w:right w:w="0" w:type="dxa"/>
          </w:tblCellMar>
        </w:tblPrEx>
        <w:trPr>
          <w:trHeight w:val="7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随县2021年校车安全双随机联合抽查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提供校车服务的幼儿园及校车公司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学校校车安全管理台账，校车设施设备及校车标牌检查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县教育局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县公安局、</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《湖北省校车管理办法》</w:t>
            </w:r>
          </w:p>
        </w:tc>
      </w:tr>
      <w:tr>
        <w:tblPrEx>
          <w:shd w:val="clear" w:color="auto" w:fill="auto"/>
          <w:tblCellMar>
            <w:top w:w="0" w:type="dxa"/>
            <w:left w:w="0" w:type="dxa"/>
            <w:bottom w:w="0" w:type="dxa"/>
            <w:right w:w="0" w:type="dxa"/>
          </w:tblCellMar>
        </w:tblPrEx>
        <w:trPr>
          <w:trHeight w:val="80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随县2021年学校食品安全双随机联合抽查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中小学、幼儿园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学校校内的食堂、超市食品安全</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县教育局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县市场监管局、县卫健局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《学校食品安全与营养健康管理规定》</w:t>
            </w:r>
          </w:p>
        </w:tc>
      </w:tr>
      <w:tr>
        <w:tblPrEx>
          <w:shd w:val="clear" w:color="auto" w:fill="auto"/>
          <w:tblCellMar>
            <w:top w:w="0" w:type="dxa"/>
            <w:left w:w="0" w:type="dxa"/>
            <w:bottom w:w="0" w:type="dxa"/>
            <w:right w:w="0" w:type="dxa"/>
          </w:tblCellMar>
        </w:tblPrEx>
        <w:trPr>
          <w:trHeight w:val="7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58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随县2021年爆破作业单位双随机联合抽查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全县范围的爆破作业单位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1.爆破作业现场爆破作业单位、爆破作业人员和民用爆炸物品的品种、数量、来源与公安机关许可信息是否一致，民用爆炸物品临时存放是否由专人管理看护；</w:t>
            </w:r>
          </w:p>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2.民用爆炸物品储存库技防、人防、物防、犬防等治安防范措施落实情况；</w:t>
            </w:r>
          </w:p>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3.民用爆炸物品流向信息的查验、登记、备案、信息采集和报送情况；</w:t>
            </w:r>
          </w:p>
          <w:p>
            <w:pPr>
              <w:keepNext w:val="0"/>
              <w:keepLines w:val="0"/>
              <w:widowControl/>
              <w:numPr>
                <w:ilvl w:val="0"/>
                <w:numId w:val="0"/>
              </w:numPr>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4.实有民用爆炸物品的品种、数量、来源、登记标识与台账结存信息是否一致；5.使用的民用爆炸物品警示、登记标识质量是否可靠、信息是否准确。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县自然资源和规划局、县应急管理局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半年</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《民用爆炸物品安全管理条例》</w:t>
            </w:r>
          </w:p>
        </w:tc>
      </w:tr>
      <w:tr>
        <w:tblPrEx>
          <w:shd w:val="clear" w:color="auto" w:fill="auto"/>
          <w:tblCellMar>
            <w:top w:w="0" w:type="dxa"/>
            <w:left w:w="0" w:type="dxa"/>
            <w:bottom w:w="0" w:type="dxa"/>
            <w:right w:w="0" w:type="dxa"/>
          </w:tblCellMar>
        </w:tblPrEx>
        <w:trPr>
          <w:trHeight w:val="7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15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民用枪支经营使用单位抽查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民枪配售中心、射击竞技体育运动中心、狩猎场、护秋队等民枪从业单位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配置使用单位使用枪支情况的检查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县文化和旅游局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每季度一次</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《中华人民共和国枪支管理法》</w:t>
            </w:r>
          </w:p>
        </w:tc>
      </w:tr>
      <w:tr>
        <w:tblPrEx>
          <w:shd w:val="clear" w:color="auto" w:fill="auto"/>
          <w:tblCellMar>
            <w:top w:w="0" w:type="dxa"/>
            <w:left w:w="0" w:type="dxa"/>
            <w:bottom w:w="0" w:type="dxa"/>
            <w:right w:w="0" w:type="dxa"/>
          </w:tblCellMar>
        </w:tblPrEx>
        <w:trPr>
          <w:trHeight w:val="684"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机动车回收拆解监督抽查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机动车回收拆解单位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登记台账、安防设施等</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县科经局（商务局）、县市场监管局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《机动车修理业、报废机动车回收业治安管理办法》</w:t>
            </w:r>
          </w:p>
        </w:tc>
      </w:tr>
      <w:tr>
        <w:tblPrEx>
          <w:shd w:val="clear" w:color="auto" w:fill="auto"/>
          <w:tblCellMar>
            <w:top w:w="0" w:type="dxa"/>
            <w:left w:w="0" w:type="dxa"/>
            <w:bottom w:w="0" w:type="dxa"/>
            <w:right w:w="0" w:type="dxa"/>
          </w:tblCellMar>
        </w:tblPrEx>
        <w:trPr>
          <w:trHeight w:val="12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随县2021年保安行业相关单位双随机联合抽查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保安行业相关单位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保安从业单位及其保安服务活动情况的检查（标识标志、保安资格证核查）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县人社局、县市场监管局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《保安服务管理条例》《公安机关实施保安服务管理条例办法》</w:t>
            </w:r>
          </w:p>
        </w:tc>
      </w:tr>
      <w:tr>
        <w:tblPrEx>
          <w:shd w:val="clear" w:color="auto" w:fill="auto"/>
          <w:tblCellMar>
            <w:top w:w="0" w:type="dxa"/>
            <w:left w:w="0" w:type="dxa"/>
            <w:bottom w:w="0" w:type="dxa"/>
            <w:right w:w="0" w:type="dxa"/>
          </w:tblCellMar>
        </w:tblPrEx>
        <w:trPr>
          <w:trHeight w:val="6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旅馆、旅店监督抽查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各类宾馆、旅店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旅馆旅店取得许可证情况的检查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县卫健局、县消防大队</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专项检查事项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半年</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《治安管理处罚法》《旅馆管理条例》</w:t>
            </w:r>
          </w:p>
        </w:tc>
      </w:tr>
      <w:tr>
        <w:tblPrEx>
          <w:shd w:val="clear" w:color="auto" w:fill="auto"/>
          <w:tblCellMar>
            <w:top w:w="0" w:type="dxa"/>
            <w:left w:w="0" w:type="dxa"/>
            <w:bottom w:w="0" w:type="dxa"/>
            <w:right w:w="0" w:type="dxa"/>
          </w:tblCellMar>
        </w:tblPrEx>
        <w:trPr>
          <w:trHeight w:val="37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户外广告年度抽查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广告公司、广告经营户</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对城市户外广告设置情况的监督检查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县城管执法局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《城市市容和环境卫生管理条例》第四条第三款：城市人民政府市容环境卫生行政主管部门负责本行政区域的城市市容和环境卫生管理工作。                                                         第十一条：在城市中设置户外广告、标语牌、画廊、橱窗等，应当内容健康、外型美观，并定期维修、油饰或者拆除。                                                      大型户外广告的设置必须征得城市人民政府高空环境行政主管部门同意后，按照有关规定办理审批手续。</w:t>
            </w:r>
          </w:p>
        </w:tc>
      </w:tr>
      <w:tr>
        <w:tblPrEx>
          <w:shd w:val="clear" w:color="auto" w:fill="auto"/>
          <w:tblCellMar>
            <w:top w:w="0" w:type="dxa"/>
            <w:left w:w="0" w:type="dxa"/>
            <w:bottom w:w="0" w:type="dxa"/>
            <w:right w:w="0" w:type="dxa"/>
          </w:tblCellMar>
        </w:tblPrEx>
        <w:trPr>
          <w:trHeight w:val="89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4531"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对已建成运行城市生活垃圾无害化处理设施运营状况和处理效果监督检查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城市生活垃圾卫生处理设施及运营企业（市场主体）</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城市生活垃圾卫生处理设施及运营企业检查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县城管执法局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县生态环境分局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6月、</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《城市市容和环境卫生管理条例》（1992年国务院令第101号，2011年1月8修订）第4条第3款 城市人民政府市容环境卫生行政主管部门负责本行政区域的城市市容和环境卫生管理工作。《城市生活垃圾管理办法》（2007年建设部令第157号）第5条第3款直辖市、市、县人民政府建设（环境卫生）主管部门负责本行政区域内城市生活垃圾的管理工作。</w:t>
            </w:r>
          </w:p>
        </w:tc>
      </w:tr>
      <w:tr>
        <w:tblPrEx>
          <w:shd w:val="clear" w:color="auto" w:fill="auto"/>
          <w:tblCellMar>
            <w:top w:w="0" w:type="dxa"/>
            <w:left w:w="0" w:type="dxa"/>
            <w:bottom w:w="0" w:type="dxa"/>
            <w:right w:w="0" w:type="dxa"/>
          </w:tblCellMar>
        </w:tblPrEx>
        <w:trPr>
          <w:trHeight w:val="128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随县2021年易燃易爆危化品场所消防安全联合检查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易燃易爆危化品场所</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易燃易爆危化品场所消防安全检查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县消防大队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县应急管理局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w:t>
            </w:r>
          </w:p>
        </w:tc>
        <w:tc>
          <w:tcPr>
            <w:tcW w:w="8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消防监督检查规定</w:t>
            </w:r>
          </w:p>
        </w:tc>
      </w:tr>
      <w:tr>
        <w:tblPrEx>
          <w:shd w:val="clear" w:color="auto" w:fill="auto"/>
          <w:tblCellMar>
            <w:top w:w="0" w:type="dxa"/>
            <w:left w:w="0" w:type="dxa"/>
            <w:bottom w:w="0" w:type="dxa"/>
            <w:right w:w="0" w:type="dxa"/>
          </w:tblCellMar>
        </w:tblPrEx>
        <w:trPr>
          <w:trHeight w:val="1211"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随县2021年使用领域消防产品监督检查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配置有消防设施器材的社会单位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消防产品市场准入情况及消防产品质量</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县消防大队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现场检查、抽样送检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《消防产品现场检查判定规则》《中华人民共和国消防法》《消防产品监督检查规定》</w:t>
            </w:r>
          </w:p>
        </w:tc>
      </w:tr>
      <w:tr>
        <w:tblPrEx>
          <w:shd w:val="clear" w:color="auto" w:fill="auto"/>
          <w:tblCellMar>
            <w:top w:w="0" w:type="dxa"/>
            <w:left w:w="0" w:type="dxa"/>
            <w:bottom w:w="0" w:type="dxa"/>
            <w:right w:w="0" w:type="dxa"/>
          </w:tblCellMar>
        </w:tblPrEx>
        <w:trPr>
          <w:trHeight w:val="8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4181"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随县2021年度对成品油市场的监督检查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全县已经取得《成品油零售经营批准证书》的经营主体</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1.企业及其基础设施是否符合《成品油市场管理办法》及有关技术规范要求。</w:t>
            </w:r>
          </w:p>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2.歇业或终止经营的，到发证机关办理的经营资格暂停或注销手续。存在改扩建的企业的申报及备案手续。</w:t>
            </w:r>
          </w:p>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3.从具有成品油批发经营资格的企业购进成品油情况。</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县科经局（商务局）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县市场监管局、县应急管理局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现场检查、书面检查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《省商务厅关于做好当前成品油市场管理工作的通知》（鄂商务发〔2021〕27号）</w:t>
            </w:r>
          </w:p>
        </w:tc>
      </w:tr>
      <w:tr>
        <w:tblPrEx>
          <w:shd w:val="clear" w:color="auto" w:fill="auto"/>
          <w:tblCellMar>
            <w:top w:w="0" w:type="dxa"/>
            <w:left w:w="0" w:type="dxa"/>
            <w:bottom w:w="0" w:type="dxa"/>
            <w:right w:w="0" w:type="dxa"/>
          </w:tblCellMar>
        </w:tblPrEx>
        <w:trPr>
          <w:trHeight w:val="1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对道路客运企业、客运站的双随机联合抽查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道路客运企业、客运站</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对道路客运企业、客运站经营行为的监督检查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县应急管理局、县公安局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《道路旅客运输及客运站管理规定》第六条、第六十九条、第八十二条、第八十四条</w:t>
            </w:r>
          </w:p>
        </w:tc>
      </w:tr>
      <w:tr>
        <w:tblPrEx>
          <w:shd w:val="clear" w:color="auto" w:fill="auto"/>
          <w:tblCellMar>
            <w:top w:w="0" w:type="dxa"/>
            <w:left w:w="0" w:type="dxa"/>
            <w:bottom w:w="0" w:type="dxa"/>
            <w:right w:w="0" w:type="dxa"/>
          </w:tblCellMar>
        </w:tblPrEx>
        <w:trPr>
          <w:trHeight w:val="101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对道路危险货物运输企业安全生产的双随机联合抽查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道路危险货物运输经营企业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对道路危险货物运输经营行为的监督检查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县公安局、县应急管理局、县市场监管局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《危险化学品安全管理条例》第六条；《道路危险货物运输管理规定》第七条</w:t>
            </w:r>
          </w:p>
        </w:tc>
      </w:tr>
      <w:tr>
        <w:tblPrEx>
          <w:shd w:val="clear" w:color="auto" w:fill="auto"/>
          <w:tblCellMar>
            <w:top w:w="0" w:type="dxa"/>
            <w:left w:w="0" w:type="dxa"/>
            <w:bottom w:w="0" w:type="dxa"/>
            <w:right w:w="0" w:type="dxa"/>
          </w:tblCellMar>
        </w:tblPrEx>
        <w:trPr>
          <w:trHeight w:val="137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对机动车维修、机动车综合性能检测经营管理行为的双随机联合抽查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机动车维修、机动车综合性能检测企业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对机动车维修、机动车综合性能检测企业经营行为的监督检查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县公安局、县应急管理局、县市场监管局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《机动车维修管理规定》第三十六条；《湖北省道路运输条例》第三十四条</w:t>
            </w:r>
          </w:p>
        </w:tc>
      </w:tr>
      <w:tr>
        <w:tblPrEx>
          <w:shd w:val="clear" w:color="auto" w:fill="auto"/>
          <w:tblCellMar>
            <w:top w:w="0" w:type="dxa"/>
            <w:left w:w="0" w:type="dxa"/>
            <w:bottom w:w="0" w:type="dxa"/>
            <w:right w:w="0" w:type="dxa"/>
          </w:tblCellMar>
        </w:tblPrEx>
        <w:trPr>
          <w:trHeight w:val="90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抽查计划名称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抽查对象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检查内容</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（抽查事项）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牵头部门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参与联查部门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事项类别</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抽查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比例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检查方式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时间</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检查依据</w:t>
            </w:r>
          </w:p>
        </w:tc>
      </w:tr>
      <w:tr>
        <w:tblPrEx>
          <w:shd w:val="clear" w:color="auto" w:fill="auto"/>
          <w:tblCellMar>
            <w:top w:w="0" w:type="dxa"/>
            <w:left w:w="0" w:type="dxa"/>
            <w:bottom w:w="0" w:type="dxa"/>
            <w:right w:w="0" w:type="dxa"/>
          </w:tblCellMar>
        </w:tblPrEx>
        <w:trPr>
          <w:trHeight w:val="1181"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对机动车驾驶员培训机构经营行为的双随机联合抽查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机动车驾驶员培训机构</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对机动车驾驶员培训机构经营行为的监督检查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《机动车驾驶员培训管理规定》第五条、第四十二条</w:t>
            </w:r>
          </w:p>
        </w:tc>
      </w:tr>
      <w:tr>
        <w:tblPrEx>
          <w:tblCellMar>
            <w:top w:w="0" w:type="dxa"/>
            <w:left w:w="0" w:type="dxa"/>
            <w:bottom w:w="0" w:type="dxa"/>
            <w:right w:w="0" w:type="dxa"/>
          </w:tblCellMar>
        </w:tblPrEx>
        <w:trPr>
          <w:trHeight w:val="213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对城市公共交通、巡游出租汽车企业的双随机联合抽查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城市公共交通、巡游出租汽车企业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对公交企业依法履行安全生产管理及规范服务质量责任落实情况和巡游出租汽车经营行为的监督检查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县公安局、县市场监管局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《湖北省城市公共交通发展与管理办法》第四十二条；《巡游出租汽车经营服务管理规定》第四十条</w:t>
            </w:r>
          </w:p>
        </w:tc>
      </w:tr>
      <w:tr>
        <w:tblPrEx>
          <w:tblCellMar>
            <w:top w:w="0" w:type="dxa"/>
            <w:left w:w="0" w:type="dxa"/>
            <w:bottom w:w="0" w:type="dxa"/>
            <w:right w:w="0"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随县2021年对危害航道通航安全行为的双随机联合抽查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水路运输经营企业、涉水作业活动（采砂）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对危害航道通航安全行为的行政检查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县交通运输局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县应急管理局、县公安局、县水利和湖泊局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一般检查事项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实地检查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5—11月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《中华人民共和国航道法》第四十二条</w:t>
            </w:r>
          </w:p>
        </w:tc>
      </w:tr>
    </w:tbl>
    <w:p>
      <w:pPr>
        <w:jc w:val="both"/>
        <w:rPr>
          <w:rFonts w:hint="default" w:ascii="仿宋_GB2312" w:hAnsi="仿宋_GB2312" w:eastAsia="仿宋_GB2312" w:cs="仿宋_GB2312"/>
          <w:b w:val="0"/>
          <w:bCs w:val="0"/>
          <w:sz w:val="28"/>
          <w:szCs w:val="28"/>
          <w:lang w:val="en-US" w:eastAsia="zh-CN"/>
        </w:rPr>
      </w:pPr>
    </w:p>
    <w:sectPr>
      <w:footerReference r:id="rId3" w:type="default"/>
      <w:pgSz w:w="16838" w:h="11906" w:orient="landscape"/>
      <w:pgMar w:top="1531" w:right="1417" w:bottom="1531" w:left="1417" w:header="851" w:footer="992" w:gutter="0"/>
      <w:pgNumType w:fmt="numberInDash"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4256405</wp:posOffset>
              </wp:positionH>
              <wp:positionV relativeFrom="paragraph">
                <wp:posOffset>-208915</wp:posOffset>
              </wp:positionV>
              <wp:extent cx="1828800" cy="534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34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KT" w:hAnsi="C-KT" w:eastAsia="C-KT" w:cs="C-KT"/>
                              <w:lang w:eastAsia="zh-CN"/>
                            </w:rPr>
                          </w:pPr>
                          <w:r>
                            <w:rPr>
                              <w:rFonts w:hint="eastAsia" w:ascii="C-KT" w:hAnsi="C-KT" w:eastAsia="C-KT" w:cs="C-KT"/>
                              <w:sz w:val="28"/>
                              <w:szCs w:val="44"/>
                              <w:lang w:eastAsia="zh-CN"/>
                            </w:rPr>
                            <w:fldChar w:fldCharType="begin"/>
                          </w:r>
                          <w:r>
                            <w:rPr>
                              <w:rFonts w:hint="eastAsia" w:ascii="C-KT" w:hAnsi="C-KT" w:eastAsia="C-KT" w:cs="C-KT"/>
                              <w:sz w:val="28"/>
                              <w:szCs w:val="44"/>
                              <w:lang w:eastAsia="zh-CN"/>
                            </w:rPr>
                            <w:instrText xml:space="preserve"> PAGE  \* MERGEFORMAT </w:instrText>
                          </w:r>
                          <w:r>
                            <w:rPr>
                              <w:rFonts w:hint="eastAsia" w:ascii="C-KT" w:hAnsi="C-KT" w:eastAsia="C-KT" w:cs="C-KT"/>
                              <w:sz w:val="28"/>
                              <w:szCs w:val="44"/>
                              <w:lang w:eastAsia="zh-CN"/>
                            </w:rPr>
                            <w:fldChar w:fldCharType="separate"/>
                          </w:r>
                          <w:r>
                            <w:rPr>
                              <w:rFonts w:hint="eastAsia" w:ascii="C-KT" w:hAnsi="C-KT" w:eastAsia="C-KT" w:cs="C-KT"/>
                              <w:sz w:val="28"/>
                              <w:szCs w:val="44"/>
                              <w:lang w:eastAsia="zh-CN"/>
                            </w:rPr>
                            <w:t>1</w:t>
                          </w:r>
                          <w:r>
                            <w:rPr>
                              <w:rFonts w:hint="eastAsia" w:ascii="C-KT" w:hAnsi="C-KT" w:eastAsia="C-KT" w:cs="C-KT"/>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5.15pt;margin-top:-16.45pt;height:42.1pt;width:144pt;mso-position-horizontal-relative:margin;mso-wrap-style:none;z-index:251659264;mso-width-relative:page;mso-height-relative:page;" filled="f" stroked="f" coordsize="21600,21600" o:gfxdata="UEsDBAoAAAAAAIdO4kAAAAAAAAAAAAAAAAAEAAAAZHJzL1BLAwQUAAAACACHTuJAZrQfKdsAAAAK&#10;AQAADwAAAGRycy9kb3ducmV2LnhtbE2Py07DMBBF90j8gzVI7Fo7DekjZFIhJLph1QCV2E1jN4mI&#10;7ch2m8DXY1ZlOTNHd84ttpPu2UU531mDkMwFMGVqKzvTILy/vczWwHwgI6m3RiF8Kw/b8vamoFza&#10;0ezVpQoNiyHG54TQhjDknPu6VZr83A7KxNvJOk0hjq7h0tEYw3XPF0IsuabOxA8tDeq5VfVXddYI&#10;u+nn8PDqPkNf0b7OPvRTc9qNiPd3iXgEFtQUrjD86Ud1KKPT0Z6N9KxHWK5EGlGEWbrYAIvEJlvH&#10;zREhS1LgZcH/Vyh/AVBLAwQUAAAACACHTuJAsqaxhTMCAABgBAAADgAAAGRycy9lMm9Eb2MueG1s&#10;rVTLbhMxFN0j8Q+W92TSlJYo6qQKrYqQIlopINaOx5Ox5JdsJzPhA+APWLFhz3flOzj2TFJUWHTB&#10;xjnj+zznXufqutOK7IQP0pqSno3GlAjDbSXNpqSfPt69mlISIjMVU9aIku5FoNfzly+uWjcTE9tY&#10;VQlPkMSEWetK2sToZkUReCM0CyPrhIGxtl6ziE+/KSrPWmTXqpiMx5dFa33lvOUiBNze9kY6ZPTP&#10;SWjrWnJxa/lWCxP7rF4oFkEpNNIFOs/d1rXg8b6ug4hElRRMYz5RBHidzmJ+xWYbz1wj+dACe04L&#10;TzhpJg2KnlLdssjI1su/UmnJvQ22jiNuddETyYqAxdn4iTarhjmRuUDq4E6ih/+Xln/YPXgiK2wC&#10;JYZpDPzw/dvhx6/Dz6/kLMnTujCD18rBL3ZvbZdch/uAy8S6q71Ov+BDYIe4+5O4oouEp6DpZDod&#10;w8Rhuzh/ffkmq188Rjsf4jthNUmgpB7Dy5qy3TJEVITr0SUVM/ZOKpUHqAxpS3p5fjHOAScLIpRB&#10;YOLQ95pQ7NbdQGBtqz14edsvRnD8TqL4koX4wDw2Af3ircR7HLWyKGIHRElj/Zd/3Sd/DAhWSlps&#10;VkkNHhIl6r3B4JAwHoE/gvURmK2+sVhVDAO9ZIgAH9UR1t7qz3hAi1QDJmY4KpU0HuFN7LcbD5CL&#10;xSI7bZ2Xm6YPwNo5Fpdm5Xgq0wu52EZby6xxEqhXZdANi5elHx5J2uw/v7PX4x/D/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tB8p2wAAAAoBAAAPAAAAAAAAAAEAIAAAACIAAABkcnMvZG93bnJl&#10;di54bWxQSwECFAAUAAAACACHTuJAsqaxhTMCAABgBAAADgAAAAAAAAABACAAAAAqAQAAZHJzL2Uy&#10;b0RvYy54bWxQSwUGAAAAAAYABgBZAQAAzwUAAAAA&#10;">
              <v:fill on="f" focussize="0,0"/>
              <v:stroke on="f" weight="0.5pt"/>
              <v:imagedata o:title=""/>
              <o:lock v:ext="edit" aspectratio="f"/>
              <v:textbox inset="0mm,0mm,0mm,0mm">
                <w:txbxContent>
                  <w:p>
                    <w:pPr>
                      <w:pStyle w:val="2"/>
                      <w:rPr>
                        <w:rFonts w:hint="eastAsia" w:ascii="C-KT" w:hAnsi="C-KT" w:eastAsia="C-KT" w:cs="C-KT"/>
                        <w:lang w:eastAsia="zh-CN"/>
                      </w:rPr>
                    </w:pPr>
                    <w:r>
                      <w:rPr>
                        <w:rFonts w:hint="eastAsia" w:ascii="C-KT" w:hAnsi="C-KT" w:eastAsia="C-KT" w:cs="C-KT"/>
                        <w:sz w:val="28"/>
                        <w:szCs w:val="44"/>
                        <w:lang w:eastAsia="zh-CN"/>
                      </w:rPr>
                      <w:fldChar w:fldCharType="begin"/>
                    </w:r>
                    <w:r>
                      <w:rPr>
                        <w:rFonts w:hint="eastAsia" w:ascii="C-KT" w:hAnsi="C-KT" w:eastAsia="C-KT" w:cs="C-KT"/>
                        <w:sz w:val="28"/>
                        <w:szCs w:val="44"/>
                        <w:lang w:eastAsia="zh-CN"/>
                      </w:rPr>
                      <w:instrText xml:space="preserve"> PAGE  \* MERGEFORMAT </w:instrText>
                    </w:r>
                    <w:r>
                      <w:rPr>
                        <w:rFonts w:hint="eastAsia" w:ascii="C-KT" w:hAnsi="C-KT" w:eastAsia="C-KT" w:cs="C-KT"/>
                        <w:sz w:val="28"/>
                        <w:szCs w:val="44"/>
                        <w:lang w:eastAsia="zh-CN"/>
                      </w:rPr>
                      <w:fldChar w:fldCharType="separate"/>
                    </w:r>
                    <w:r>
                      <w:rPr>
                        <w:rFonts w:hint="eastAsia" w:ascii="C-KT" w:hAnsi="C-KT" w:eastAsia="C-KT" w:cs="C-KT"/>
                        <w:sz w:val="28"/>
                        <w:szCs w:val="44"/>
                        <w:lang w:eastAsia="zh-CN"/>
                      </w:rPr>
                      <w:t>1</w:t>
                    </w:r>
                    <w:r>
                      <w:rPr>
                        <w:rFonts w:hint="eastAsia" w:ascii="C-KT" w:hAnsi="C-KT" w:eastAsia="C-KT" w:cs="C-KT"/>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81F4C"/>
    <w:rsid w:val="01892886"/>
    <w:rsid w:val="022B0B3A"/>
    <w:rsid w:val="03CA2C89"/>
    <w:rsid w:val="03F20DB5"/>
    <w:rsid w:val="047B783D"/>
    <w:rsid w:val="055B7D3F"/>
    <w:rsid w:val="05705970"/>
    <w:rsid w:val="05B82EAC"/>
    <w:rsid w:val="06B66478"/>
    <w:rsid w:val="06E47D0C"/>
    <w:rsid w:val="0701326B"/>
    <w:rsid w:val="073C383D"/>
    <w:rsid w:val="074202AE"/>
    <w:rsid w:val="07772BE9"/>
    <w:rsid w:val="07F070E7"/>
    <w:rsid w:val="09036516"/>
    <w:rsid w:val="09642E01"/>
    <w:rsid w:val="098448EC"/>
    <w:rsid w:val="0A292F75"/>
    <w:rsid w:val="0AAF45AD"/>
    <w:rsid w:val="0AD66E74"/>
    <w:rsid w:val="0B7F6D8E"/>
    <w:rsid w:val="0D4B1B86"/>
    <w:rsid w:val="0DC90B28"/>
    <w:rsid w:val="0E1877B9"/>
    <w:rsid w:val="0E283E84"/>
    <w:rsid w:val="0F4D6670"/>
    <w:rsid w:val="0FD74AAB"/>
    <w:rsid w:val="103E6DE4"/>
    <w:rsid w:val="11697099"/>
    <w:rsid w:val="11E02089"/>
    <w:rsid w:val="11E21FCC"/>
    <w:rsid w:val="11E87B86"/>
    <w:rsid w:val="122C10B7"/>
    <w:rsid w:val="12A77568"/>
    <w:rsid w:val="130B2267"/>
    <w:rsid w:val="13AE3FC7"/>
    <w:rsid w:val="149A7743"/>
    <w:rsid w:val="14C6595C"/>
    <w:rsid w:val="14C80AE2"/>
    <w:rsid w:val="15493650"/>
    <w:rsid w:val="15D82726"/>
    <w:rsid w:val="166C54F3"/>
    <w:rsid w:val="16CA1EC7"/>
    <w:rsid w:val="16ED4856"/>
    <w:rsid w:val="16F656F8"/>
    <w:rsid w:val="17D535DE"/>
    <w:rsid w:val="18016A3D"/>
    <w:rsid w:val="18C10D90"/>
    <w:rsid w:val="1A534F3A"/>
    <w:rsid w:val="1A7E56F1"/>
    <w:rsid w:val="1ACF20BC"/>
    <w:rsid w:val="1B1A2E5E"/>
    <w:rsid w:val="1BAF3D5F"/>
    <w:rsid w:val="1BC6080D"/>
    <w:rsid w:val="1CC63A8E"/>
    <w:rsid w:val="1DC76185"/>
    <w:rsid w:val="1DF0636C"/>
    <w:rsid w:val="1EF23B83"/>
    <w:rsid w:val="22057657"/>
    <w:rsid w:val="220B7780"/>
    <w:rsid w:val="223B020B"/>
    <w:rsid w:val="22730B07"/>
    <w:rsid w:val="228078A8"/>
    <w:rsid w:val="22F26FBC"/>
    <w:rsid w:val="238E163B"/>
    <w:rsid w:val="23E51A09"/>
    <w:rsid w:val="248F3BD3"/>
    <w:rsid w:val="25545636"/>
    <w:rsid w:val="25744294"/>
    <w:rsid w:val="275E4CBD"/>
    <w:rsid w:val="2819245D"/>
    <w:rsid w:val="29011A32"/>
    <w:rsid w:val="2A7A67FA"/>
    <w:rsid w:val="2A85367D"/>
    <w:rsid w:val="2BDC2AD3"/>
    <w:rsid w:val="2C822A98"/>
    <w:rsid w:val="2D2E37EC"/>
    <w:rsid w:val="2DB85262"/>
    <w:rsid w:val="2E42752A"/>
    <w:rsid w:val="30A46668"/>
    <w:rsid w:val="30F24675"/>
    <w:rsid w:val="31AF2E2A"/>
    <w:rsid w:val="32581A76"/>
    <w:rsid w:val="33722DFB"/>
    <w:rsid w:val="33FB2299"/>
    <w:rsid w:val="34CF4DD0"/>
    <w:rsid w:val="34F50029"/>
    <w:rsid w:val="358F1EF5"/>
    <w:rsid w:val="381B644B"/>
    <w:rsid w:val="385A6003"/>
    <w:rsid w:val="394C71F7"/>
    <w:rsid w:val="3A2B6FC0"/>
    <w:rsid w:val="3A622AA1"/>
    <w:rsid w:val="3A7A39F9"/>
    <w:rsid w:val="3AFA51ED"/>
    <w:rsid w:val="3C4D5F86"/>
    <w:rsid w:val="3D965CF7"/>
    <w:rsid w:val="3EEA2CF5"/>
    <w:rsid w:val="3FFF3C34"/>
    <w:rsid w:val="40FB62ED"/>
    <w:rsid w:val="428076A7"/>
    <w:rsid w:val="428140E7"/>
    <w:rsid w:val="44F63D84"/>
    <w:rsid w:val="4593543C"/>
    <w:rsid w:val="45D70B0A"/>
    <w:rsid w:val="467605DE"/>
    <w:rsid w:val="46D40A31"/>
    <w:rsid w:val="484B57CD"/>
    <w:rsid w:val="495442F9"/>
    <w:rsid w:val="4AA703E0"/>
    <w:rsid w:val="4AAF7502"/>
    <w:rsid w:val="4C0E7A82"/>
    <w:rsid w:val="4C1C0438"/>
    <w:rsid w:val="4C58098B"/>
    <w:rsid w:val="4CEA65D4"/>
    <w:rsid w:val="4E040B30"/>
    <w:rsid w:val="4F816E04"/>
    <w:rsid w:val="50602D2E"/>
    <w:rsid w:val="5080353B"/>
    <w:rsid w:val="508C1AE9"/>
    <w:rsid w:val="52916C99"/>
    <w:rsid w:val="52EA2A57"/>
    <w:rsid w:val="52F77A34"/>
    <w:rsid w:val="538F0DAB"/>
    <w:rsid w:val="53D91486"/>
    <w:rsid w:val="540A08BE"/>
    <w:rsid w:val="578E2060"/>
    <w:rsid w:val="581D7D34"/>
    <w:rsid w:val="58647CFA"/>
    <w:rsid w:val="5A1924DA"/>
    <w:rsid w:val="5B2B5E64"/>
    <w:rsid w:val="5C3E7E79"/>
    <w:rsid w:val="5C421C17"/>
    <w:rsid w:val="5D1C7D76"/>
    <w:rsid w:val="5DF51762"/>
    <w:rsid w:val="5EEF3485"/>
    <w:rsid w:val="5F495CCD"/>
    <w:rsid w:val="5FA75A9E"/>
    <w:rsid w:val="6261044C"/>
    <w:rsid w:val="62CF57EB"/>
    <w:rsid w:val="63372C8C"/>
    <w:rsid w:val="639536DD"/>
    <w:rsid w:val="63D86DC8"/>
    <w:rsid w:val="6433540E"/>
    <w:rsid w:val="65D72A21"/>
    <w:rsid w:val="66C5696A"/>
    <w:rsid w:val="6841767D"/>
    <w:rsid w:val="68C15E4F"/>
    <w:rsid w:val="69844E7D"/>
    <w:rsid w:val="6B50573A"/>
    <w:rsid w:val="6BBD1D32"/>
    <w:rsid w:val="6CF27B1A"/>
    <w:rsid w:val="6D153EEE"/>
    <w:rsid w:val="6D945C63"/>
    <w:rsid w:val="6DDC0095"/>
    <w:rsid w:val="6EA46A1B"/>
    <w:rsid w:val="6EAD22DA"/>
    <w:rsid w:val="6FE46773"/>
    <w:rsid w:val="70781F4C"/>
    <w:rsid w:val="714B69DC"/>
    <w:rsid w:val="72C51A77"/>
    <w:rsid w:val="72F25861"/>
    <w:rsid w:val="74086AF8"/>
    <w:rsid w:val="74846636"/>
    <w:rsid w:val="756F3E82"/>
    <w:rsid w:val="78221E16"/>
    <w:rsid w:val="784B75DE"/>
    <w:rsid w:val="789973A9"/>
    <w:rsid w:val="78C24C4F"/>
    <w:rsid w:val="79175EB3"/>
    <w:rsid w:val="794B2995"/>
    <w:rsid w:val="79EA415B"/>
    <w:rsid w:val="7AC578DD"/>
    <w:rsid w:val="7AD02BB7"/>
    <w:rsid w:val="7B2825C7"/>
    <w:rsid w:val="7BE75E91"/>
    <w:rsid w:val="7CB44A3E"/>
    <w:rsid w:val="7CEA4077"/>
    <w:rsid w:val="7D834CA9"/>
    <w:rsid w:val="7E5164B9"/>
    <w:rsid w:val="7E6B4738"/>
    <w:rsid w:val="7F47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5117</Words>
  <Characters>5295</Characters>
  <Lines>0</Lines>
  <Paragraphs>0</Paragraphs>
  <TotalTime>9</TotalTime>
  <ScaleCrop>false</ScaleCrop>
  <LinksUpToDate>false</LinksUpToDate>
  <CharactersWithSpaces>5434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2021-05-07T01:49:00Z</dcterms:created>
  <dc:creator>胖圆</dc:creator>
  <cp:lastModifiedBy>猫咪酱(≧▽≦)</cp:lastModifiedBy>
  <cp:lastPrinted>2021-05-24T09:14:00Z</cp:lastPrinted>
  <dcterms:modified xsi:type="dcterms:W3CDTF">2023-08-07T08:47:20Z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1B405F45AD6545149AD84D7F2909DD8D_13</vt:lpwstr>
  </property>
  <property fmtid="{D5CDD505-2E9C-101B-9397-08002B2CF9AE}" pid="4" name="KSOSaveFontToCloudKey">
    <vt:lpwstr>349889319_btnclosed</vt:lpwstr>
  </property>
</Properties>
</file>