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pStyle w:val="2"/>
        <w:rPr>
          <w:rFonts w:hint="eastAsia"/>
        </w:rPr>
      </w:pPr>
    </w:p>
    <w:p>
      <w:pPr>
        <w:spacing w:line="560" w:lineRule="exact"/>
        <w:jc w:val="center"/>
        <w:rPr>
          <w:rFonts w:hint="eastAsia" w:ascii="Times New Roman" w:eastAsia="方正小标宋_GBK"/>
          <w:sz w:val="44"/>
          <w:szCs w:val="44"/>
        </w:rPr>
      </w:pPr>
      <w:r>
        <w:rPr>
          <w:rFonts w:hint="eastAsia" w:ascii="Times New Roman" w:eastAsia="方正小标宋_GBK"/>
          <w:sz w:val="44"/>
          <w:szCs w:val="44"/>
        </w:rPr>
        <w:t>湖北省消防安全重点单位界定标准（试行）</w:t>
      </w:r>
    </w:p>
    <w:p>
      <w:pPr>
        <w:pStyle w:val="2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消防安全重点单位应结合城市规模、单位类型和火灾危险性等因素来界定。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按照《国务院关于调整城市规模划分标准的通知》，根据城市规模将湖北省的17个城市划分为四个类型，其中一类城市（超大城市）1个，即武汉；二类城市（大城市）2个，即襄阳、宜昌；三类城市（中型城市）5个，即黄石、十堰、荆州、孝感、荆门；</w:t>
      </w:r>
      <w:r>
        <w:rPr>
          <w:rFonts w:hint="eastAsia" w:ascii="仿宋_GB2312" w:hAnsi="仿宋" w:eastAsia="仿宋_GB2312" w:cs="仿宋"/>
          <w:bCs/>
          <w:color w:val="FF0000"/>
          <w:sz w:val="32"/>
          <w:szCs w:val="32"/>
        </w:rPr>
        <w:t>四类城市</w:t>
      </w:r>
      <w:r>
        <w:rPr>
          <w:rFonts w:hint="eastAsia" w:ascii="仿宋_GB2312" w:hAnsi="仿宋" w:eastAsia="仿宋_GB2312" w:cs="仿宋"/>
          <w:bCs/>
          <w:sz w:val="32"/>
          <w:szCs w:val="32"/>
        </w:rPr>
        <w:t>（小城市）9个，即鄂州、黄冈、咸宁、恩施、</w:t>
      </w:r>
      <w:r>
        <w:rPr>
          <w:rFonts w:hint="eastAsia" w:ascii="仿宋_GB2312" w:hAnsi="仿宋" w:eastAsia="仿宋_GB2312" w:cs="仿宋"/>
          <w:bCs/>
          <w:color w:val="FF0000"/>
          <w:sz w:val="32"/>
          <w:szCs w:val="32"/>
        </w:rPr>
        <w:t>随州</w:t>
      </w:r>
      <w:r>
        <w:rPr>
          <w:rFonts w:hint="eastAsia" w:ascii="仿宋_GB2312" w:hAnsi="仿宋" w:eastAsia="仿宋_GB2312" w:cs="仿宋"/>
          <w:bCs/>
          <w:sz w:val="32"/>
          <w:szCs w:val="32"/>
        </w:rPr>
        <w:t>、仙桃、潜江、天门、神农架。</w:t>
      </w:r>
      <w:r>
        <w:rPr>
          <w:rFonts w:hint="eastAsia" w:ascii="仿宋_GB2312" w:hAnsi="仿宋" w:eastAsia="仿宋_GB2312" w:cs="仿宋"/>
          <w:sz w:val="32"/>
          <w:szCs w:val="32"/>
        </w:rPr>
        <w:t>消防安全重点单位的确定应按照发布公告、自主申报、部门核准、确定和备案的程序进行（具体见附件）。符合下列条件的应当界定为消防安全重点单位：</w:t>
      </w:r>
    </w:p>
    <w:p>
      <w:pPr>
        <w:pStyle w:val="3"/>
        <w:spacing w:line="560" w:lineRule="exact"/>
        <w:ind w:firstLine="64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一、购物中心、非星级饭店、餐饮场所</w:t>
      </w:r>
    </w:p>
    <w:tbl>
      <w:tblPr>
        <w:tblStyle w:val="7"/>
        <w:tblW w:w="8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239"/>
        <w:gridCol w:w="5087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07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单位类型</w:t>
            </w:r>
          </w:p>
        </w:tc>
        <w:tc>
          <w:tcPr>
            <w:tcW w:w="1239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城市类型</w:t>
            </w:r>
          </w:p>
        </w:tc>
        <w:tc>
          <w:tcPr>
            <w:tcW w:w="5087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界定标准</w:t>
            </w:r>
          </w:p>
        </w:tc>
        <w:tc>
          <w:tcPr>
            <w:tcW w:w="1067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07" w:type="dxa"/>
            <w:vMerge w:val="restar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购物中心</w:t>
            </w:r>
          </w:p>
        </w:tc>
        <w:tc>
          <w:tcPr>
            <w:tcW w:w="1239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一类城市</w:t>
            </w:r>
          </w:p>
        </w:tc>
        <w:tc>
          <w:tcPr>
            <w:tcW w:w="5087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经营面积大于或等于80000㎡；非零经营面积大于或等于40%；零售经营面积大于或等于30%的购物中心。</w:t>
            </w:r>
          </w:p>
        </w:tc>
        <w:tc>
          <w:tcPr>
            <w:tcW w:w="1067" w:type="dxa"/>
            <w:vMerge w:val="restar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商务部门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07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二类城市</w:t>
            </w:r>
          </w:p>
        </w:tc>
        <w:tc>
          <w:tcPr>
            <w:tcW w:w="5087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经营面积大于或等于50000㎡；非零经营面积大于或等于30%；零售经营面积大于或等于30%的购物中心。</w:t>
            </w:r>
          </w:p>
        </w:tc>
        <w:tc>
          <w:tcPr>
            <w:tcW w:w="1067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07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三类城市</w:t>
            </w:r>
          </w:p>
        </w:tc>
        <w:tc>
          <w:tcPr>
            <w:tcW w:w="5087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经营面积大于或等于20000㎡；非零经营面积大于或等于20%；零售经营面积大于或等于30%的购物中心。</w:t>
            </w:r>
          </w:p>
        </w:tc>
        <w:tc>
          <w:tcPr>
            <w:tcW w:w="1067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07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四类城市</w:t>
            </w:r>
          </w:p>
        </w:tc>
        <w:tc>
          <w:tcPr>
            <w:tcW w:w="5087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建筑面积大于10000㎡的购物中心。</w:t>
            </w:r>
          </w:p>
        </w:tc>
        <w:tc>
          <w:tcPr>
            <w:tcW w:w="1067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07" w:type="dxa"/>
            <w:vMerge w:val="restar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非星级饭店（含宾馆、旅馆）</w:t>
            </w:r>
          </w:p>
        </w:tc>
        <w:tc>
          <w:tcPr>
            <w:tcW w:w="1239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一类城市</w:t>
            </w:r>
          </w:p>
        </w:tc>
        <w:tc>
          <w:tcPr>
            <w:tcW w:w="5087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房间数大于150间的非星级饭店。</w:t>
            </w:r>
          </w:p>
        </w:tc>
        <w:tc>
          <w:tcPr>
            <w:tcW w:w="1067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07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二类城市</w:t>
            </w:r>
          </w:p>
        </w:tc>
        <w:tc>
          <w:tcPr>
            <w:tcW w:w="5087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房间数大于100间的非星级饭店。</w:t>
            </w:r>
          </w:p>
        </w:tc>
        <w:tc>
          <w:tcPr>
            <w:tcW w:w="1067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07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三类城市</w:t>
            </w:r>
          </w:p>
        </w:tc>
        <w:tc>
          <w:tcPr>
            <w:tcW w:w="5087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房间数大于80间的非星级饭店。</w:t>
            </w:r>
          </w:p>
        </w:tc>
        <w:tc>
          <w:tcPr>
            <w:tcW w:w="1067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07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四类城市</w:t>
            </w:r>
          </w:p>
        </w:tc>
        <w:tc>
          <w:tcPr>
            <w:tcW w:w="5087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房间数大于50间的非星级饭店。</w:t>
            </w:r>
          </w:p>
        </w:tc>
        <w:tc>
          <w:tcPr>
            <w:tcW w:w="1067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07" w:type="dxa"/>
            <w:vMerge w:val="restar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餐饮场所</w:t>
            </w:r>
          </w:p>
        </w:tc>
        <w:tc>
          <w:tcPr>
            <w:tcW w:w="1239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一类城市</w:t>
            </w:r>
          </w:p>
        </w:tc>
        <w:tc>
          <w:tcPr>
            <w:tcW w:w="5087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总建筑面积大于10000㎡的餐饮场所（不含住宿）。</w:t>
            </w:r>
          </w:p>
        </w:tc>
        <w:tc>
          <w:tcPr>
            <w:tcW w:w="1067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07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二类城市</w:t>
            </w:r>
          </w:p>
        </w:tc>
        <w:tc>
          <w:tcPr>
            <w:tcW w:w="5087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总建筑面积大于3000㎡的餐饮场所（不含住宿）。</w:t>
            </w:r>
          </w:p>
        </w:tc>
        <w:tc>
          <w:tcPr>
            <w:tcW w:w="1067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407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三、四类城市</w:t>
            </w:r>
          </w:p>
        </w:tc>
        <w:tc>
          <w:tcPr>
            <w:tcW w:w="5087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总建筑面积大于2000㎡的餐饮场所（不含住宿）。</w:t>
            </w:r>
          </w:p>
        </w:tc>
        <w:tc>
          <w:tcPr>
            <w:tcW w:w="1067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sz w:val="21"/>
                <w:szCs w:val="21"/>
              </w:rPr>
            </w:pPr>
          </w:p>
        </w:tc>
      </w:tr>
    </w:tbl>
    <w:p>
      <w:pPr>
        <w:pStyle w:val="3"/>
        <w:spacing w:line="560" w:lineRule="exact"/>
        <w:ind w:firstLine="64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二、公共体育建筑、体育场馆（包括体育场、游泳馆、羽毛球馆、网球馆、篮球馆等场所）、营业性室内健身场馆</w:t>
      </w:r>
    </w:p>
    <w:tbl>
      <w:tblPr>
        <w:tblStyle w:val="7"/>
        <w:tblW w:w="88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354"/>
        <w:gridCol w:w="4991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单位类型</w:t>
            </w:r>
          </w:p>
        </w:tc>
        <w:tc>
          <w:tcPr>
            <w:tcW w:w="1354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城市类型</w:t>
            </w:r>
          </w:p>
        </w:tc>
        <w:tc>
          <w:tcPr>
            <w:tcW w:w="4991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界定标准</w:t>
            </w:r>
          </w:p>
        </w:tc>
        <w:tc>
          <w:tcPr>
            <w:tcW w:w="1221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体育建筑、体育场馆</w:t>
            </w:r>
          </w:p>
        </w:tc>
        <w:tc>
          <w:tcPr>
            <w:tcW w:w="1354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一类城市</w:t>
            </w:r>
          </w:p>
        </w:tc>
        <w:tc>
          <w:tcPr>
            <w:tcW w:w="499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规模等级在大型以上公共体育建筑、体育场（馆），即观众席容量大于40000座的体育场、大于6000座的体育馆、大于3000座的游泳馆。</w:t>
            </w:r>
          </w:p>
        </w:tc>
        <w:tc>
          <w:tcPr>
            <w:tcW w:w="1221" w:type="dxa"/>
            <w:vMerge w:val="restar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体育部门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二、三、四类城市</w:t>
            </w:r>
          </w:p>
        </w:tc>
        <w:tc>
          <w:tcPr>
            <w:tcW w:w="499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规模等级在中型以上公共体育建筑、体育场（馆），即观众席容量大于20000座的体育场、大于3000座的体育馆、大于1500座的游泳馆。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2" w:type="dxa"/>
            <w:vMerge w:val="restar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营业性室内健身场馆</w:t>
            </w:r>
          </w:p>
        </w:tc>
        <w:tc>
          <w:tcPr>
            <w:tcW w:w="1354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一类城市</w:t>
            </w:r>
          </w:p>
        </w:tc>
        <w:tc>
          <w:tcPr>
            <w:tcW w:w="499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总建筑面积大于2500㎡的营业性室内健身场馆。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二类城市</w:t>
            </w:r>
          </w:p>
        </w:tc>
        <w:tc>
          <w:tcPr>
            <w:tcW w:w="499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总建筑面积大于1500㎡的营业性室内健身场馆。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三类城市</w:t>
            </w:r>
          </w:p>
        </w:tc>
        <w:tc>
          <w:tcPr>
            <w:tcW w:w="499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总建筑面积大于1000㎡的营业性室内健身场馆。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四类城市</w:t>
            </w:r>
          </w:p>
        </w:tc>
        <w:tc>
          <w:tcPr>
            <w:tcW w:w="499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总建筑面积大于500㎡的营业性室内健身场馆。</w:t>
            </w:r>
          </w:p>
        </w:tc>
        <w:tc>
          <w:tcPr>
            <w:tcW w:w="1221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sz w:val="21"/>
                <w:szCs w:val="21"/>
              </w:rPr>
            </w:pPr>
          </w:p>
        </w:tc>
      </w:tr>
    </w:tbl>
    <w:p>
      <w:pPr>
        <w:pStyle w:val="3"/>
        <w:spacing w:line="560" w:lineRule="exact"/>
        <w:ind w:firstLine="640"/>
        <w:rPr>
          <w:rFonts w:ascii="仿宋" w:hAnsi="仿宋" w:cs="仿宋"/>
          <w:szCs w:val="32"/>
        </w:rPr>
      </w:pPr>
      <w:r>
        <w:rPr>
          <w:rFonts w:hint="eastAsia" w:ascii="黑体" w:hAnsi="黑体" w:eastAsia="黑体" w:cs="黑体"/>
          <w:szCs w:val="32"/>
        </w:rPr>
        <w:t>三、公共娱乐场所、公共文化场馆、文物保护单位、A级旅游景区、星级旅游饭店等场所</w:t>
      </w:r>
    </w:p>
    <w:tbl>
      <w:tblPr>
        <w:tblStyle w:val="7"/>
        <w:tblW w:w="89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358"/>
        <w:gridCol w:w="4890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76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单位类型</w:t>
            </w:r>
          </w:p>
        </w:tc>
        <w:tc>
          <w:tcPr>
            <w:tcW w:w="1358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城市类型</w:t>
            </w:r>
          </w:p>
        </w:tc>
        <w:tc>
          <w:tcPr>
            <w:tcW w:w="4890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界定标准</w:t>
            </w:r>
          </w:p>
        </w:tc>
        <w:tc>
          <w:tcPr>
            <w:tcW w:w="1293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6" w:type="dxa"/>
            <w:vMerge w:val="restar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剧场剧院演出经营场所</w:t>
            </w:r>
          </w:p>
        </w:tc>
        <w:tc>
          <w:tcPr>
            <w:tcW w:w="1358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一类城市</w:t>
            </w:r>
          </w:p>
        </w:tc>
        <w:tc>
          <w:tcPr>
            <w:tcW w:w="4890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总建筑面积大于2500㎡的剧场剧院演出经营场所。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文旅部门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二类城市</w:t>
            </w:r>
          </w:p>
        </w:tc>
        <w:tc>
          <w:tcPr>
            <w:tcW w:w="4890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总建筑面积大于1500㎡的剧场剧院演出经营场所。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三类城市</w:t>
            </w:r>
          </w:p>
        </w:tc>
        <w:tc>
          <w:tcPr>
            <w:tcW w:w="4890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总建筑面积大于1000㎡的剧场剧院演出经营场所。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四类城市</w:t>
            </w:r>
          </w:p>
        </w:tc>
        <w:tc>
          <w:tcPr>
            <w:tcW w:w="4890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总建筑面积大于500㎡的剧场剧院演出经营场所。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76" w:type="dxa"/>
            <w:vMerge w:val="restar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歌舞娱乐场所、游艺娱乐场所</w:t>
            </w:r>
          </w:p>
        </w:tc>
        <w:tc>
          <w:tcPr>
            <w:tcW w:w="1358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一类城市</w:t>
            </w:r>
          </w:p>
        </w:tc>
        <w:tc>
          <w:tcPr>
            <w:tcW w:w="4890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 xml:space="preserve">建筑面积大于1500㎡的歌舞娱乐场所、游艺娱乐场所。 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二类城市</w:t>
            </w:r>
          </w:p>
        </w:tc>
        <w:tc>
          <w:tcPr>
            <w:tcW w:w="4890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建筑面积大于800㎡的歌舞娱乐场所、游艺娱乐场所。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三、四类城市</w:t>
            </w:r>
          </w:p>
        </w:tc>
        <w:tc>
          <w:tcPr>
            <w:tcW w:w="4890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建筑面积大于500㎡的歌舞娱乐场所、游艺娱乐场所。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76" w:type="dxa"/>
            <w:vMerge w:val="restar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星级旅游饭店</w:t>
            </w:r>
          </w:p>
        </w:tc>
        <w:tc>
          <w:tcPr>
            <w:tcW w:w="1358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一类城市</w:t>
            </w:r>
          </w:p>
        </w:tc>
        <w:tc>
          <w:tcPr>
            <w:tcW w:w="4890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五星级以上旅游饭店。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二类城市</w:t>
            </w:r>
          </w:p>
        </w:tc>
        <w:tc>
          <w:tcPr>
            <w:tcW w:w="4890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四星级以上旅游饭店。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三、四类城市</w:t>
            </w:r>
          </w:p>
        </w:tc>
        <w:tc>
          <w:tcPr>
            <w:tcW w:w="4890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三星级以上旅游饭店。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76" w:type="dxa"/>
            <w:vMerge w:val="restar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公共文化场馆</w:t>
            </w:r>
          </w:p>
        </w:tc>
        <w:tc>
          <w:tcPr>
            <w:tcW w:w="1358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一类城市</w:t>
            </w:r>
          </w:p>
        </w:tc>
        <w:tc>
          <w:tcPr>
            <w:tcW w:w="4890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国家二级以上的图书馆或建筑面积大于5000㎡的公共图书馆、美术馆、群艺馆、文化馆、非遗馆、博物馆等。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二、三、四类城市</w:t>
            </w:r>
          </w:p>
        </w:tc>
        <w:tc>
          <w:tcPr>
            <w:tcW w:w="4890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国家二级以上的图书馆或建筑面积大于2500㎡的公共图书馆、美术馆、群艺馆、文化馆、非遗馆、博物馆等。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376" w:type="dxa"/>
            <w:vMerge w:val="restar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文物保护单位</w:t>
            </w:r>
          </w:p>
        </w:tc>
        <w:tc>
          <w:tcPr>
            <w:tcW w:w="1358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一、二类城市</w:t>
            </w:r>
          </w:p>
        </w:tc>
        <w:tc>
          <w:tcPr>
            <w:tcW w:w="4890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具有火灾危险性的省级以上文物保护单位。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三、四类城市</w:t>
            </w:r>
          </w:p>
        </w:tc>
        <w:tc>
          <w:tcPr>
            <w:tcW w:w="4890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具有火灾危险性的地市级以上文物保护单位。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76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A级旅游景区</w:t>
            </w:r>
          </w:p>
        </w:tc>
        <w:tc>
          <w:tcPr>
            <w:tcW w:w="1358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一、二、三、四类城市</w:t>
            </w:r>
          </w:p>
        </w:tc>
        <w:tc>
          <w:tcPr>
            <w:tcW w:w="4890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4A级以上旅游景区。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76" w:type="dxa"/>
            <w:vMerge w:val="restar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其他公共娱乐场所</w:t>
            </w:r>
          </w:p>
        </w:tc>
        <w:tc>
          <w:tcPr>
            <w:tcW w:w="1358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一类城市</w:t>
            </w:r>
          </w:p>
        </w:tc>
        <w:tc>
          <w:tcPr>
            <w:tcW w:w="4890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建筑面积大于1000㎡的其他公共娱乐场所。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二类城市</w:t>
            </w:r>
          </w:p>
        </w:tc>
        <w:tc>
          <w:tcPr>
            <w:tcW w:w="4890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建筑面积大于800㎡的其他公共娱乐场所。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376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三、四类城市</w:t>
            </w:r>
          </w:p>
        </w:tc>
        <w:tc>
          <w:tcPr>
            <w:tcW w:w="4890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建筑面积大于500㎡的其他公共娱乐场所。</w:t>
            </w:r>
          </w:p>
        </w:tc>
        <w:tc>
          <w:tcPr>
            <w:tcW w:w="1293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917" w:type="dxa"/>
            <w:gridSpan w:val="4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其他公共娱乐场所指除电影院、剧场剧院演出经营场所、歌舞娱乐场所、游艺娱乐场所外的公共娱乐场所。</w:t>
            </w:r>
          </w:p>
        </w:tc>
      </w:tr>
    </w:tbl>
    <w:p>
      <w:pPr>
        <w:pStyle w:val="3"/>
        <w:spacing w:line="560" w:lineRule="exact"/>
        <w:ind w:firstLine="640" w:firstLineChars="0"/>
        <w:rPr>
          <w:rFonts w:ascii="黑体" w:hAnsi="黑体" w:eastAsia="黑体" w:cs="黑体"/>
          <w:kern w:val="21"/>
          <w:szCs w:val="32"/>
        </w:rPr>
      </w:pPr>
      <w:r>
        <w:rPr>
          <w:rFonts w:hint="eastAsia" w:ascii="黑体" w:hAnsi="黑体" w:eastAsia="黑体" w:cs="黑体"/>
          <w:kern w:val="21"/>
          <w:szCs w:val="32"/>
        </w:rPr>
        <w:t>四、</w:t>
      </w:r>
      <w:r>
        <w:rPr>
          <w:rFonts w:hint="eastAsia" w:ascii="黑体" w:hAnsi="黑体" w:eastAsia="黑体" w:cs="黑体"/>
          <w:szCs w:val="32"/>
        </w:rPr>
        <w:t>医疗机构（包括医院、卫生院、社区卫生服务中心、诊所、卫生所（室）、疾控中心、急救站以及疗养院等场所）</w:t>
      </w:r>
    </w:p>
    <w:tbl>
      <w:tblPr>
        <w:tblStyle w:val="7"/>
        <w:tblW w:w="89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435"/>
        <w:gridCol w:w="4977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12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单位类型</w:t>
            </w:r>
          </w:p>
        </w:tc>
        <w:tc>
          <w:tcPr>
            <w:tcW w:w="1435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城市类型</w:t>
            </w:r>
          </w:p>
        </w:tc>
        <w:tc>
          <w:tcPr>
            <w:tcW w:w="4977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界定标准</w:t>
            </w:r>
          </w:p>
        </w:tc>
        <w:tc>
          <w:tcPr>
            <w:tcW w:w="131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12" w:type="dxa"/>
            <w:vMerge w:val="restar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医疗机构</w:t>
            </w:r>
          </w:p>
        </w:tc>
        <w:tc>
          <w:tcPr>
            <w:tcW w:w="1435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一类城市</w:t>
            </w:r>
          </w:p>
        </w:tc>
        <w:tc>
          <w:tcPr>
            <w:tcW w:w="4977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三级以上（住院床位总数500张以上）医院及同等规模的其他医疗机构。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卫健部门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ind w:firstLine="645"/>
              <w:jc w:val="center"/>
              <w:rPr>
                <w:rFonts w:ascii="仿宋" w:hAnsi="仿宋" w:eastAsia="仿宋" w:cs="仿宋"/>
                <w:kern w:val="21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二、三、四类城市</w:t>
            </w:r>
          </w:p>
        </w:tc>
        <w:tc>
          <w:tcPr>
            <w:tcW w:w="4977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二级以上（住院床位总数100张以上）医院及同等规模的其他医疗机构。</w:t>
            </w:r>
          </w:p>
        </w:tc>
        <w:tc>
          <w:tcPr>
            <w:tcW w:w="1311" w:type="dxa"/>
            <w:vMerge w:val="continue"/>
            <w:vAlign w:val="center"/>
          </w:tcPr>
          <w:p>
            <w:pPr>
              <w:pStyle w:val="5"/>
              <w:ind w:firstLine="645"/>
              <w:jc w:val="distribute"/>
              <w:rPr>
                <w:rFonts w:ascii="仿宋" w:hAnsi="仿宋" w:eastAsia="仿宋" w:cs="仿宋"/>
                <w:kern w:val="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12" w:type="dxa"/>
            <w:vMerge w:val="restar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托育机构</w:t>
            </w:r>
          </w:p>
        </w:tc>
        <w:tc>
          <w:tcPr>
            <w:tcW w:w="1435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一类城市</w:t>
            </w:r>
          </w:p>
        </w:tc>
        <w:tc>
          <w:tcPr>
            <w:tcW w:w="4977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大型以上托育机构。</w:t>
            </w:r>
          </w:p>
        </w:tc>
        <w:tc>
          <w:tcPr>
            <w:tcW w:w="1311" w:type="dxa"/>
            <w:vMerge w:val="continue"/>
            <w:vAlign w:val="center"/>
          </w:tcPr>
          <w:p>
            <w:pPr>
              <w:pStyle w:val="5"/>
              <w:ind w:firstLine="645"/>
              <w:jc w:val="distribute"/>
              <w:rPr>
                <w:rFonts w:ascii="仿宋" w:hAnsi="仿宋" w:eastAsia="仿宋" w:cs="仿宋"/>
                <w:kern w:val="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12" w:type="dxa"/>
            <w:vMerge w:val="continue"/>
            <w:vAlign w:val="center"/>
          </w:tcPr>
          <w:p>
            <w:pPr>
              <w:ind w:firstLine="645"/>
              <w:jc w:val="center"/>
              <w:rPr>
                <w:rFonts w:ascii="仿宋" w:hAnsi="仿宋" w:eastAsia="仿宋" w:cs="仿宋"/>
                <w:kern w:val="21"/>
                <w:szCs w:val="21"/>
              </w:rPr>
            </w:pPr>
          </w:p>
        </w:tc>
        <w:tc>
          <w:tcPr>
            <w:tcW w:w="1435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二、三、四类城市</w:t>
            </w:r>
          </w:p>
        </w:tc>
        <w:tc>
          <w:tcPr>
            <w:tcW w:w="4977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中型以上托育机构。</w:t>
            </w:r>
          </w:p>
        </w:tc>
        <w:tc>
          <w:tcPr>
            <w:tcW w:w="1311" w:type="dxa"/>
            <w:vMerge w:val="continue"/>
            <w:vAlign w:val="center"/>
          </w:tcPr>
          <w:p>
            <w:pPr>
              <w:pStyle w:val="5"/>
              <w:ind w:firstLine="645"/>
              <w:jc w:val="distribute"/>
              <w:rPr>
                <w:rFonts w:ascii="仿宋" w:hAnsi="仿宋" w:eastAsia="仿宋" w:cs="仿宋"/>
                <w:kern w:val="21"/>
                <w:sz w:val="21"/>
                <w:szCs w:val="21"/>
              </w:rPr>
            </w:pPr>
          </w:p>
        </w:tc>
      </w:tr>
    </w:tbl>
    <w:p>
      <w:pPr>
        <w:pStyle w:val="3"/>
        <w:spacing w:line="560" w:lineRule="exact"/>
        <w:ind w:firstLine="640"/>
        <w:rPr>
          <w:rFonts w:ascii="仿宋" w:hAnsi="仿宋" w:cs="仿宋"/>
          <w:kern w:val="21"/>
          <w:szCs w:val="32"/>
        </w:rPr>
      </w:pPr>
      <w:r>
        <w:rPr>
          <w:rFonts w:hint="eastAsia" w:ascii="黑体" w:hAnsi="黑体" w:eastAsia="黑体" w:cs="黑体"/>
          <w:szCs w:val="32"/>
        </w:rPr>
        <w:t>五、养老服务机构（包括养老机构、居家社区养老服务机构等场所）</w:t>
      </w:r>
    </w:p>
    <w:tbl>
      <w:tblPr>
        <w:tblStyle w:val="7"/>
        <w:tblW w:w="8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504"/>
        <w:gridCol w:w="4870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44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单位类型</w:t>
            </w:r>
          </w:p>
        </w:tc>
        <w:tc>
          <w:tcPr>
            <w:tcW w:w="1504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城市类型</w:t>
            </w:r>
          </w:p>
        </w:tc>
        <w:tc>
          <w:tcPr>
            <w:tcW w:w="4870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界定标准</w:t>
            </w:r>
          </w:p>
        </w:tc>
        <w:tc>
          <w:tcPr>
            <w:tcW w:w="1382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44" w:type="dxa"/>
            <w:vMerge w:val="restar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养老服务机构</w:t>
            </w:r>
          </w:p>
        </w:tc>
        <w:tc>
          <w:tcPr>
            <w:tcW w:w="1504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一类城市</w:t>
            </w:r>
          </w:p>
        </w:tc>
        <w:tc>
          <w:tcPr>
            <w:tcW w:w="4870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床位总数300张以上养老服务机构。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民政部门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ind w:firstLine="645"/>
              <w:jc w:val="center"/>
              <w:rPr>
                <w:rFonts w:ascii="仿宋" w:hAnsi="仿宋" w:eastAsia="仿宋" w:cs="仿宋"/>
                <w:kern w:val="21"/>
                <w:szCs w:val="21"/>
              </w:rPr>
            </w:pPr>
          </w:p>
        </w:tc>
        <w:tc>
          <w:tcPr>
            <w:tcW w:w="1504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二类城市</w:t>
            </w:r>
          </w:p>
        </w:tc>
        <w:tc>
          <w:tcPr>
            <w:tcW w:w="4870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床位总数200张以上养老服务机构。</w:t>
            </w:r>
          </w:p>
        </w:tc>
        <w:tc>
          <w:tcPr>
            <w:tcW w:w="1382" w:type="dxa"/>
            <w:vMerge w:val="continue"/>
            <w:vAlign w:val="center"/>
          </w:tcPr>
          <w:p>
            <w:pPr>
              <w:pStyle w:val="5"/>
              <w:ind w:firstLine="645"/>
              <w:jc w:val="left"/>
              <w:rPr>
                <w:rFonts w:ascii="仿宋" w:hAnsi="仿宋" w:eastAsia="仿宋" w:cs="仿宋"/>
                <w:kern w:val="2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ind w:firstLine="645"/>
              <w:jc w:val="center"/>
              <w:rPr>
                <w:rFonts w:ascii="仿宋" w:hAnsi="仿宋" w:eastAsia="仿宋" w:cs="仿宋"/>
                <w:kern w:val="21"/>
                <w:szCs w:val="21"/>
              </w:rPr>
            </w:pPr>
          </w:p>
        </w:tc>
        <w:tc>
          <w:tcPr>
            <w:tcW w:w="1504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三、四类城市</w:t>
            </w:r>
          </w:p>
        </w:tc>
        <w:tc>
          <w:tcPr>
            <w:tcW w:w="4870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床位总数100张以上养老服务机构。</w:t>
            </w:r>
          </w:p>
        </w:tc>
        <w:tc>
          <w:tcPr>
            <w:tcW w:w="1382" w:type="dxa"/>
            <w:vMerge w:val="continue"/>
            <w:vAlign w:val="center"/>
          </w:tcPr>
          <w:p>
            <w:pPr>
              <w:pStyle w:val="5"/>
              <w:ind w:firstLine="645"/>
              <w:jc w:val="left"/>
              <w:rPr>
                <w:rFonts w:ascii="仿宋" w:hAnsi="仿宋" w:eastAsia="仿宋" w:cs="仿宋"/>
                <w:kern w:val="21"/>
                <w:sz w:val="21"/>
                <w:szCs w:val="21"/>
              </w:rPr>
            </w:pPr>
          </w:p>
        </w:tc>
      </w:tr>
    </w:tbl>
    <w:p>
      <w:pPr>
        <w:pStyle w:val="3"/>
        <w:spacing w:line="560" w:lineRule="exact"/>
        <w:ind w:firstLine="640"/>
        <w:rPr>
          <w:rFonts w:ascii="仿宋" w:hAnsi="仿宋" w:cs="仿宋"/>
          <w:kern w:val="21"/>
          <w:szCs w:val="32"/>
        </w:rPr>
      </w:pPr>
      <w:r>
        <w:rPr>
          <w:rFonts w:hint="eastAsia" w:ascii="黑体" w:hAnsi="黑体" w:eastAsia="黑体" w:cs="黑体"/>
          <w:szCs w:val="32"/>
        </w:rPr>
        <w:t>六、宗教活动场所（包括寺院、宫观、清真寺、教堂和其他固定宗教活动处所）</w:t>
      </w:r>
    </w:p>
    <w:tbl>
      <w:tblPr>
        <w:tblStyle w:val="7"/>
        <w:tblW w:w="88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577"/>
        <w:gridCol w:w="4760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4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单位类型</w:t>
            </w:r>
          </w:p>
        </w:tc>
        <w:tc>
          <w:tcPr>
            <w:tcW w:w="1577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城市类型</w:t>
            </w:r>
          </w:p>
        </w:tc>
        <w:tc>
          <w:tcPr>
            <w:tcW w:w="4760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界定标准</w:t>
            </w:r>
          </w:p>
        </w:tc>
        <w:tc>
          <w:tcPr>
            <w:tcW w:w="1378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1164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宗教活动</w:t>
            </w:r>
          </w:p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场所</w:t>
            </w:r>
          </w:p>
        </w:tc>
        <w:tc>
          <w:tcPr>
            <w:tcW w:w="1577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一、二、三、四类城市</w:t>
            </w:r>
          </w:p>
        </w:tc>
        <w:tc>
          <w:tcPr>
            <w:tcW w:w="4760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1.总建筑面积1000㎡以上功能较全、设施较完备的佛教寺院。</w:t>
            </w:r>
          </w:p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2.总建筑面积600㎡以上的道教宫观。</w:t>
            </w:r>
          </w:p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3.总建筑面积500㎡以上的伊斯兰清真寺。</w:t>
            </w:r>
          </w:p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4.总建筑面积500㎡以上的天主教教堂、基督教教堂。</w:t>
            </w:r>
          </w:p>
        </w:tc>
        <w:tc>
          <w:tcPr>
            <w:tcW w:w="1378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民宗部门</w:t>
            </w:r>
          </w:p>
        </w:tc>
      </w:tr>
    </w:tbl>
    <w:p>
      <w:pPr>
        <w:pStyle w:val="3"/>
        <w:spacing w:line="560" w:lineRule="exact"/>
        <w:ind w:firstLine="64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七、中小学校、高等学校和学前教育场所</w:t>
      </w:r>
    </w:p>
    <w:tbl>
      <w:tblPr>
        <w:tblStyle w:val="7"/>
        <w:tblW w:w="8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443"/>
        <w:gridCol w:w="4801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172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单位类型</w:t>
            </w:r>
          </w:p>
        </w:tc>
        <w:tc>
          <w:tcPr>
            <w:tcW w:w="1443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城市类型</w:t>
            </w:r>
          </w:p>
        </w:tc>
        <w:tc>
          <w:tcPr>
            <w:tcW w:w="4801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界定标准</w:t>
            </w:r>
          </w:p>
        </w:tc>
        <w:tc>
          <w:tcPr>
            <w:tcW w:w="1384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幼儿园等学前教育场所</w:t>
            </w:r>
          </w:p>
        </w:tc>
        <w:tc>
          <w:tcPr>
            <w:tcW w:w="1443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一类城市</w:t>
            </w:r>
          </w:p>
        </w:tc>
        <w:tc>
          <w:tcPr>
            <w:tcW w:w="480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设置有9个班级以上的幼儿园。</w:t>
            </w:r>
          </w:p>
        </w:tc>
        <w:tc>
          <w:tcPr>
            <w:tcW w:w="1384" w:type="dxa"/>
            <w:vMerge w:val="restar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教育部门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72" w:type="dxa"/>
            <w:vMerge w:val="continue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443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二、三、四类城市</w:t>
            </w:r>
          </w:p>
        </w:tc>
        <w:tc>
          <w:tcPr>
            <w:tcW w:w="480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设置有6个班级以上的幼儿园。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  <w:jc w:val="center"/>
        </w:trPr>
        <w:tc>
          <w:tcPr>
            <w:tcW w:w="1172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中小学校（含普通中小学、中等职业学校、特殊教育学校、专门学校）</w:t>
            </w:r>
          </w:p>
        </w:tc>
        <w:tc>
          <w:tcPr>
            <w:tcW w:w="1443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一、二、三、四类城市</w:t>
            </w:r>
          </w:p>
        </w:tc>
        <w:tc>
          <w:tcPr>
            <w:tcW w:w="480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在校生1000人以上或寄宿生300人以上。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72" w:type="dxa"/>
            <w:vMerge w:val="restar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高等学校</w:t>
            </w:r>
          </w:p>
        </w:tc>
        <w:tc>
          <w:tcPr>
            <w:tcW w:w="1443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一类城市</w:t>
            </w:r>
          </w:p>
        </w:tc>
        <w:tc>
          <w:tcPr>
            <w:tcW w:w="480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学生数10000人以上。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443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二、三类城市</w:t>
            </w:r>
          </w:p>
        </w:tc>
        <w:tc>
          <w:tcPr>
            <w:tcW w:w="480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学生数8000人以上。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72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443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四类城市</w:t>
            </w:r>
          </w:p>
        </w:tc>
        <w:tc>
          <w:tcPr>
            <w:tcW w:w="480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学生数5000人以上。</w:t>
            </w:r>
          </w:p>
        </w:tc>
        <w:tc>
          <w:tcPr>
            <w:tcW w:w="1384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sz w:val="21"/>
                <w:szCs w:val="21"/>
              </w:rPr>
            </w:pPr>
          </w:p>
        </w:tc>
      </w:tr>
    </w:tbl>
    <w:p>
      <w:pPr>
        <w:pStyle w:val="3"/>
        <w:spacing w:line="560" w:lineRule="exact"/>
        <w:ind w:firstLine="640"/>
        <w:rPr>
          <w:rFonts w:ascii="方正仿宋_GBK" w:hAnsi="方正仿宋_GBK" w:eastAsia="方正仿宋_GBK" w:cs="方正仿宋_GBK"/>
          <w:szCs w:val="32"/>
        </w:rPr>
      </w:pPr>
      <w:r>
        <w:rPr>
          <w:rFonts w:hint="eastAsia" w:ascii="黑体" w:hAnsi="仿宋" w:eastAsia="黑体" w:cs="仿宋"/>
          <w:szCs w:val="32"/>
        </w:rPr>
        <w:t>八、电影院、</w:t>
      </w:r>
      <w:r>
        <w:rPr>
          <w:rFonts w:hint="eastAsia" w:ascii="黑体" w:hAnsi="黑体" w:eastAsia="黑体" w:cs="黑体"/>
          <w:szCs w:val="32"/>
        </w:rPr>
        <w:t>报社、广播电视台和新媒体传媒等场所</w:t>
      </w:r>
    </w:p>
    <w:tbl>
      <w:tblPr>
        <w:tblStyle w:val="7"/>
        <w:tblW w:w="8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421"/>
        <w:gridCol w:w="4816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222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单位类型</w:t>
            </w:r>
          </w:p>
        </w:tc>
        <w:tc>
          <w:tcPr>
            <w:tcW w:w="1421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城市类型</w:t>
            </w:r>
          </w:p>
        </w:tc>
        <w:tc>
          <w:tcPr>
            <w:tcW w:w="4816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界定标准</w:t>
            </w:r>
          </w:p>
        </w:tc>
        <w:tc>
          <w:tcPr>
            <w:tcW w:w="1341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222" w:type="dxa"/>
            <w:vMerge w:val="restar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黑体" w:hAnsi="仿宋" w:eastAsia="黑体" w:cs="仿宋"/>
                <w:szCs w:val="32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电影院</w:t>
            </w:r>
          </w:p>
        </w:tc>
        <w:tc>
          <w:tcPr>
            <w:tcW w:w="142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一类城市</w:t>
            </w:r>
          </w:p>
        </w:tc>
        <w:tc>
          <w:tcPr>
            <w:tcW w:w="4816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总建筑面积大于2500㎡的电影院、营业性室内健身场馆。</w:t>
            </w:r>
          </w:p>
        </w:tc>
        <w:tc>
          <w:tcPr>
            <w:tcW w:w="1341" w:type="dxa"/>
            <w:vMerge w:val="restar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宣传部门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222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rPr>
                <w:rFonts w:ascii="黑体" w:hAnsi="仿宋" w:eastAsia="黑体" w:cs="仿宋"/>
                <w:szCs w:val="32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二类城市</w:t>
            </w:r>
          </w:p>
        </w:tc>
        <w:tc>
          <w:tcPr>
            <w:tcW w:w="4816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总建筑面积大于1500㎡的电影院、营业性室内健身场馆。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222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rPr>
                <w:rFonts w:ascii="黑体" w:hAnsi="仿宋" w:eastAsia="黑体" w:cs="仿宋"/>
                <w:szCs w:val="32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三类城市</w:t>
            </w:r>
          </w:p>
        </w:tc>
        <w:tc>
          <w:tcPr>
            <w:tcW w:w="4816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总建筑面积大于1000㎡的电影院、营业性室内健身场馆。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222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rPr>
                <w:rFonts w:ascii="黑体" w:hAnsi="仿宋" w:eastAsia="黑体" w:cs="仿宋"/>
                <w:szCs w:val="32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四类城市</w:t>
            </w:r>
          </w:p>
        </w:tc>
        <w:tc>
          <w:tcPr>
            <w:tcW w:w="4816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总建筑面积大于500㎡的电影院、营业性室内健身场馆。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1222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报社、广播电视台、新媒体传媒</w:t>
            </w:r>
          </w:p>
        </w:tc>
        <w:tc>
          <w:tcPr>
            <w:tcW w:w="142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一、二、三、四类城市</w:t>
            </w:r>
          </w:p>
        </w:tc>
        <w:tc>
          <w:tcPr>
            <w:tcW w:w="4816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地市级以上报社、广播电视台、新媒体传媒等新闻媒介单位。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</w:tr>
    </w:tbl>
    <w:p>
      <w:pPr>
        <w:pStyle w:val="3"/>
        <w:spacing w:line="560" w:lineRule="exact"/>
        <w:ind w:firstLine="64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九、银行业金融场所</w:t>
      </w:r>
    </w:p>
    <w:tbl>
      <w:tblPr>
        <w:tblStyle w:val="7"/>
        <w:tblW w:w="8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417"/>
        <w:gridCol w:w="4827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7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单位类型</w:t>
            </w:r>
          </w:p>
        </w:tc>
        <w:tc>
          <w:tcPr>
            <w:tcW w:w="1417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城市类型</w:t>
            </w:r>
          </w:p>
        </w:tc>
        <w:tc>
          <w:tcPr>
            <w:tcW w:w="4827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界定标准</w:t>
            </w:r>
          </w:p>
        </w:tc>
        <w:tc>
          <w:tcPr>
            <w:tcW w:w="1385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71" w:type="dxa"/>
            <w:vMerge w:val="restar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银行（营业场所）</w:t>
            </w:r>
          </w:p>
        </w:tc>
        <w:tc>
          <w:tcPr>
            <w:tcW w:w="1417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一类城市</w:t>
            </w:r>
          </w:p>
        </w:tc>
        <w:tc>
          <w:tcPr>
            <w:tcW w:w="4827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二级分行（市行）以上银行。</w:t>
            </w:r>
          </w:p>
        </w:tc>
        <w:tc>
          <w:tcPr>
            <w:tcW w:w="1385" w:type="dxa"/>
            <w:vMerge w:val="restar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金融监管部门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171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二、三、四类城市</w:t>
            </w:r>
          </w:p>
        </w:tc>
        <w:tc>
          <w:tcPr>
            <w:tcW w:w="4827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一级支行（县行）以上银行。</w:t>
            </w:r>
          </w:p>
        </w:tc>
        <w:tc>
          <w:tcPr>
            <w:tcW w:w="1385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sz w:val="21"/>
                <w:szCs w:val="21"/>
              </w:rPr>
            </w:pPr>
          </w:p>
        </w:tc>
      </w:tr>
    </w:tbl>
    <w:p>
      <w:pPr>
        <w:pStyle w:val="3"/>
        <w:spacing w:line="560" w:lineRule="exact"/>
        <w:ind w:firstLine="64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十、粮库</w:t>
      </w:r>
    </w:p>
    <w:tbl>
      <w:tblPr>
        <w:tblStyle w:val="7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434"/>
        <w:gridCol w:w="4764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8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单位类型</w:t>
            </w:r>
          </w:p>
        </w:tc>
        <w:tc>
          <w:tcPr>
            <w:tcW w:w="1434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城市类型</w:t>
            </w:r>
          </w:p>
        </w:tc>
        <w:tc>
          <w:tcPr>
            <w:tcW w:w="4764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界定标准</w:t>
            </w:r>
          </w:p>
        </w:tc>
        <w:tc>
          <w:tcPr>
            <w:tcW w:w="1341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81" w:type="dxa"/>
            <w:vMerge w:val="restar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粮库</w:t>
            </w:r>
          </w:p>
        </w:tc>
        <w:tc>
          <w:tcPr>
            <w:tcW w:w="1434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一类城市</w:t>
            </w:r>
          </w:p>
        </w:tc>
        <w:tc>
          <w:tcPr>
            <w:tcW w:w="4764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二类以上（总仓容量大于5万吨）的粮库。</w:t>
            </w:r>
          </w:p>
        </w:tc>
        <w:tc>
          <w:tcPr>
            <w:tcW w:w="1341" w:type="dxa"/>
            <w:vMerge w:val="restar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粮食部门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81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二类城市</w:t>
            </w:r>
          </w:p>
        </w:tc>
        <w:tc>
          <w:tcPr>
            <w:tcW w:w="4764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三类以上（总仓容量大于2.5万吨）的粮库。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81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三、四类城市</w:t>
            </w:r>
          </w:p>
        </w:tc>
        <w:tc>
          <w:tcPr>
            <w:tcW w:w="4764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四类以上（总仓容量大于1万吨）的粮库。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sz w:val="21"/>
                <w:szCs w:val="21"/>
              </w:rPr>
            </w:pPr>
          </w:p>
        </w:tc>
      </w:tr>
    </w:tbl>
    <w:p>
      <w:pPr>
        <w:pStyle w:val="3"/>
        <w:spacing w:line="560" w:lineRule="exact"/>
        <w:ind w:firstLine="64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十一、棉花仓库</w:t>
      </w:r>
    </w:p>
    <w:tbl>
      <w:tblPr>
        <w:tblStyle w:val="7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434"/>
        <w:gridCol w:w="4764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8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单位类型</w:t>
            </w:r>
          </w:p>
        </w:tc>
        <w:tc>
          <w:tcPr>
            <w:tcW w:w="1434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城市类型</w:t>
            </w:r>
          </w:p>
        </w:tc>
        <w:tc>
          <w:tcPr>
            <w:tcW w:w="4764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界定标准</w:t>
            </w:r>
          </w:p>
        </w:tc>
        <w:tc>
          <w:tcPr>
            <w:tcW w:w="1341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81" w:type="dxa"/>
            <w:vMerge w:val="restar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棉花仓库</w:t>
            </w:r>
          </w:p>
        </w:tc>
        <w:tc>
          <w:tcPr>
            <w:tcW w:w="1434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一类城市</w:t>
            </w:r>
          </w:p>
        </w:tc>
        <w:tc>
          <w:tcPr>
            <w:tcW w:w="4764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一类以上（存储量大于5万吨）的棉花储备库；一类以上（流通量大于10万吨）的棉花经营库。</w:t>
            </w:r>
          </w:p>
        </w:tc>
        <w:tc>
          <w:tcPr>
            <w:tcW w:w="1341" w:type="dxa"/>
            <w:vMerge w:val="restar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供销合作社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81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二类城市</w:t>
            </w:r>
          </w:p>
        </w:tc>
        <w:tc>
          <w:tcPr>
            <w:tcW w:w="4764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二类以上（存储量大于3万吨）的棉花储备库；二类以上（流通量大于5万吨）的棉花经营库。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81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434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三、四类城市</w:t>
            </w:r>
          </w:p>
        </w:tc>
        <w:tc>
          <w:tcPr>
            <w:tcW w:w="4764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三类以上（存储量大于1万吨）的棉花储备库；三类以上（流通量大于1万吨）的棉花经营库。</w:t>
            </w:r>
          </w:p>
        </w:tc>
        <w:tc>
          <w:tcPr>
            <w:tcW w:w="1341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sz w:val="21"/>
                <w:szCs w:val="21"/>
              </w:rPr>
            </w:pPr>
          </w:p>
        </w:tc>
      </w:tr>
    </w:tbl>
    <w:p>
      <w:pPr>
        <w:pStyle w:val="3"/>
        <w:spacing w:line="560" w:lineRule="exact"/>
        <w:ind w:firstLine="640"/>
        <w:rPr>
          <w:rFonts w:ascii="仿宋" w:hAnsi="仿宋" w:cs="仿宋"/>
          <w:szCs w:val="32"/>
        </w:rPr>
      </w:pPr>
      <w:r>
        <w:rPr>
          <w:rFonts w:hint="eastAsia" w:ascii="黑体" w:hAnsi="黑体" w:eastAsia="黑体" w:cs="黑体"/>
          <w:szCs w:val="32"/>
        </w:rPr>
        <w:t>十二、工业企业</w:t>
      </w:r>
    </w:p>
    <w:tbl>
      <w:tblPr>
        <w:tblStyle w:val="7"/>
        <w:tblW w:w="87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73"/>
        <w:gridCol w:w="4800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7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单位类型</w:t>
            </w:r>
          </w:p>
        </w:tc>
        <w:tc>
          <w:tcPr>
            <w:tcW w:w="1473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城市类型</w:t>
            </w:r>
          </w:p>
        </w:tc>
        <w:tc>
          <w:tcPr>
            <w:tcW w:w="4800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界定标准</w:t>
            </w:r>
          </w:p>
        </w:tc>
        <w:tc>
          <w:tcPr>
            <w:tcW w:w="1271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7" w:type="dxa"/>
            <w:vMerge w:val="restar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工业企业</w:t>
            </w:r>
          </w:p>
        </w:tc>
        <w:tc>
          <w:tcPr>
            <w:tcW w:w="1473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一类城市</w:t>
            </w:r>
          </w:p>
        </w:tc>
        <w:tc>
          <w:tcPr>
            <w:tcW w:w="4800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大型（从业人员≥1000人，营业收入≥40000万元）以上，经营甲、乙、丙类厂房的企业。</w:t>
            </w:r>
          </w:p>
        </w:tc>
        <w:tc>
          <w:tcPr>
            <w:tcW w:w="1271" w:type="dxa"/>
            <w:vMerge w:val="restar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经信部门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7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473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二、三、四类城市</w:t>
            </w:r>
          </w:p>
        </w:tc>
        <w:tc>
          <w:tcPr>
            <w:tcW w:w="4800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中型（从业人员300-1000人，营业收入2000-40000万元）以上，经营甲、乙、丙类厂房的企业。</w:t>
            </w:r>
          </w:p>
        </w:tc>
        <w:tc>
          <w:tcPr>
            <w:tcW w:w="1271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rPr>
                <w:rFonts w:ascii="仿宋"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460" w:type="dxa"/>
            <w:gridSpan w:val="3"/>
            <w:vAlign w:val="center"/>
          </w:tcPr>
          <w:p>
            <w:pPr>
              <w:pStyle w:val="3"/>
              <w:spacing w:line="560" w:lineRule="exact"/>
              <w:ind w:firstLine="0" w:firstLineChars="0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备注：大型、中型企业须同时满足所列指标的下限，否则下划一档。</w:t>
            </w:r>
          </w:p>
        </w:tc>
        <w:tc>
          <w:tcPr>
            <w:tcW w:w="1271" w:type="dxa"/>
            <w:vMerge w:val="continue"/>
            <w:vAlign w:val="center"/>
          </w:tcPr>
          <w:p>
            <w:pPr>
              <w:pStyle w:val="3"/>
              <w:spacing w:line="560" w:lineRule="exact"/>
              <w:ind w:firstLine="0" w:firstLineChars="0"/>
              <w:rPr>
                <w:rFonts w:ascii="仿宋" w:hAnsi="仿宋" w:cs="仿宋"/>
                <w:sz w:val="21"/>
                <w:szCs w:val="21"/>
              </w:rPr>
            </w:pPr>
          </w:p>
        </w:tc>
      </w:tr>
    </w:tbl>
    <w:p>
      <w:pPr>
        <w:pStyle w:val="3"/>
        <w:spacing w:line="560" w:lineRule="exact"/>
        <w:ind w:firstLine="640"/>
        <w:rPr>
          <w:rFonts w:ascii="仿宋" w:hAnsi="仿宋" w:cs="仿宋"/>
          <w:szCs w:val="32"/>
        </w:rPr>
      </w:pPr>
      <w:r>
        <w:rPr>
          <w:rFonts w:hint="eastAsia" w:ascii="黑体" w:hAnsi="黑体" w:eastAsia="黑体" w:cs="黑体"/>
          <w:szCs w:val="32"/>
        </w:rPr>
        <w:t>十三、科技馆、科研院所</w:t>
      </w:r>
    </w:p>
    <w:tbl>
      <w:tblPr>
        <w:tblStyle w:val="7"/>
        <w:tblW w:w="8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621"/>
        <w:gridCol w:w="468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18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单位类型</w:t>
            </w:r>
          </w:p>
        </w:tc>
        <w:tc>
          <w:tcPr>
            <w:tcW w:w="1621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城市类型</w:t>
            </w:r>
          </w:p>
        </w:tc>
        <w:tc>
          <w:tcPr>
            <w:tcW w:w="4685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界定标准</w:t>
            </w:r>
          </w:p>
        </w:tc>
        <w:tc>
          <w:tcPr>
            <w:tcW w:w="1276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118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科技馆</w:t>
            </w:r>
          </w:p>
        </w:tc>
        <w:tc>
          <w:tcPr>
            <w:tcW w:w="162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一、二、三、四类城市</w:t>
            </w:r>
          </w:p>
        </w:tc>
        <w:tc>
          <w:tcPr>
            <w:tcW w:w="4685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中型以上（8000㎡以上）科技馆。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科技部门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118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科研院所</w:t>
            </w:r>
          </w:p>
        </w:tc>
        <w:tc>
          <w:tcPr>
            <w:tcW w:w="162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一、二、三、四类城市</w:t>
            </w:r>
          </w:p>
        </w:tc>
        <w:tc>
          <w:tcPr>
            <w:tcW w:w="4685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具有火灾危险性的地市级以上科研单位。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rPr>
                <w:rFonts w:ascii="仿宋" w:hAnsi="仿宋" w:cs="仿宋"/>
                <w:sz w:val="21"/>
                <w:szCs w:val="21"/>
              </w:rPr>
            </w:pPr>
          </w:p>
        </w:tc>
      </w:tr>
    </w:tbl>
    <w:p>
      <w:pPr>
        <w:pStyle w:val="3"/>
        <w:spacing w:line="560" w:lineRule="exact"/>
        <w:ind w:firstLine="640"/>
        <w:rPr>
          <w:rFonts w:ascii="仿宋" w:hAnsi="仿宋" w:cs="仿宋"/>
          <w:szCs w:val="32"/>
        </w:rPr>
      </w:pPr>
      <w:r>
        <w:rPr>
          <w:rFonts w:hint="eastAsia" w:ascii="黑体" w:hAnsi="黑体" w:eastAsia="黑体" w:cs="黑体"/>
          <w:szCs w:val="32"/>
        </w:rPr>
        <w:t>十</w:t>
      </w:r>
      <w:r>
        <w:rPr>
          <w:rFonts w:hint="eastAsia" w:ascii="黑体" w:hAnsi="黑体" w:eastAsia="黑体" w:cs="黑体"/>
          <w:kern w:val="21"/>
          <w:szCs w:val="32"/>
        </w:rPr>
        <w:t>四</w:t>
      </w:r>
      <w:r>
        <w:rPr>
          <w:rFonts w:hint="eastAsia" w:ascii="黑体" w:hAnsi="黑体" w:eastAsia="黑体" w:cs="黑体"/>
          <w:szCs w:val="32"/>
        </w:rPr>
        <w:t>、邮政公司、快递企业</w:t>
      </w:r>
    </w:p>
    <w:tbl>
      <w:tblPr>
        <w:tblStyle w:val="7"/>
        <w:tblW w:w="8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530"/>
        <w:gridCol w:w="4793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83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单位类型</w:t>
            </w:r>
          </w:p>
        </w:tc>
        <w:tc>
          <w:tcPr>
            <w:tcW w:w="1530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城市类型</w:t>
            </w:r>
          </w:p>
        </w:tc>
        <w:tc>
          <w:tcPr>
            <w:tcW w:w="4793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界定标准</w:t>
            </w:r>
          </w:p>
        </w:tc>
        <w:tc>
          <w:tcPr>
            <w:tcW w:w="1294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183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邮政快递企业</w:t>
            </w:r>
          </w:p>
        </w:tc>
        <w:tc>
          <w:tcPr>
            <w:tcW w:w="1530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一、二、三、四类城市</w:t>
            </w:r>
          </w:p>
        </w:tc>
        <w:tc>
          <w:tcPr>
            <w:tcW w:w="4793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市、县（市、区）级邮政公司邮件集中处理场地（中心）；各快递企业省级快件处理场所。</w:t>
            </w:r>
          </w:p>
        </w:tc>
        <w:tc>
          <w:tcPr>
            <w:tcW w:w="1294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邮政管理部门</w:t>
            </w:r>
          </w:p>
        </w:tc>
      </w:tr>
    </w:tbl>
    <w:p>
      <w:pPr>
        <w:pStyle w:val="3"/>
        <w:spacing w:line="560" w:lineRule="exact"/>
        <w:ind w:firstLine="640"/>
        <w:rPr>
          <w:rFonts w:ascii="仿宋" w:hAnsi="仿宋" w:cs="仿宋"/>
          <w:kern w:val="21"/>
          <w:szCs w:val="32"/>
        </w:rPr>
      </w:pPr>
      <w:r>
        <w:rPr>
          <w:rFonts w:hint="eastAsia" w:ascii="黑体" w:hAnsi="黑体" w:eastAsia="黑体" w:cs="黑体"/>
          <w:kern w:val="21"/>
          <w:szCs w:val="32"/>
        </w:rPr>
        <w:t>十五、</w:t>
      </w:r>
      <w:r>
        <w:rPr>
          <w:rFonts w:hint="eastAsia" w:ascii="黑体" w:hAnsi="黑体" w:eastAsia="黑体" w:cs="黑体"/>
          <w:szCs w:val="32"/>
        </w:rPr>
        <w:t>易燃易爆化学物品的生产、充装、储存、供应、销售单位</w:t>
      </w:r>
    </w:p>
    <w:tbl>
      <w:tblPr>
        <w:tblStyle w:val="7"/>
        <w:tblW w:w="89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575"/>
        <w:gridCol w:w="4721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296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单位类型</w:t>
            </w:r>
          </w:p>
        </w:tc>
        <w:tc>
          <w:tcPr>
            <w:tcW w:w="1575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城市类型</w:t>
            </w:r>
          </w:p>
        </w:tc>
        <w:tc>
          <w:tcPr>
            <w:tcW w:w="472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界定标准</w:t>
            </w:r>
          </w:p>
        </w:tc>
        <w:tc>
          <w:tcPr>
            <w:tcW w:w="1354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296" w:type="dxa"/>
            <w:vMerge w:val="restar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kern w:val="21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营业性加油站</w:t>
            </w:r>
          </w:p>
        </w:tc>
        <w:tc>
          <w:tcPr>
            <w:tcW w:w="1575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一类城市</w:t>
            </w:r>
          </w:p>
        </w:tc>
        <w:tc>
          <w:tcPr>
            <w:tcW w:w="472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一级以上营业性加油站。</w:t>
            </w:r>
          </w:p>
        </w:tc>
        <w:tc>
          <w:tcPr>
            <w:tcW w:w="1354" w:type="dxa"/>
            <w:vMerge w:val="restar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应急管理部门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96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kern w:val="21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二类城市</w:t>
            </w:r>
          </w:p>
        </w:tc>
        <w:tc>
          <w:tcPr>
            <w:tcW w:w="472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二级以上营业性加油站。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96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kern w:val="21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三类城市</w:t>
            </w:r>
          </w:p>
        </w:tc>
        <w:tc>
          <w:tcPr>
            <w:tcW w:w="472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三级以上营业性加油站。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96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kern w:val="21"/>
                <w:sz w:val="21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四类城市</w:t>
            </w:r>
          </w:p>
        </w:tc>
        <w:tc>
          <w:tcPr>
            <w:tcW w:w="472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三级以上营业性加油站。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296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kern w:val="21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kern w:val="21"/>
                <w:sz w:val="21"/>
                <w:szCs w:val="21"/>
              </w:rPr>
              <w:t>油库</w:t>
            </w:r>
          </w:p>
        </w:tc>
        <w:tc>
          <w:tcPr>
            <w:tcW w:w="1575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一、二、三、四类城市</w:t>
            </w:r>
          </w:p>
        </w:tc>
        <w:tc>
          <w:tcPr>
            <w:tcW w:w="472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辖区油库。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296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除加油站、油库外的易燃易爆化学物品的生产、充装、储存、供应、销售单位</w:t>
            </w:r>
          </w:p>
        </w:tc>
        <w:tc>
          <w:tcPr>
            <w:tcW w:w="1575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一、二、三、四类城市</w:t>
            </w:r>
          </w:p>
        </w:tc>
        <w:tc>
          <w:tcPr>
            <w:tcW w:w="472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1.易燃易爆化学物品生产企业。</w:t>
            </w:r>
          </w:p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2.储存易燃易爆化学物品的专用仓库（堆场、储罐场所）。</w:t>
            </w:r>
          </w:p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3.经营易燃易爆化学物品（甲、乙类），且甲类物品存放总量达200公斤以上或甲、乙类物品存放总量达500公斤以上的商店。</w:t>
            </w:r>
          </w:p>
        </w:tc>
        <w:tc>
          <w:tcPr>
            <w:tcW w:w="1354" w:type="dxa"/>
            <w:vMerge w:val="continue"/>
            <w:vAlign w:val="center"/>
          </w:tcPr>
          <w:p>
            <w:pPr>
              <w:pStyle w:val="5"/>
              <w:ind w:firstLine="645"/>
              <w:jc w:val="distribute"/>
              <w:rPr>
                <w:rFonts w:ascii="仿宋" w:hAnsi="仿宋" w:eastAsia="仿宋" w:cs="仿宋"/>
                <w:kern w:val="21"/>
                <w:sz w:val="21"/>
                <w:szCs w:val="21"/>
              </w:rPr>
            </w:pPr>
          </w:p>
        </w:tc>
      </w:tr>
    </w:tbl>
    <w:p>
      <w:pPr>
        <w:pStyle w:val="3"/>
        <w:spacing w:line="560" w:lineRule="exact"/>
        <w:ind w:firstLine="640"/>
        <w:rPr>
          <w:rFonts w:ascii="仿宋_GB2312" w:eastAsia="仿宋_GB2312"/>
          <w:szCs w:val="32"/>
        </w:rPr>
      </w:pPr>
      <w:r>
        <w:rPr>
          <w:rFonts w:hint="eastAsia" w:ascii="黑体" w:hAnsi="黑体" w:eastAsia="黑体" w:cs="黑体"/>
          <w:szCs w:val="32"/>
        </w:rPr>
        <w:t>十六、民航机场</w:t>
      </w:r>
    </w:p>
    <w:tbl>
      <w:tblPr>
        <w:tblStyle w:val="7"/>
        <w:tblW w:w="9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597"/>
        <w:gridCol w:w="4805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15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单位类型</w:t>
            </w:r>
          </w:p>
        </w:tc>
        <w:tc>
          <w:tcPr>
            <w:tcW w:w="1597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城市类型</w:t>
            </w:r>
          </w:p>
        </w:tc>
        <w:tc>
          <w:tcPr>
            <w:tcW w:w="4805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界定标准</w:t>
            </w:r>
          </w:p>
        </w:tc>
        <w:tc>
          <w:tcPr>
            <w:tcW w:w="1323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315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民航机场</w:t>
            </w:r>
          </w:p>
        </w:tc>
        <w:tc>
          <w:tcPr>
            <w:tcW w:w="1597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一、二、三、四类城市</w:t>
            </w:r>
          </w:p>
        </w:tc>
        <w:tc>
          <w:tcPr>
            <w:tcW w:w="4805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民航机场。</w:t>
            </w:r>
          </w:p>
        </w:tc>
        <w:tc>
          <w:tcPr>
            <w:tcW w:w="1323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民航部门</w:t>
            </w:r>
          </w:p>
        </w:tc>
      </w:tr>
    </w:tbl>
    <w:p>
      <w:pPr>
        <w:pStyle w:val="3"/>
        <w:spacing w:line="560" w:lineRule="exact"/>
        <w:ind w:firstLine="640"/>
        <w:rPr>
          <w:rFonts w:ascii="仿宋" w:hAnsi="仿宋" w:cs="仿宋"/>
          <w:szCs w:val="32"/>
        </w:rPr>
      </w:pPr>
      <w:r>
        <w:rPr>
          <w:rFonts w:hint="eastAsia" w:ascii="黑体" w:hAnsi="黑体" w:eastAsia="黑体" w:cs="黑体"/>
          <w:szCs w:val="32"/>
        </w:rPr>
        <w:t>十七、</w:t>
      </w:r>
      <w:r>
        <w:rPr>
          <w:rFonts w:ascii="黑体" w:hAnsi="黑体" w:eastAsia="黑体" w:cs="黑体"/>
          <w:szCs w:val="32"/>
        </w:rPr>
        <w:t>民办职业培训机构和技工学校</w:t>
      </w:r>
    </w:p>
    <w:tbl>
      <w:tblPr>
        <w:tblStyle w:val="7"/>
        <w:tblW w:w="9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621"/>
        <w:gridCol w:w="4699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00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单位类型</w:t>
            </w:r>
          </w:p>
        </w:tc>
        <w:tc>
          <w:tcPr>
            <w:tcW w:w="162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城市类型</w:t>
            </w:r>
          </w:p>
        </w:tc>
        <w:tc>
          <w:tcPr>
            <w:tcW w:w="4699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界定标准</w:t>
            </w:r>
          </w:p>
        </w:tc>
        <w:tc>
          <w:tcPr>
            <w:tcW w:w="1400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300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民办职业培训机构和技工学校</w:t>
            </w:r>
          </w:p>
        </w:tc>
        <w:tc>
          <w:tcPr>
            <w:tcW w:w="162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一、二、三、四类城市</w:t>
            </w:r>
          </w:p>
        </w:tc>
        <w:tc>
          <w:tcPr>
            <w:tcW w:w="4699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在校生1000人以上或寄宿生300人以上。</w:t>
            </w:r>
          </w:p>
        </w:tc>
        <w:tc>
          <w:tcPr>
            <w:tcW w:w="1400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人力资源和社会保障部门</w:t>
            </w:r>
          </w:p>
        </w:tc>
      </w:tr>
    </w:tbl>
    <w:p>
      <w:pPr>
        <w:pStyle w:val="3"/>
        <w:spacing w:line="560" w:lineRule="exact"/>
        <w:ind w:firstLine="640"/>
        <w:rPr>
          <w:rFonts w:ascii="仿宋" w:hAnsi="仿宋" w:cs="仿宋"/>
          <w:szCs w:val="32"/>
        </w:rPr>
      </w:pPr>
      <w:r>
        <w:rPr>
          <w:rFonts w:hint="eastAsia" w:ascii="黑体" w:hAnsi="黑体" w:eastAsia="黑体" w:cs="黑体"/>
          <w:szCs w:val="32"/>
        </w:rPr>
        <w:t>十八、保税区、综合保税区、出口加工区、保税物流园区、保税港区等海关特殊监管区域</w:t>
      </w:r>
    </w:p>
    <w:tbl>
      <w:tblPr>
        <w:tblStyle w:val="7"/>
        <w:tblW w:w="89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587"/>
        <w:gridCol w:w="4713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265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单位类型</w:t>
            </w:r>
          </w:p>
        </w:tc>
        <w:tc>
          <w:tcPr>
            <w:tcW w:w="1587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城市类型</w:t>
            </w:r>
          </w:p>
        </w:tc>
        <w:tc>
          <w:tcPr>
            <w:tcW w:w="4713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界定标准</w:t>
            </w:r>
          </w:p>
        </w:tc>
        <w:tc>
          <w:tcPr>
            <w:tcW w:w="1427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265" w:type="dxa"/>
            <w:vMerge w:val="restar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综合保税区（保税物流中心、出口加工区、保税仓库）</w:t>
            </w:r>
          </w:p>
        </w:tc>
        <w:tc>
          <w:tcPr>
            <w:tcW w:w="1587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一类城市</w:t>
            </w:r>
          </w:p>
        </w:tc>
        <w:tc>
          <w:tcPr>
            <w:tcW w:w="4713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符合海关特殊监管区域规定的存储、加工货物类型，设有面积超过30000㎡的存储型物流建筑，面积超过20000㎡的加工型建筑，容积超过10000立方米存储型的储罐。</w:t>
            </w:r>
          </w:p>
        </w:tc>
        <w:tc>
          <w:tcPr>
            <w:tcW w:w="1427" w:type="dxa"/>
            <w:vMerge w:val="restart"/>
            <w:vAlign w:val="center"/>
          </w:tcPr>
          <w:p>
            <w:pPr>
              <w:pStyle w:val="3"/>
              <w:spacing w:line="40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海关部门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二类城市</w:t>
            </w:r>
          </w:p>
        </w:tc>
        <w:tc>
          <w:tcPr>
            <w:tcW w:w="4713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设有面积超过20000㎡的存储型物流建筑，面积超过10000㎡的加工型建筑，容积超过5000立方米存储型的储罐。</w:t>
            </w:r>
          </w:p>
        </w:tc>
        <w:tc>
          <w:tcPr>
            <w:tcW w:w="1427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三类城市</w:t>
            </w:r>
          </w:p>
        </w:tc>
        <w:tc>
          <w:tcPr>
            <w:tcW w:w="4713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设有面积超过10000㎡的存储型物流建筑，面积超过5000㎡的加工型建筑，容积超过3000立方米存储型的储罐。</w:t>
            </w:r>
          </w:p>
        </w:tc>
        <w:tc>
          <w:tcPr>
            <w:tcW w:w="1427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四类城市</w:t>
            </w:r>
          </w:p>
        </w:tc>
        <w:tc>
          <w:tcPr>
            <w:tcW w:w="4713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sz w:val="21"/>
                <w:szCs w:val="21"/>
              </w:rPr>
              <w:t>设有面积超过5000㎡的存储型物流建筑，面积超过2000㎡的加工型建筑，容积超过2000立方米存储型的储罐。</w:t>
            </w:r>
          </w:p>
        </w:tc>
        <w:tc>
          <w:tcPr>
            <w:tcW w:w="1427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sz w:val="21"/>
                <w:szCs w:val="21"/>
              </w:rPr>
            </w:pPr>
          </w:p>
        </w:tc>
      </w:tr>
    </w:tbl>
    <w:p>
      <w:pPr>
        <w:pStyle w:val="3"/>
        <w:spacing w:line="560" w:lineRule="exact"/>
        <w:ind w:firstLine="640"/>
        <w:rPr>
          <w:rFonts w:ascii="仿宋" w:hAnsi="仿宋" w:cs="仿宋"/>
          <w:szCs w:val="32"/>
          <w:highlight w:val="yellow"/>
        </w:rPr>
      </w:pPr>
      <w:r>
        <w:rPr>
          <w:rFonts w:hint="eastAsia" w:ascii="黑体" w:hAnsi="黑体" w:eastAsia="黑体" w:cs="黑体"/>
          <w:szCs w:val="32"/>
        </w:rPr>
        <w:t>十九、饲料生产企业、畜禽养殖场、屠宰企业和农业产业化龙头企业</w:t>
      </w:r>
    </w:p>
    <w:tbl>
      <w:tblPr>
        <w:tblStyle w:val="7"/>
        <w:tblW w:w="92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556"/>
        <w:gridCol w:w="4704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402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单位类型</w:t>
            </w:r>
          </w:p>
        </w:tc>
        <w:tc>
          <w:tcPr>
            <w:tcW w:w="1556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城市类型</w:t>
            </w:r>
          </w:p>
        </w:tc>
        <w:tc>
          <w:tcPr>
            <w:tcW w:w="4704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界定标准</w:t>
            </w:r>
          </w:p>
        </w:tc>
        <w:tc>
          <w:tcPr>
            <w:tcW w:w="1573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02" w:type="dxa"/>
            <w:vMerge w:val="restar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饲料生产企业</w:t>
            </w:r>
          </w:p>
        </w:tc>
        <w:tc>
          <w:tcPr>
            <w:tcW w:w="1556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一类城市</w:t>
            </w:r>
          </w:p>
        </w:tc>
        <w:tc>
          <w:tcPr>
            <w:tcW w:w="4704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生产规模大于10t/h的大型饲料厂。</w:t>
            </w:r>
          </w:p>
        </w:tc>
        <w:tc>
          <w:tcPr>
            <w:tcW w:w="1573" w:type="dxa"/>
            <w:vMerge w:val="restar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农业农村部门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02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二、三、四类城市</w:t>
            </w:r>
          </w:p>
        </w:tc>
        <w:tc>
          <w:tcPr>
            <w:tcW w:w="4704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生产规模大于5t/h的中型饲料厂。</w:t>
            </w:r>
          </w:p>
        </w:tc>
        <w:tc>
          <w:tcPr>
            <w:tcW w:w="1573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402" w:type="dxa"/>
            <w:vMerge w:val="restar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畜禽养殖场</w:t>
            </w:r>
          </w:p>
        </w:tc>
        <w:tc>
          <w:tcPr>
            <w:tcW w:w="1556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一、二类城市</w:t>
            </w:r>
          </w:p>
        </w:tc>
        <w:tc>
          <w:tcPr>
            <w:tcW w:w="4704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规模化畜禽养殖场（小区）规模：生猪≥1000头（年出栏）、奶牛≥200头（存栏）、肉牛≥100头（年出栏）、蛋禽≥10000只（年存栏）、肉禽≥20000只（年出栏）。</w:t>
            </w:r>
          </w:p>
        </w:tc>
        <w:tc>
          <w:tcPr>
            <w:tcW w:w="1573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402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三、四类城市</w:t>
            </w:r>
          </w:p>
        </w:tc>
        <w:tc>
          <w:tcPr>
            <w:tcW w:w="4704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规模化畜禽养殖场（小区）规模：生猪≥500头（年出栏）、奶牛≥100头（存栏）、肉牛≥50头（年出栏）、蛋禽≥5000只（年存栏）、肉禽≥10000只（年出栏）。</w:t>
            </w:r>
          </w:p>
        </w:tc>
        <w:tc>
          <w:tcPr>
            <w:tcW w:w="1573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02" w:type="dxa"/>
            <w:vMerge w:val="restar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屠宰企业</w:t>
            </w:r>
          </w:p>
        </w:tc>
        <w:tc>
          <w:tcPr>
            <w:tcW w:w="1556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一类城市</w:t>
            </w:r>
          </w:p>
        </w:tc>
        <w:tc>
          <w:tcPr>
            <w:tcW w:w="4704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年屠宰数量达到80万头以上。</w:t>
            </w:r>
          </w:p>
        </w:tc>
        <w:tc>
          <w:tcPr>
            <w:tcW w:w="1573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02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二类城市</w:t>
            </w:r>
          </w:p>
        </w:tc>
        <w:tc>
          <w:tcPr>
            <w:tcW w:w="4704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年屠宰数量达到50万头以上，屠宰车间建筑面积在2500㎡以上。</w:t>
            </w:r>
          </w:p>
        </w:tc>
        <w:tc>
          <w:tcPr>
            <w:tcW w:w="1573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402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三类城市</w:t>
            </w:r>
          </w:p>
        </w:tc>
        <w:tc>
          <w:tcPr>
            <w:tcW w:w="4704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年屠宰数量达到25万头以上，屠宰车间建筑面积在1500㎡以上。</w:t>
            </w:r>
          </w:p>
        </w:tc>
        <w:tc>
          <w:tcPr>
            <w:tcW w:w="1573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402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556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四类城市</w:t>
            </w:r>
          </w:p>
        </w:tc>
        <w:tc>
          <w:tcPr>
            <w:tcW w:w="4704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年屠宰数量达到10万头以上，屠宰车间建筑面积在800㎡以上。</w:t>
            </w:r>
          </w:p>
        </w:tc>
        <w:tc>
          <w:tcPr>
            <w:tcW w:w="1573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402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bookmarkStart w:id="0" w:name="_GoBack" w:colFirst="1" w:colLast="2"/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农业产业化龙头企业</w:t>
            </w:r>
          </w:p>
        </w:tc>
        <w:tc>
          <w:tcPr>
            <w:tcW w:w="1556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一、二、三、四类城市</w:t>
            </w:r>
          </w:p>
        </w:tc>
        <w:tc>
          <w:tcPr>
            <w:tcW w:w="4704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FF0000"/>
                <w:sz w:val="21"/>
                <w:szCs w:val="21"/>
              </w:rPr>
              <w:t>地市级以上农业产业化龙头企业。</w:t>
            </w:r>
          </w:p>
        </w:tc>
        <w:tc>
          <w:tcPr>
            <w:tcW w:w="1573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</w:p>
        </w:tc>
      </w:tr>
      <w:bookmarkEnd w:id="0"/>
    </w:tbl>
    <w:p>
      <w:pPr>
        <w:pStyle w:val="3"/>
        <w:spacing w:line="560" w:lineRule="exact"/>
        <w:ind w:firstLine="64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二十、水利水电工程</w:t>
      </w:r>
    </w:p>
    <w:tbl>
      <w:tblPr>
        <w:tblStyle w:val="7"/>
        <w:tblW w:w="92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539"/>
        <w:gridCol w:w="4663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1436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单位类型</w:t>
            </w:r>
          </w:p>
        </w:tc>
        <w:tc>
          <w:tcPr>
            <w:tcW w:w="1539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城市类型</w:t>
            </w:r>
          </w:p>
        </w:tc>
        <w:tc>
          <w:tcPr>
            <w:tcW w:w="4663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界定标准</w:t>
            </w:r>
          </w:p>
        </w:tc>
        <w:tc>
          <w:tcPr>
            <w:tcW w:w="1599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36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水利水电工程</w:t>
            </w:r>
          </w:p>
        </w:tc>
        <w:tc>
          <w:tcPr>
            <w:tcW w:w="1539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一、二、三、四类城市</w:t>
            </w:r>
          </w:p>
        </w:tc>
        <w:tc>
          <w:tcPr>
            <w:tcW w:w="4663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中型以上水利水电工程，大（2）型以上拦河水闸工程，大（1）型灌溉、排水站。</w:t>
            </w:r>
          </w:p>
        </w:tc>
        <w:tc>
          <w:tcPr>
            <w:tcW w:w="1599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水利部门</w:t>
            </w:r>
          </w:p>
        </w:tc>
      </w:tr>
    </w:tbl>
    <w:p>
      <w:pPr>
        <w:pStyle w:val="3"/>
        <w:spacing w:line="560" w:lineRule="exact"/>
        <w:ind w:firstLine="640"/>
        <w:rPr>
          <w:rFonts w:ascii="仿宋_GB2312" w:hAnsi="仿宋" w:eastAsia="仿宋_GB2312" w:cs="仿宋"/>
          <w:szCs w:val="32"/>
        </w:rPr>
      </w:pPr>
      <w:r>
        <w:rPr>
          <w:rFonts w:hint="eastAsia" w:ascii="黑体" w:hAnsi="黑体" w:eastAsia="黑体" w:cs="仿宋"/>
          <w:szCs w:val="32"/>
        </w:rPr>
        <w:t>二十一、</w:t>
      </w:r>
      <w:r>
        <w:rPr>
          <w:rFonts w:hint="eastAsia" w:ascii="黑体" w:hAnsi="黑体" w:eastAsia="黑体" w:cs="黑体"/>
          <w:szCs w:val="32"/>
        </w:rPr>
        <w:t>大型发电、变配电工程，城市或区域性电力指挥调度中心</w:t>
      </w:r>
    </w:p>
    <w:tbl>
      <w:tblPr>
        <w:tblStyle w:val="7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560"/>
        <w:gridCol w:w="4671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63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1"/>
                <w:szCs w:val="21"/>
              </w:rPr>
              <w:t>单位类型</w:t>
            </w:r>
          </w:p>
        </w:tc>
        <w:tc>
          <w:tcPr>
            <w:tcW w:w="1560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1"/>
                <w:szCs w:val="21"/>
              </w:rPr>
              <w:t>城市类型</w:t>
            </w:r>
          </w:p>
        </w:tc>
        <w:tc>
          <w:tcPr>
            <w:tcW w:w="4671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1"/>
                <w:szCs w:val="21"/>
              </w:rPr>
              <w:t>界定标准</w:t>
            </w:r>
          </w:p>
        </w:tc>
        <w:tc>
          <w:tcPr>
            <w:tcW w:w="1586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1"/>
                <w:szCs w:val="21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363" w:type="dxa"/>
            <w:vMerge w:val="restar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1"/>
                <w:szCs w:val="21"/>
              </w:rPr>
              <w:t>变电站</w:t>
            </w:r>
          </w:p>
        </w:tc>
        <w:tc>
          <w:tcPr>
            <w:tcW w:w="1560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一类城市</w:t>
            </w:r>
          </w:p>
        </w:tc>
        <w:tc>
          <w:tcPr>
            <w:tcW w:w="467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枢纽变电站。</w:t>
            </w:r>
          </w:p>
        </w:tc>
        <w:tc>
          <w:tcPr>
            <w:tcW w:w="1586" w:type="dxa"/>
            <w:vMerge w:val="restar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供电部门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363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二、三、四类城市</w:t>
            </w:r>
          </w:p>
        </w:tc>
        <w:tc>
          <w:tcPr>
            <w:tcW w:w="467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区域变电站以上变电站。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rPr>
                <w:rFonts w:ascii="仿宋" w:hAnsi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363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1"/>
                <w:szCs w:val="21"/>
              </w:rPr>
              <w:t>发电厂</w:t>
            </w:r>
          </w:p>
        </w:tc>
        <w:tc>
          <w:tcPr>
            <w:tcW w:w="1560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一、二、三、四类城市</w:t>
            </w:r>
          </w:p>
        </w:tc>
        <w:tc>
          <w:tcPr>
            <w:tcW w:w="467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大型发电厂。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rPr>
                <w:rFonts w:ascii="仿宋" w:hAnsi="仿宋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363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1"/>
                <w:szCs w:val="21"/>
              </w:rPr>
              <w:t>城市或区域性电力指挥调度中心</w:t>
            </w:r>
          </w:p>
        </w:tc>
        <w:tc>
          <w:tcPr>
            <w:tcW w:w="1560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一、二、三、四类城市</w:t>
            </w:r>
          </w:p>
        </w:tc>
        <w:tc>
          <w:tcPr>
            <w:tcW w:w="467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县级及以上电力指挥调度中心。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rPr>
                <w:rFonts w:ascii="仿宋" w:hAnsi="仿宋" w:cs="仿宋"/>
                <w:kern w:val="0"/>
                <w:sz w:val="21"/>
                <w:szCs w:val="21"/>
              </w:rPr>
            </w:pPr>
          </w:p>
        </w:tc>
      </w:tr>
    </w:tbl>
    <w:p>
      <w:pPr>
        <w:pStyle w:val="3"/>
        <w:spacing w:line="560" w:lineRule="exact"/>
        <w:ind w:firstLine="640"/>
        <w:rPr>
          <w:rFonts w:ascii="仿宋" w:hAnsi="仿宋" w:cs="仿宋"/>
          <w:szCs w:val="32"/>
          <w:lang w:val="zh-CN"/>
        </w:rPr>
      </w:pPr>
      <w:r>
        <w:rPr>
          <w:rFonts w:hint="eastAsia" w:ascii="方正黑体_GBK" w:hAnsi="黑体" w:eastAsia="方正黑体_GBK" w:cs="楷体"/>
          <w:szCs w:val="32"/>
        </w:rPr>
        <w:t>二十二、</w:t>
      </w:r>
      <w:r>
        <w:rPr>
          <w:rFonts w:hint="eastAsia" w:ascii="黑体" w:hAnsi="黑体" w:eastAsia="黑体" w:cs="黑体"/>
          <w:szCs w:val="32"/>
        </w:rPr>
        <w:t>客运车站、客运码头</w:t>
      </w:r>
    </w:p>
    <w:tbl>
      <w:tblPr>
        <w:tblStyle w:val="7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579"/>
        <w:gridCol w:w="4649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3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单位类型</w:t>
            </w:r>
          </w:p>
        </w:tc>
        <w:tc>
          <w:tcPr>
            <w:tcW w:w="15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城市类型</w:t>
            </w:r>
          </w:p>
        </w:tc>
        <w:tc>
          <w:tcPr>
            <w:tcW w:w="464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界定标准</w:t>
            </w:r>
          </w:p>
        </w:tc>
        <w:tc>
          <w:tcPr>
            <w:tcW w:w="16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33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客运车站</w:t>
            </w:r>
          </w:p>
        </w:tc>
        <w:tc>
          <w:tcPr>
            <w:tcW w:w="1579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一类城市</w:t>
            </w:r>
          </w:p>
        </w:tc>
        <w:tc>
          <w:tcPr>
            <w:tcW w:w="4649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一级以上（日发量在5000人次及以上车站或日发量2000人次以上的综合运输枢纽内的车站）客运车站。</w:t>
            </w:r>
          </w:p>
        </w:tc>
        <w:tc>
          <w:tcPr>
            <w:tcW w:w="161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交通运输部门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33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二、三、四类城市</w:t>
            </w:r>
          </w:p>
        </w:tc>
        <w:tc>
          <w:tcPr>
            <w:tcW w:w="4649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二级以上（日发量在2000人次及以上车站或日发量1000人次以上的综合运输枢纽内的车站）客运车站。</w:t>
            </w:r>
          </w:p>
        </w:tc>
        <w:tc>
          <w:tcPr>
            <w:tcW w:w="16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33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客运码头</w:t>
            </w:r>
          </w:p>
        </w:tc>
        <w:tc>
          <w:tcPr>
            <w:tcW w:w="1579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一类城市</w:t>
            </w:r>
          </w:p>
        </w:tc>
        <w:tc>
          <w:tcPr>
            <w:tcW w:w="4649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一级以上（日发量在2500人次以上）的码头。</w:t>
            </w:r>
          </w:p>
        </w:tc>
        <w:tc>
          <w:tcPr>
            <w:tcW w:w="16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3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二、三、四类城市</w:t>
            </w:r>
          </w:p>
        </w:tc>
        <w:tc>
          <w:tcPr>
            <w:tcW w:w="4649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二级以上（日发量在1500人次以上）的码头。</w:t>
            </w:r>
          </w:p>
        </w:tc>
        <w:tc>
          <w:tcPr>
            <w:tcW w:w="161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</w:tbl>
    <w:p>
      <w:pPr>
        <w:pStyle w:val="3"/>
        <w:spacing w:line="560" w:lineRule="exact"/>
        <w:ind w:firstLine="640"/>
        <w:rPr>
          <w:rFonts w:ascii="方正仿宋_GBK" w:hAnsi="楷体" w:eastAsia="方正仿宋_GBK" w:cs="楷体"/>
          <w:szCs w:val="32"/>
        </w:rPr>
      </w:pPr>
      <w:r>
        <w:rPr>
          <w:rFonts w:hint="eastAsia" w:ascii="黑体" w:hAnsi="黑体" w:eastAsia="黑体" w:cs="黑体"/>
          <w:szCs w:val="32"/>
        </w:rPr>
        <w:t>二十三、物业服务企业、城镇燃气经营企业</w:t>
      </w:r>
    </w:p>
    <w:tbl>
      <w:tblPr>
        <w:tblStyle w:val="7"/>
        <w:tblW w:w="91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524"/>
        <w:gridCol w:w="4689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单位类型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城市类型</w:t>
            </w:r>
          </w:p>
        </w:tc>
        <w:tc>
          <w:tcPr>
            <w:tcW w:w="468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界定标准</w:t>
            </w:r>
          </w:p>
        </w:tc>
        <w:tc>
          <w:tcPr>
            <w:tcW w:w="159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物业服务企业</w:t>
            </w:r>
          </w:p>
        </w:tc>
        <w:tc>
          <w:tcPr>
            <w:tcW w:w="1524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一类城市</w:t>
            </w:r>
          </w:p>
        </w:tc>
        <w:tc>
          <w:tcPr>
            <w:tcW w:w="4689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为建筑高度大于100米的办公楼（写字楼）、公寓楼等提供物业管理服务的企业。</w:t>
            </w:r>
          </w:p>
        </w:tc>
        <w:tc>
          <w:tcPr>
            <w:tcW w:w="1592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住建部门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524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二、三、四类城市</w:t>
            </w:r>
          </w:p>
        </w:tc>
        <w:tc>
          <w:tcPr>
            <w:tcW w:w="4689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为建筑高度大于50米的办公楼（写字楼）、公寓楼等提供物业管理服务的企业。</w:t>
            </w:r>
          </w:p>
        </w:tc>
        <w:tc>
          <w:tcPr>
            <w:tcW w:w="1592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液化石油气供应站</w:t>
            </w:r>
          </w:p>
        </w:tc>
        <w:tc>
          <w:tcPr>
            <w:tcW w:w="1524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一类城市</w:t>
            </w:r>
          </w:p>
        </w:tc>
        <w:tc>
          <w:tcPr>
            <w:tcW w:w="4689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四级以上液化石油气供应站。</w:t>
            </w:r>
          </w:p>
        </w:tc>
        <w:tc>
          <w:tcPr>
            <w:tcW w:w="1592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524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二、三、四类城市</w:t>
            </w:r>
          </w:p>
        </w:tc>
        <w:tc>
          <w:tcPr>
            <w:tcW w:w="4689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五级以上液化石油气供应站。</w:t>
            </w:r>
          </w:p>
        </w:tc>
        <w:tc>
          <w:tcPr>
            <w:tcW w:w="1592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压缩天然气供应站</w:t>
            </w:r>
          </w:p>
        </w:tc>
        <w:tc>
          <w:tcPr>
            <w:tcW w:w="1524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一类城市</w:t>
            </w:r>
          </w:p>
        </w:tc>
        <w:tc>
          <w:tcPr>
            <w:tcW w:w="4689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二级以上压缩天然气供应站。</w:t>
            </w:r>
          </w:p>
        </w:tc>
        <w:tc>
          <w:tcPr>
            <w:tcW w:w="1592" w:type="dxa"/>
            <w:vMerge w:val="continue"/>
            <w:vAlign w:val="center"/>
          </w:tcPr>
          <w:p>
            <w:pPr>
              <w:pStyle w:val="4"/>
              <w:spacing w:line="36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524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二类城市</w:t>
            </w:r>
          </w:p>
        </w:tc>
        <w:tc>
          <w:tcPr>
            <w:tcW w:w="4689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三级以上压缩天然气供应站。</w:t>
            </w:r>
          </w:p>
        </w:tc>
        <w:tc>
          <w:tcPr>
            <w:tcW w:w="1592" w:type="dxa"/>
            <w:vMerge w:val="continue"/>
            <w:vAlign w:val="center"/>
          </w:tcPr>
          <w:p>
            <w:pPr>
              <w:pStyle w:val="4"/>
              <w:spacing w:line="36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524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三、四类城市</w:t>
            </w:r>
          </w:p>
        </w:tc>
        <w:tc>
          <w:tcPr>
            <w:tcW w:w="4689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四级以上压缩天然气供应站。</w:t>
            </w:r>
          </w:p>
        </w:tc>
        <w:tc>
          <w:tcPr>
            <w:tcW w:w="1592" w:type="dxa"/>
            <w:vMerge w:val="continue"/>
            <w:vAlign w:val="center"/>
          </w:tcPr>
          <w:p>
            <w:pPr>
              <w:pStyle w:val="4"/>
              <w:spacing w:line="36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加气站</w:t>
            </w:r>
          </w:p>
        </w:tc>
        <w:tc>
          <w:tcPr>
            <w:tcW w:w="1524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一类城市</w:t>
            </w:r>
          </w:p>
        </w:tc>
        <w:tc>
          <w:tcPr>
            <w:tcW w:w="4689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一级以上加气站。</w:t>
            </w:r>
          </w:p>
        </w:tc>
        <w:tc>
          <w:tcPr>
            <w:tcW w:w="1592" w:type="dxa"/>
            <w:vMerge w:val="continue"/>
            <w:vAlign w:val="center"/>
          </w:tcPr>
          <w:p>
            <w:pPr>
              <w:pStyle w:val="4"/>
              <w:spacing w:line="36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524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二类城市</w:t>
            </w:r>
          </w:p>
        </w:tc>
        <w:tc>
          <w:tcPr>
            <w:tcW w:w="4689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二级以上加气站。</w:t>
            </w:r>
          </w:p>
        </w:tc>
        <w:tc>
          <w:tcPr>
            <w:tcW w:w="1592" w:type="dxa"/>
            <w:vMerge w:val="continue"/>
            <w:vAlign w:val="center"/>
          </w:tcPr>
          <w:p>
            <w:pPr>
              <w:pStyle w:val="4"/>
              <w:spacing w:line="36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524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三、四类城市</w:t>
            </w:r>
          </w:p>
        </w:tc>
        <w:tc>
          <w:tcPr>
            <w:tcW w:w="4689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三级以上加气站。</w:t>
            </w:r>
          </w:p>
        </w:tc>
        <w:tc>
          <w:tcPr>
            <w:tcW w:w="1592" w:type="dxa"/>
            <w:vMerge w:val="continue"/>
            <w:vAlign w:val="center"/>
          </w:tcPr>
          <w:p>
            <w:pPr>
              <w:pStyle w:val="4"/>
              <w:spacing w:line="360" w:lineRule="exac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pStyle w:val="3"/>
        <w:spacing w:line="560" w:lineRule="exact"/>
        <w:ind w:firstLine="64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二十四、食品生产场所</w:t>
      </w:r>
    </w:p>
    <w:tbl>
      <w:tblPr>
        <w:tblStyle w:val="7"/>
        <w:tblW w:w="91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594"/>
        <w:gridCol w:w="4687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280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单位类型</w:t>
            </w:r>
          </w:p>
        </w:tc>
        <w:tc>
          <w:tcPr>
            <w:tcW w:w="1594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城市类型</w:t>
            </w:r>
          </w:p>
        </w:tc>
        <w:tc>
          <w:tcPr>
            <w:tcW w:w="4687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界定标准</w:t>
            </w:r>
          </w:p>
        </w:tc>
        <w:tc>
          <w:tcPr>
            <w:tcW w:w="1598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280" w:type="dxa"/>
            <w:vMerge w:val="restar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食品生产企业</w:t>
            </w:r>
          </w:p>
        </w:tc>
        <w:tc>
          <w:tcPr>
            <w:tcW w:w="1594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一、二类城市</w:t>
            </w:r>
          </w:p>
        </w:tc>
        <w:tc>
          <w:tcPr>
            <w:tcW w:w="4687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总建筑面积50000㎡以上或者单体建筑面积20000㎡以上的丙类厂房或者从业人数500人以上。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市场监管部门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280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三、四类城市</w:t>
            </w:r>
          </w:p>
        </w:tc>
        <w:tc>
          <w:tcPr>
            <w:tcW w:w="4687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总建筑面积20000㎡以上或者单体建筑面积10000㎡以上的丙类厂房或者从业人数200人以上。</w:t>
            </w:r>
          </w:p>
        </w:tc>
        <w:tc>
          <w:tcPr>
            <w:tcW w:w="1598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sz w:val="21"/>
                <w:szCs w:val="21"/>
              </w:rPr>
            </w:pPr>
          </w:p>
        </w:tc>
      </w:tr>
    </w:tbl>
    <w:p>
      <w:pPr>
        <w:pStyle w:val="3"/>
        <w:spacing w:line="560" w:lineRule="exact"/>
        <w:ind w:firstLine="64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二十五、药品、医疗器械等生产场所</w:t>
      </w:r>
    </w:p>
    <w:tbl>
      <w:tblPr>
        <w:tblStyle w:val="7"/>
        <w:tblW w:w="91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594"/>
        <w:gridCol w:w="4687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280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单位类型</w:t>
            </w:r>
          </w:p>
        </w:tc>
        <w:tc>
          <w:tcPr>
            <w:tcW w:w="1594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城市类型</w:t>
            </w:r>
          </w:p>
        </w:tc>
        <w:tc>
          <w:tcPr>
            <w:tcW w:w="4687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界定标准</w:t>
            </w:r>
          </w:p>
        </w:tc>
        <w:tc>
          <w:tcPr>
            <w:tcW w:w="1598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280" w:type="dxa"/>
            <w:vMerge w:val="restar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药品、医疗器械生产企业</w:t>
            </w:r>
          </w:p>
        </w:tc>
        <w:tc>
          <w:tcPr>
            <w:tcW w:w="1594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一、二类城市</w:t>
            </w:r>
          </w:p>
        </w:tc>
        <w:tc>
          <w:tcPr>
            <w:tcW w:w="4687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总建筑面积50000㎡以上或者单体建筑面积20000㎡以上的丙类厂房或者从业人数500人以上。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药品监督管理部门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280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594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三、四类城市</w:t>
            </w:r>
          </w:p>
        </w:tc>
        <w:tc>
          <w:tcPr>
            <w:tcW w:w="4687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总建筑面积20000㎡以上或者单体建筑面积10000㎡以上的丙类厂房或者从业人数200人以上。</w:t>
            </w:r>
          </w:p>
        </w:tc>
        <w:tc>
          <w:tcPr>
            <w:tcW w:w="1598" w:type="dxa"/>
            <w:vMerge w:val="continue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distribute"/>
              <w:rPr>
                <w:rFonts w:ascii="仿宋" w:hAnsi="仿宋" w:cs="仿宋"/>
                <w:sz w:val="21"/>
                <w:szCs w:val="21"/>
              </w:rPr>
            </w:pPr>
          </w:p>
        </w:tc>
      </w:tr>
    </w:tbl>
    <w:p>
      <w:pPr>
        <w:pStyle w:val="3"/>
        <w:spacing w:line="560" w:lineRule="exact"/>
        <w:ind w:firstLine="640"/>
        <w:rPr>
          <w:rFonts w:ascii="方正仿宋_GB2312" w:hAnsi="方正仿宋_GB2312" w:eastAsia="方正仿宋_GB2312" w:cs="仿宋"/>
          <w:szCs w:val="32"/>
        </w:rPr>
      </w:pPr>
      <w:r>
        <w:rPr>
          <w:rFonts w:hint="eastAsia" w:ascii="黑体" w:hAnsi="黑体" w:eastAsia="黑体" w:cs="黑体"/>
          <w:szCs w:val="32"/>
        </w:rPr>
        <w:t>二十六、通信枢纽</w:t>
      </w:r>
    </w:p>
    <w:tbl>
      <w:tblPr>
        <w:tblStyle w:val="7"/>
        <w:tblW w:w="91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611"/>
        <w:gridCol w:w="4650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280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单位类型</w:t>
            </w:r>
          </w:p>
        </w:tc>
        <w:tc>
          <w:tcPr>
            <w:tcW w:w="1611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城市类型</w:t>
            </w:r>
          </w:p>
        </w:tc>
        <w:tc>
          <w:tcPr>
            <w:tcW w:w="4650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界定标准</w:t>
            </w:r>
          </w:p>
        </w:tc>
        <w:tc>
          <w:tcPr>
            <w:tcW w:w="1603" w:type="dxa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280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通信枢纽</w:t>
            </w:r>
          </w:p>
        </w:tc>
        <w:tc>
          <w:tcPr>
            <w:tcW w:w="1611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一、二、三、四类城市</w:t>
            </w:r>
          </w:p>
        </w:tc>
        <w:tc>
          <w:tcPr>
            <w:tcW w:w="4650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lef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地市级以上通信枢纽单位。</w:t>
            </w:r>
          </w:p>
        </w:tc>
        <w:tc>
          <w:tcPr>
            <w:tcW w:w="1603" w:type="dxa"/>
            <w:vAlign w:val="center"/>
          </w:tcPr>
          <w:p>
            <w:pPr>
              <w:pStyle w:val="3"/>
              <w:spacing w:line="360" w:lineRule="exact"/>
              <w:ind w:firstLine="0" w:firstLineChars="0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通信管理部门</w:t>
            </w:r>
          </w:p>
        </w:tc>
      </w:tr>
    </w:tbl>
    <w:p>
      <w:pPr>
        <w:pStyle w:val="3"/>
        <w:spacing w:line="560" w:lineRule="exact"/>
        <w:ind w:firstLine="64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二十七、其他</w:t>
      </w:r>
    </w:p>
    <w:p>
      <w:pPr>
        <w:pStyle w:val="3"/>
        <w:spacing w:line="560" w:lineRule="exact"/>
        <w:ind w:firstLine="640"/>
        <w:rPr>
          <w:rFonts w:hint="eastAsia" w:ascii="仿宋_GB2312" w:hAnsi="仿宋" w:eastAsia="仿宋_GB2312" w:cs="仿宋"/>
          <w:szCs w:val="32"/>
        </w:rPr>
      </w:pPr>
      <w:r>
        <w:rPr>
          <w:rFonts w:hint="eastAsia" w:ascii="仿宋_GB2312" w:hAnsi="仿宋" w:eastAsia="仿宋_GB2312" w:cs="仿宋"/>
          <w:szCs w:val="32"/>
        </w:rPr>
        <w:t>政法、司法、工会、人防、能源、国资管理等部门主管的机关、团体、企业、事业单位，应按本标准相应类型标准执行。县级以上党委、政府、人大、政协机关和相关部门的办公场所，应按照建筑规模、火灾风险等级等因素由各级消防救援机构综合判定。无对应主管部门的单位（场所），由单位按程序向消防救援机构申报重点单位。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体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roman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NzFjOTQzN2NiNGU1ZWQ2ZmEwM2M0ZmE1N2EwMzEifQ=="/>
  </w:docVars>
  <w:rsids>
    <w:rsidRoot w:val="01494F60"/>
    <w:rsid w:val="01494F60"/>
    <w:rsid w:val="11015429"/>
    <w:rsid w:val="687234B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仿宋" w:cs="Times New Roman"/>
      <w:sz w:val="32"/>
      <w:szCs w:val="20"/>
    </w:rPr>
  </w:style>
  <w:style w:type="paragraph" w:styleId="4">
    <w:name w:val="annotation text"/>
    <w:basedOn w:val="1"/>
    <w:qFormat/>
    <w:uiPriority w:val="0"/>
    <w:pPr>
      <w:jc w:val="left"/>
    </w:pPr>
    <w:rPr>
      <w:rFonts w:ascii="Times New Roman" w:hAnsi="Times New Roman" w:eastAsia="仿宋体"/>
      <w:sz w:val="32"/>
    </w:rPr>
  </w:style>
  <w:style w:type="paragraph" w:styleId="5">
    <w:name w:val="Normal (Web)"/>
    <w:basedOn w:val="1"/>
    <w:qFormat/>
    <w:uiPriority w:val="0"/>
    <w:rPr>
      <w:rFonts w:ascii="Times New Roman" w:hAnsi="Times New Roman" w:eastAsia="仿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2024-01-22T03:54:00Z</dcterms:created>
  <dc:creator>╰☆╮yóù傷彌漫の安逸</dc:creator>
  <cp:lastModifiedBy>john</cp:lastModifiedBy>
  <dcterms:modified xsi:type="dcterms:W3CDTF">2024-03-22T00:42:18Z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  <property fmtid="{D5CDD505-2E9C-101B-9397-08002B2CF9AE}" pid="3" name="ICV">
    <vt:lpwstr>2D1893FD35A346CFBEB7B697C5FE14D9_11</vt:lpwstr>
  </property>
</Properties>
</file>